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977DA6" w14:textId="1B3CEAB2" w:rsidR="00245824" w:rsidRPr="00505123" w:rsidRDefault="000A7D75" w:rsidP="00D969EB">
      <w:pPr>
        <w:pStyle w:val="Heading3"/>
        <w:spacing w:before="0"/>
        <w:jc w:val="center"/>
      </w:pPr>
      <w:r>
        <w:t>Tax</w:t>
      </w:r>
      <w:r w:rsidR="00B01799">
        <w:t>ation</w:t>
      </w:r>
    </w:p>
    <w:p w14:paraId="344264F7" w14:textId="739ED674" w:rsidR="003A7F1D" w:rsidRDefault="00692C36" w:rsidP="003A7F1D">
      <w:pPr>
        <w:pStyle w:val="ListParagraph"/>
        <w:numPr>
          <w:ilvl w:val="0"/>
          <w:numId w:val="33"/>
        </w:numPr>
        <w:rPr>
          <w:sz w:val="20"/>
        </w:rPr>
      </w:pPr>
      <w:r>
        <w:rPr>
          <w:sz w:val="20"/>
        </w:rPr>
        <w:t>Four</w:t>
      </w:r>
      <w:r w:rsidR="003A7F1D">
        <w:rPr>
          <w:sz w:val="20"/>
        </w:rPr>
        <w:t xml:space="preserve"> major policy questions: </w:t>
      </w:r>
    </w:p>
    <w:p w14:paraId="38B9497F" w14:textId="24C16036" w:rsidR="003A7F1D" w:rsidRDefault="003A7F1D" w:rsidP="003A7F1D">
      <w:pPr>
        <w:pStyle w:val="ListParagraph"/>
        <w:numPr>
          <w:ilvl w:val="1"/>
          <w:numId w:val="33"/>
        </w:numPr>
        <w:rPr>
          <w:sz w:val="20"/>
        </w:rPr>
      </w:pPr>
      <w:r>
        <w:rPr>
          <w:sz w:val="20"/>
        </w:rPr>
        <w:t>Fairness – Who does this benefit?</w:t>
      </w:r>
    </w:p>
    <w:p w14:paraId="35207993" w14:textId="50CC6D2C" w:rsidR="003A7F1D" w:rsidRDefault="003A7F1D" w:rsidP="003A7F1D">
      <w:pPr>
        <w:pStyle w:val="ListParagraph"/>
        <w:numPr>
          <w:ilvl w:val="1"/>
          <w:numId w:val="33"/>
        </w:numPr>
        <w:rPr>
          <w:sz w:val="20"/>
        </w:rPr>
      </w:pPr>
      <w:r>
        <w:rPr>
          <w:sz w:val="20"/>
        </w:rPr>
        <w:t>Administrability – How does it interact wi</w:t>
      </w:r>
      <w:r w:rsidR="000435EB">
        <w:rPr>
          <w:sz w:val="20"/>
        </w:rPr>
        <w:t xml:space="preserve">th other </w:t>
      </w:r>
      <w:r>
        <w:rPr>
          <w:sz w:val="20"/>
        </w:rPr>
        <w:t>provisions? Will it complicate, or simplify?</w:t>
      </w:r>
    </w:p>
    <w:p w14:paraId="12F3D53D" w14:textId="18F202EB" w:rsidR="003A7F1D" w:rsidRDefault="003A7F1D" w:rsidP="003A7F1D">
      <w:pPr>
        <w:pStyle w:val="ListParagraph"/>
        <w:numPr>
          <w:ilvl w:val="1"/>
          <w:numId w:val="33"/>
        </w:numPr>
        <w:rPr>
          <w:sz w:val="20"/>
        </w:rPr>
      </w:pPr>
      <w:r>
        <w:rPr>
          <w:sz w:val="20"/>
        </w:rPr>
        <w:t>Efficiency – What incentives does it create, and for who?</w:t>
      </w:r>
    </w:p>
    <w:p w14:paraId="64BCADAE" w14:textId="67A6E9D5" w:rsidR="003A7F1D" w:rsidRPr="003A7F1D" w:rsidRDefault="003A7F1D" w:rsidP="003A7F1D">
      <w:pPr>
        <w:pStyle w:val="ListParagraph"/>
        <w:numPr>
          <w:ilvl w:val="1"/>
          <w:numId w:val="33"/>
        </w:numPr>
        <w:rPr>
          <w:sz w:val="20"/>
        </w:rPr>
      </w:pPr>
      <w:r>
        <w:rPr>
          <w:sz w:val="20"/>
        </w:rPr>
        <w:t>Constitutionality – Does Congress have the power to tax it as income?</w:t>
      </w:r>
    </w:p>
    <w:p w14:paraId="51D320D2" w14:textId="2D947B13" w:rsidR="00743437" w:rsidRDefault="000A7D75" w:rsidP="00743437">
      <w:pPr>
        <w:pStyle w:val="Heading3"/>
        <w:spacing w:before="0"/>
        <w:rPr>
          <w:sz w:val="22"/>
        </w:rPr>
      </w:pPr>
      <w:r w:rsidRPr="00B01799">
        <w:rPr>
          <w:sz w:val="22"/>
        </w:rPr>
        <w:t>Income</w:t>
      </w:r>
    </w:p>
    <w:p w14:paraId="3968BB23" w14:textId="03B2243D" w:rsidR="00B12655" w:rsidRPr="008E40F4" w:rsidRDefault="000A7D75" w:rsidP="00A548E6">
      <w:pPr>
        <w:pStyle w:val="ListParagraph"/>
        <w:numPr>
          <w:ilvl w:val="0"/>
          <w:numId w:val="1"/>
        </w:numPr>
      </w:pPr>
      <w:r>
        <w:rPr>
          <w:sz w:val="20"/>
        </w:rPr>
        <w:t>§61 defines gross income as “all income from whatever source derived”, and gives a non-exclusive list of categories that might fall into income</w:t>
      </w:r>
    </w:p>
    <w:p w14:paraId="6424E09F" w14:textId="76F6A57B" w:rsidR="008E40F4" w:rsidRPr="00EB166A" w:rsidRDefault="000F415E" w:rsidP="00A548E6">
      <w:pPr>
        <w:pStyle w:val="ListParagraph"/>
        <w:numPr>
          <w:ilvl w:val="1"/>
          <w:numId w:val="1"/>
        </w:numPr>
      </w:pPr>
      <w:r>
        <w:rPr>
          <w:sz w:val="20"/>
        </w:rPr>
        <w:t>Identical to 16</w:t>
      </w:r>
      <w:r w:rsidRPr="000F415E">
        <w:rPr>
          <w:sz w:val="20"/>
          <w:vertAlign w:val="superscript"/>
        </w:rPr>
        <w:t>th</w:t>
      </w:r>
      <w:r>
        <w:rPr>
          <w:sz w:val="20"/>
        </w:rPr>
        <w:t xml:space="preserve"> Amendment; at what point (if any) does §61 violate Constitutional principles?</w:t>
      </w:r>
    </w:p>
    <w:p w14:paraId="6F3758FD" w14:textId="0BC6DC0E" w:rsidR="00EB166A" w:rsidRPr="00E64E41" w:rsidRDefault="00EB166A" w:rsidP="00A548E6">
      <w:pPr>
        <w:pStyle w:val="ListParagraph"/>
        <w:numPr>
          <w:ilvl w:val="2"/>
          <w:numId w:val="1"/>
        </w:numPr>
      </w:pPr>
      <w:r>
        <w:rPr>
          <w:sz w:val="20"/>
        </w:rPr>
        <w:t xml:space="preserve">§280(E) restricts deductions for any expenses </w:t>
      </w:r>
      <w:r w:rsidR="00E64E41">
        <w:rPr>
          <w:sz w:val="20"/>
        </w:rPr>
        <w:t xml:space="preserve">(except COGS) </w:t>
      </w:r>
      <w:r>
        <w:rPr>
          <w:sz w:val="20"/>
        </w:rPr>
        <w:t>in connection with drug trafficking</w:t>
      </w:r>
      <w:r w:rsidR="003D2DA6">
        <w:rPr>
          <w:sz w:val="20"/>
        </w:rPr>
        <w:t>, and courts have not found any constitutional problems – can “income” under the 16</w:t>
      </w:r>
      <w:r w:rsidR="003D2DA6" w:rsidRPr="003D2DA6">
        <w:rPr>
          <w:sz w:val="20"/>
          <w:vertAlign w:val="superscript"/>
        </w:rPr>
        <w:t>th</w:t>
      </w:r>
      <w:r w:rsidR="003D2DA6">
        <w:rPr>
          <w:sz w:val="20"/>
        </w:rPr>
        <w:t xml:space="preserve"> Amendment mean </w:t>
      </w:r>
      <w:r w:rsidR="003D2DA6">
        <w:rPr>
          <w:i/>
          <w:sz w:val="20"/>
        </w:rPr>
        <w:t xml:space="preserve">gross </w:t>
      </w:r>
      <w:r w:rsidR="003D2DA6">
        <w:rPr>
          <w:sz w:val="20"/>
        </w:rPr>
        <w:t>income?</w:t>
      </w:r>
    </w:p>
    <w:p w14:paraId="142F638A" w14:textId="41DA387F" w:rsidR="00E64E41" w:rsidRPr="00CA5611" w:rsidRDefault="00E64E41" w:rsidP="00E64E41">
      <w:pPr>
        <w:pStyle w:val="ListParagraph"/>
        <w:numPr>
          <w:ilvl w:val="3"/>
          <w:numId w:val="1"/>
        </w:numPr>
      </w:pPr>
      <w:r>
        <w:rPr>
          <w:sz w:val="20"/>
        </w:rPr>
        <w:t>Ability to deduct COGS is explicit attempt to preclude constitutional challenge</w:t>
      </w:r>
    </w:p>
    <w:p w14:paraId="1627202E" w14:textId="47D0BA3F" w:rsidR="00CA5611" w:rsidRPr="00571355" w:rsidRDefault="00CA5611" w:rsidP="00A548E6">
      <w:pPr>
        <w:pStyle w:val="ListParagraph"/>
        <w:numPr>
          <w:ilvl w:val="1"/>
          <w:numId w:val="1"/>
        </w:numPr>
      </w:pPr>
      <w:r>
        <w:rPr>
          <w:sz w:val="20"/>
        </w:rPr>
        <w:t xml:space="preserve">Income from </w:t>
      </w:r>
      <w:r>
        <w:rPr>
          <w:i/>
          <w:sz w:val="20"/>
        </w:rPr>
        <w:t xml:space="preserve">all </w:t>
      </w:r>
      <w:r>
        <w:rPr>
          <w:sz w:val="20"/>
        </w:rPr>
        <w:t xml:space="preserve">sources is taxed, unless the taxpayer can point to a specific exemption – </w:t>
      </w:r>
      <w:proofErr w:type="spellStart"/>
      <w:r>
        <w:rPr>
          <w:i/>
          <w:sz w:val="20"/>
        </w:rPr>
        <w:t>Cesarini</w:t>
      </w:r>
      <w:proofErr w:type="spellEnd"/>
      <w:r>
        <w:rPr>
          <w:i/>
          <w:sz w:val="20"/>
        </w:rPr>
        <w:t xml:space="preserve"> </w:t>
      </w:r>
      <w:r>
        <w:rPr>
          <w:sz w:val="20"/>
        </w:rPr>
        <w:t>(Cash found in used piano)</w:t>
      </w:r>
    </w:p>
    <w:p w14:paraId="2D85E1D3" w14:textId="56379646" w:rsidR="00571355" w:rsidRPr="000A7D75" w:rsidRDefault="00571355" w:rsidP="00A548E6">
      <w:pPr>
        <w:pStyle w:val="ListParagraph"/>
        <w:numPr>
          <w:ilvl w:val="2"/>
          <w:numId w:val="1"/>
        </w:numPr>
      </w:pPr>
      <w:r>
        <w:rPr>
          <w:sz w:val="20"/>
        </w:rPr>
        <w:t>Income is taxable in the year in which it is reduced to “undisputed possession”</w:t>
      </w:r>
    </w:p>
    <w:p w14:paraId="10DEA19E" w14:textId="4595485D" w:rsidR="000A7D75" w:rsidRDefault="00FF0942" w:rsidP="00FF0942">
      <w:pPr>
        <w:pStyle w:val="ListParagraph"/>
        <w:numPr>
          <w:ilvl w:val="0"/>
          <w:numId w:val="1"/>
        </w:numPr>
        <w:rPr>
          <w:sz w:val="20"/>
          <w:szCs w:val="20"/>
        </w:rPr>
      </w:pPr>
      <w:r>
        <w:rPr>
          <w:sz w:val="20"/>
          <w:szCs w:val="20"/>
        </w:rPr>
        <w:t>S</w:t>
      </w:r>
      <w:r w:rsidR="000A7D75" w:rsidRPr="000A7D75">
        <w:rPr>
          <w:sz w:val="20"/>
          <w:szCs w:val="20"/>
        </w:rPr>
        <w:t xml:space="preserve">hould </w:t>
      </w:r>
      <w:r>
        <w:rPr>
          <w:sz w:val="20"/>
          <w:szCs w:val="20"/>
        </w:rPr>
        <w:t xml:space="preserve">taxable income </w:t>
      </w:r>
      <w:r w:rsidR="000A7D75" w:rsidRPr="000A7D75">
        <w:rPr>
          <w:sz w:val="20"/>
          <w:szCs w:val="20"/>
        </w:rPr>
        <w:t>reflect market va</w:t>
      </w:r>
      <w:r>
        <w:rPr>
          <w:sz w:val="20"/>
          <w:szCs w:val="20"/>
        </w:rPr>
        <w:t>lue or intrinsic, personal worth</w:t>
      </w:r>
      <w:r w:rsidR="000A7D75">
        <w:rPr>
          <w:sz w:val="20"/>
          <w:szCs w:val="20"/>
        </w:rPr>
        <w:t xml:space="preserve"> (</w:t>
      </w:r>
      <w:r w:rsidR="000A7D75">
        <w:rPr>
          <w:i/>
          <w:sz w:val="20"/>
          <w:szCs w:val="20"/>
        </w:rPr>
        <w:t xml:space="preserve">Turner </w:t>
      </w:r>
      <w:r w:rsidR="000A7D75">
        <w:rPr>
          <w:sz w:val="20"/>
          <w:szCs w:val="20"/>
        </w:rPr>
        <w:t>– trades cruise tickets won on a game show)</w:t>
      </w:r>
    </w:p>
    <w:p w14:paraId="677016DF" w14:textId="2570E582" w:rsidR="000F415E" w:rsidRDefault="000F415E" w:rsidP="00FF0942">
      <w:pPr>
        <w:pStyle w:val="ListParagraph"/>
        <w:numPr>
          <w:ilvl w:val="1"/>
          <w:numId w:val="1"/>
        </w:numPr>
        <w:rPr>
          <w:sz w:val="20"/>
          <w:szCs w:val="20"/>
        </w:rPr>
      </w:pPr>
      <w:r>
        <w:rPr>
          <w:sz w:val="20"/>
          <w:szCs w:val="20"/>
        </w:rPr>
        <w:t>Tax Court essentially splits the difference here – when should this be permitted?</w:t>
      </w:r>
    </w:p>
    <w:p w14:paraId="1DC7C564" w14:textId="48032292" w:rsidR="00396EAD" w:rsidRDefault="007B012D" w:rsidP="00FF0942">
      <w:pPr>
        <w:pStyle w:val="ListParagraph"/>
        <w:numPr>
          <w:ilvl w:val="1"/>
          <w:numId w:val="1"/>
        </w:numPr>
        <w:rPr>
          <w:sz w:val="20"/>
          <w:szCs w:val="20"/>
        </w:rPr>
      </w:pPr>
      <w:r>
        <w:rPr>
          <w:sz w:val="20"/>
          <w:szCs w:val="20"/>
        </w:rPr>
        <w:t>What other criteria to use</w:t>
      </w:r>
      <w:r w:rsidR="00396EAD">
        <w:rPr>
          <w:sz w:val="20"/>
          <w:szCs w:val="20"/>
        </w:rPr>
        <w:t>? Fairness? Ef</w:t>
      </w:r>
      <w:r>
        <w:rPr>
          <w:sz w:val="20"/>
          <w:szCs w:val="20"/>
        </w:rPr>
        <w:t>ficiency? Do valuation difficulties trump other concerns</w:t>
      </w:r>
      <w:r w:rsidR="009768AD">
        <w:rPr>
          <w:sz w:val="20"/>
          <w:szCs w:val="20"/>
        </w:rPr>
        <w:t>?</w:t>
      </w:r>
    </w:p>
    <w:p w14:paraId="227D74D2" w14:textId="71DF2025" w:rsidR="00396EAD" w:rsidRPr="00396EAD" w:rsidRDefault="00CA1D84" w:rsidP="00FF0942">
      <w:pPr>
        <w:pStyle w:val="ListParagraph"/>
        <w:numPr>
          <w:ilvl w:val="1"/>
          <w:numId w:val="1"/>
        </w:numPr>
        <w:rPr>
          <w:sz w:val="20"/>
          <w:szCs w:val="20"/>
        </w:rPr>
      </w:pPr>
      <w:r>
        <w:rPr>
          <w:sz w:val="20"/>
          <w:szCs w:val="20"/>
        </w:rPr>
        <w:t>IRS</w:t>
      </w:r>
      <w:r w:rsidR="00396EAD">
        <w:rPr>
          <w:sz w:val="20"/>
          <w:szCs w:val="20"/>
        </w:rPr>
        <w:t xml:space="preserve"> usually argues for fa</w:t>
      </w:r>
      <w:r w:rsidR="007B012D">
        <w:rPr>
          <w:sz w:val="20"/>
          <w:szCs w:val="20"/>
        </w:rPr>
        <w:t>ir market value – purely</w:t>
      </w:r>
      <w:r w:rsidR="00396EAD">
        <w:rPr>
          <w:sz w:val="20"/>
          <w:szCs w:val="20"/>
        </w:rPr>
        <w:t xml:space="preserve"> practical, or actually desirable? </w:t>
      </w:r>
    </w:p>
    <w:p w14:paraId="2EDF3D0D" w14:textId="5F986D49" w:rsidR="000F415E" w:rsidRDefault="00FF0942" w:rsidP="00FF0942">
      <w:pPr>
        <w:pStyle w:val="ListParagraph"/>
        <w:numPr>
          <w:ilvl w:val="0"/>
          <w:numId w:val="1"/>
        </w:numPr>
        <w:rPr>
          <w:sz w:val="20"/>
          <w:szCs w:val="20"/>
        </w:rPr>
      </w:pPr>
      <w:r>
        <w:rPr>
          <w:sz w:val="20"/>
          <w:szCs w:val="20"/>
        </w:rPr>
        <w:t>W</w:t>
      </w:r>
      <w:r w:rsidR="000F415E">
        <w:rPr>
          <w:sz w:val="20"/>
          <w:szCs w:val="20"/>
        </w:rPr>
        <w:t>hether imputed income should be taxed</w:t>
      </w:r>
      <w:r>
        <w:rPr>
          <w:sz w:val="20"/>
          <w:szCs w:val="20"/>
        </w:rPr>
        <w:t xml:space="preserve"> is largely an academic debate</w:t>
      </w:r>
    </w:p>
    <w:p w14:paraId="56129421" w14:textId="02334C7D" w:rsidR="00E672A9" w:rsidRDefault="00E672A9" w:rsidP="00FF0942">
      <w:pPr>
        <w:pStyle w:val="ListParagraph"/>
        <w:numPr>
          <w:ilvl w:val="1"/>
          <w:numId w:val="1"/>
        </w:numPr>
        <w:rPr>
          <w:sz w:val="20"/>
          <w:szCs w:val="20"/>
        </w:rPr>
      </w:pPr>
      <w:r>
        <w:rPr>
          <w:sz w:val="20"/>
          <w:szCs w:val="20"/>
        </w:rPr>
        <w:t>Not taxing imputed income creates inequality and inefficiency since individuals make different choices than they would in a no-tax world (investments in home ownership rather than factories, working capital; lower paying job with more vacation)</w:t>
      </w:r>
    </w:p>
    <w:p w14:paraId="03701793" w14:textId="6CF4F495" w:rsidR="00E672A9" w:rsidRDefault="00E672A9" w:rsidP="00FF0942">
      <w:pPr>
        <w:pStyle w:val="ListParagraph"/>
        <w:numPr>
          <w:ilvl w:val="1"/>
          <w:numId w:val="1"/>
        </w:numPr>
        <w:rPr>
          <w:sz w:val="20"/>
          <w:szCs w:val="20"/>
        </w:rPr>
      </w:pPr>
      <w:r>
        <w:rPr>
          <w:sz w:val="20"/>
          <w:szCs w:val="20"/>
        </w:rPr>
        <w:t>Concerns include limiting principles, administrability (including valuation), and liquidity</w:t>
      </w:r>
    </w:p>
    <w:p w14:paraId="0EC03564" w14:textId="5E521A80" w:rsidR="007C4ABF" w:rsidRDefault="007C4ABF" w:rsidP="00FF0942">
      <w:pPr>
        <w:pStyle w:val="ListParagraph"/>
        <w:numPr>
          <w:ilvl w:val="0"/>
          <w:numId w:val="1"/>
        </w:numPr>
        <w:rPr>
          <w:sz w:val="20"/>
          <w:szCs w:val="20"/>
        </w:rPr>
      </w:pPr>
      <w:r>
        <w:rPr>
          <w:sz w:val="20"/>
          <w:szCs w:val="20"/>
        </w:rPr>
        <w:t>Taxpayer has burden of production in disputing ordinary tax liability – the IRS bears burden on penalties and fees. After production is met, burden shifts to opposite party - §7491</w:t>
      </w:r>
    </w:p>
    <w:p w14:paraId="74753C95" w14:textId="5A973CFE" w:rsidR="00F80411" w:rsidRDefault="00F80411" w:rsidP="00FF0942">
      <w:pPr>
        <w:pStyle w:val="ListParagraph"/>
        <w:numPr>
          <w:ilvl w:val="1"/>
          <w:numId w:val="1"/>
        </w:numPr>
        <w:rPr>
          <w:sz w:val="20"/>
          <w:szCs w:val="20"/>
        </w:rPr>
      </w:pPr>
      <w:r>
        <w:rPr>
          <w:sz w:val="20"/>
          <w:szCs w:val="20"/>
        </w:rPr>
        <w:t>Burden only shifts if significant reporting requirements are met, challenging entity has net worth of less than $7 million – as a result, burden shift very rarely occurs</w:t>
      </w:r>
    </w:p>
    <w:p w14:paraId="3AC5B0B3" w14:textId="3C4A7413" w:rsidR="009122A3" w:rsidRDefault="009122A3" w:rsidP="009122A3">
      <w:pPr>
        <w:pStyle w:val="ListParagraph"/>
        <w:numPr>
          <w:ilvl w:val="0"/>
          <w:numId w:val="1"/>
        </w:numPr>
        <w:rPr>
          <w:sz w:val="20"/>
          <w:szCs w:val="20"/>
        </w:rPr>
      </w:pPr>
      <w:r w:rsidRPr="009122A3">
        <w:rPr>
          <w:noProof/>
          <w:sz w:val="20"/>
          <w:szCs w:val="20"/>
        </w:rPr>
        <mc:AlternateContent>
          <mc:Choice Requires="wps">
            <w:drawing>
              <wp:anchor distT="0" distB="0" distL="114300" distR="114300" simplePos="0" relativeHeight="251668480" behindDoc="0" locked="0" layoutInCell="1" allowOverlap="1" wp14:anchorId="29038278" wp14:editId="06B100C0">
                <wp:simplePos x="0" y="0"/>
                <wp:positionH relativeFrom="column">
                  <wp:posOffset>1924050</wp:posOffset>
                </wp:positionH>
                <wp:positionV relativeFrom="paragraph">
                  <wp:posOffset>1377950</wp:posOffset>
                </wp:positionV>
                <wp:extent cx="2087245" cy="488950"/>
                <wp:effectExtent l="0" t="0" r="0" b="6350"/>
                <wp:wrapNone/>
                <wp:docPr id="10" name="Text Box 10"/>
                <wp:cNvGraphicFramePr/>
                <a:graphic xmlns:a="http://schemas.openxmlformats.org/drawingml/2006/main">
                  <a:graphicData uri="http://schemas.microsoft.com/office/word/2010/wordprocessingShape">
                    <wps:wsp>
                      <wps:cNvSpPr txBox="1"/>
                      <wps:spPr>
                        <a:xfrm>
                          <a:off x="0" y="0"/>
                          <a:ext cx="2087245" cy="488950"/>
                        </a:xfrm>
                        <a:prstGeom prst="rect">
                          <a:avLst/>
                        </a:prstGeom>
                        <a:noFill/>
                        <a:ln w="6350">
                          <a:noFill/>
                        </a:ln>
                      </wps:spPr>
                      <wps:txbx>
                        <w:txbxContent>
                          <w:p w14:paraId="37A7938F" w14:textId="77777777" w:rsidR="003E0F22" w:rsidRPr="00D92203" w:rsidRDefault="003E0F22" w:rsidP="009122A3">
                            <w:pPr>
                              <w:jc w:val="center"/>
                              <w:rPr>
                                <w:sz w:val="20"/>
                              </w:rPr>
                            </w:pPr>
                            <w:r>
                              <w:rPr>
                                <w:sz w:val="20"/>
                              </w:rPr>
                              <w:t>“Normal income”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038278" id="_x0000_t202" coordsize="21600,21600" o:spt="202" path="m,l,21600r21600,l21600,xe">
                <v:stroke joinstyle="miter"/>
                <v:path gradientshapeok="t" o:connecttype="rect"/>
              </v:shapetype>
              <v:shape id="Text Box 10" o:spid="_x0000_s1026" type="#_x0000_t202" style="position:absolute;left:0;text-align:left;margin-left:151.5pt;margin-top:108.5pt;width:164.35pt;height:3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" filled="f" stroked="f" strokeweight=".5pt">
                <v:textbox>
                  <w:txbxContent>
                    <w:p w14:paraId="37A7938F" w14:textId="77777777" w:rsidR="003E0F22" w:rsidRPr="00D92203" w:rsidRDefault="003E0F22" w:rsidP="009122A3">
                      <w:pPr>
                        <w:jc w:val="center"/>
                        <w:rPr>
                          <w:sz w:val="20"/>
                        </w:rPr>
                      </w:pPr>
                      <w:r>
                        <w:rPr>
                          <w:sz w:val="20"/>
                        </w:rPr>
                        <w:t>“Normal income”</w:t>
                      </w:r>
                    </w:p>
                  </w:txbxContent>
                </v:textbox>
              </v:shape>
            </w:pict>
          </mc:Fallback>
        </mc:AlternateContent>
      </w:r>
      <w:r w:rsidRPr="009122A3">
        <w:rPr>
          <w:noProof/>
          <w:sz w:val="20"/>
          <w:szCs w:val="20"/>
        </w:rPr>
        <mc:AlternateContent>
          <mc:Choice Requires="wps">
            <w:drawing>
              <wp:anchor distT="0" distB="0" distL="114300" distR="114300" simplePos="0" relativeHeight="251669504" behindDoc="0" locked="0" layoutInCell="1" allowOverlap="1" wp14:anchorId="4F768058" wp14:editId="10268B76">
                <wp:simplePos x="0" y="0"/>
                <wp:positionH relativeFrom="column">
                  <wp:posOffset>1120775</wp:posOffset>
                </wp:positionH>
                <wp:positionV relativeFrom="paragraph">
                  <wp:posOffset>1047750</wp:posOffset>
                </wp:positionV>
                <wp:extent cx="3702050" cy="488950"/>
                <wp:effectExtent l="0" t="0" r="0" b="6350"/>
                <wp:wrapNone/>
                <wp:docPr id="11" name="Text Box 11"/>
                <wp:cNvGraphicFramePr/>
                <a:graphic xmlns:a="http://schemas.openxmlformats.org/drawingml/2006/main">
                  <a:graphicData uri="http://schemas.microsoft.com/office/word/2010/wordprocessingShape">
                    <wps:wsp>
                      <wps:cNvSpPr txBox="1"/>
                      <wps:spPr>
                        <a:xfrm>
                          <a:off x="0" y="0"/>
                          <a:ext cx="3702050" cy="488950"/>
                        </a:xfrm>
                        <a:prstGeom prst="rect">
                          <a:avLst/>
                        </a:prstGeom>
                        <a:noFill/>
                        <a:ln w="6350">
                          <a:noFill/>
                        </a:ln>
                      </wps:spPr>
                      <wps:txbx>
                        <w:txbxContent>
                          <w:p w14:paraId="32D4B2E9" w14:textId="77777777" w:rsidR="003E0F22" w:rsidRPr="00D92203" w:rsidRDefault="003E0F22" w:rsidP="009122A3">
                            <w:pPr>
                              <w:jc w:val="center"/>
                              <w:rPr>
                                <w:sz w:val="20"/>
                              </w:rPr>
                            </w:pPr>
                            <w:r>
                              <w:rPr>
                                <w:sz w:val="20"/>
                              </w:rPr>
                              <w:t>Tax expenditures</w:t>
                            </w:r>
                          </w:p>
                        </w:txbxContent>
                      </wps:txbx>
                      <wps:bodyPr rot="0" spcFirstLastPara="1"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4F768058" id="Text Box 11" o:spid="_x0000_s1027" type="#_x0000_t202" style="position:absolute;left:0;text-align:left;margin-left:88.25pt;margin-top:82.5pt;width:291.5pt;height:3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" filled="f" stroked="f" strokeweight=".5pt">
                <v:textbox>
                  <w:txbxContent>
                    <w:p w14:paraId="32D4B2E9" w14:textId="77777777" w:rsidR="003E0F22" w:rsidRPr="00D92203" w:rsidRDefault="003E0F22" w:rsidP="009122A3">
                      <w:pPr>
                        <w:jc w:val="center"/>
                        <w:rPr>
                          <w:sz w:val="20"/>
                        </w:rPr>
                      </w:pPr>
                      <w:r>
                        <w:rPr>
                          <w:sz w:val="20"/>
                        </w:rPr>
                        <w:t>Tax expenditures</w:t>
                      </w:r>
                    </w:p>
                  </w:txbxContent>
                </v:textbox>
              </v:shape>
            </w:pict>
          </mc:Fallback>
        </mc:AlternateContent>
      </w:r>
      <w:r w:rsidRPr="009122A3">
        <w:rPr>
          <w:noProof/>
          <w:sz w:val="20"/>
          <w:szCs w:val="20"/>
        </w:rPr>
        <mc:AlternateContent>
          <mc:Choice Requires="wps">
            <w:drawing>
              <wp:anchor distT="0" distB="0" distL="114300" distR="114300" simplePos="0" relativeHeight="251664384" behindDoc="0" locked="0" layoutInCell="1" allowOverlap="1" wp14:anchorId="31C0D907" wp14:editId="4E52ACFF">
                <wp:simplePos x="0" y="0"/>
                <wp:positionH relativeFrom="column">
                  <wp:posOffset>1114425</wp:posOffset>
                </wp:positionH>
                <wp:positionV relativeFrom="paragraph">
                  <wp:posOffset>1651000</wp:posOffset>
                </wp:positionV>
                <wp:extent cx="3702050" cy="488950"/>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3702050" cy="488950"/>
                        </a:xfrm>
                        <a:prstGeom prst="rect">
                          <a:avLst/>
                        </a:prstGeom>
                        <a:noFill/>
                        <a:ln w="6350">
                          <a:noFill/>
                        </a:ln>
                      </wps:spPr>
                      <wps:txbx>
                        <w:txbxContent>
                          <w:p w14:paraId="24E065F2" w14:textId="77777777" w:rsidR="003E0F22" w:rsidRPr="00D92203" w:rsidRDefault="003E0F22" w:rsidP="009122A3">
                            <w:pPr>
                              <w:jc w:val="center"/>
                              <w:rPr>
                                <w:sz w:val="20"/>
                              </w:rPr>
                            </w:pPr>
                            <w:r w:rsidRPr="00D92203">
                              <w:rPr>
                                <w:sz w:val="20"/>
                              </w:rPr>
                              <w:t>Haig-Simo</w:t>
                            </w:r>
                            <w:r>
                              <w:rPr>
                                <w:sz w:val="20"/>
                              </w:rPr>
                              <w:t>n Income –</w:t>
                            </w:r>
                            <w:r>
                              <w:rPr>
                                <w:sz w:val="20"/>
                              </w:rPr>
                              <w:br/>
                              <w:t xml:space="preserve"> </w:t>
                            </w:r>
                            <w:r w:rsidRPr="00D92203">
                              <w:rPr>
                                <w:sz w:val="20"/>
                              </w:rPr>
                              <w:t>consumption</w:t>
                            </w:r>
                            <w:r>
                              <w:rPr>
                                <w:sz w:val="20"/>
                              </w:rPr>
                              <w:t xml:space="preserve"> </w:t>
                            </w:r>
                            <w:r w:rsidRPr="00D92203">
                              <w:rPr>
                                <w:sz w:val="20"/>
                              </w:rPr>
                              <w:t>+</w:t>
                            </w:r>
                            <w:r>
                              <w:rPr>
                                <w:sz w:val="20"/>
                              </w:rPr>
                              <w:t xml:space="preserve"> </w:t>
                            </w:r>
                            <w:r w:rsidRPr="00D92203">
                              <w:rPr>
                                <w:sz w:val="20"/>
                              </w:rPr>
                              <w:t>change in net worth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C0D907" id="Text Box 6" o:spid="_x0000_s1028" type="#_x0000_t202" style="position:absolute;left:0;text-align:left;margin-left:87.75pt;margin-top:130pt;width:291.5pt;height:3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" filled="f" stroked="f" strokeweight=".5pt">
                <v:textbox>
                  <w:txbxContent>
                    <w:p w14:paraId="24E065F2" w14:textId="77777777" w:rsidR="003E0F22" w:rsidRPr="00D92203" w:rsidRDefault="003E0F22" w:rsidP="009122A3">
                      <w:pPr>
                        <w:jc w:val="center"/>
                        <w:rPr>
                          <w:sz w:val="20"/>
                        </w:rPr>
                      </w:pPr>
                      <w:r w:rsidRPr="00D92203">
                        <w:rPr>
                          <w:sz w:val="20"/>
                        </w:rPr>
                        <w:t>Haig-Simo</w:t>
                      </w:r>
                      <w:r>
                        <w:rPr>
                          <w:sz w:val="20"/>
                        </w:rPr>
                        <w:t>n Income –</w:t>
                      </w:r>
                      <w:r>
                        <w:rPr>
                          <w:sz w:val="20"/>
                        </w:rPr>
                        <w:br/>
                        <w:t xml:space="preserve"> </w:t>
                      </w:r>
                      <w:r w:rsidRPr="00D92203">
                        <w:rPr>
                          <w:sz w:val="20"/>
                        </w:rPr>
                        <w:t>consumption</w:t>
                      </w:r>
                      <w:r>
                        <w:rPr>
                          <w:sz w:val="20"/>
                        </w:rPr>
                        <w:t xml:space="preserve"> </w:t>
                      </w:r>
                      <w:r w:rsidRPr="00D92203">
                        <w:rPr>
                          <w:sz w:val="20"/>
                        </w:rPr>
                        <w:t>+</w:t>
                      </w:r>
                      <w:r>
                        <w:rPr>
                          <w:sz w:val="20"/>
                        </w:rPr>
                        <w:t xml:space="preserve"> </w:t>
                      </w:r>
                      <w:r w:rsidRPr="00D92203">
                        <w:rPr>
                          <w:sz w:val="20"/>
                        </w:rPr>
                        <w:t>change in net worth</w:t>
                      </w:r>
                    </w:p>
                  </w:txbxContent>
                </v:textbox>
              </v:shape>
            </w:pict>
          </mc:Fallback>
        </mc:AlternateContent>
      </w:r>
      <w:r w:rsidRPr="009122A3">
        <w:rPr>
          <w:noProof/>
          <w:sz w:val="20"/>
          <w:szCs w:val="20"/>
        </w:rPr>
        <mc:AlternateContent>
          <mc:Choice Requires="wps">
            <w:drawing>
              <wp:anchor distT="0" distB="0" distL="114300" distR="114300" simplePos="0" relativeHeight="251670528" behindDoc="0" locked="0" layoutInCell="1" allowOverlap="1" wp14:anchorId="54C3891A" wp14:editId="6C6F9BCF">
                <wp:simplePos x="0" y="0"/>
                <wp:positionH relativeFrom="column">
                  <wp:posOffset>1111250</wp:posOffset>
                </wp:positionH>
                <wp:positionV relativeFrom="paragraph">
                  <wp:posOffset>596900</wp:posOffset>
                </wp:positionV>
                <wp:extent cx="3702050" cy="488950"/>
                <wp:effectExtent l="0" t="0" r="0" b="6350"/>
                <wp:wrapNone/>
                <wp:docPr id="12" name="Text Box 12"/>
                <wp:cNvGraphicFramePr/>
                <a:graphic xmlns:a="http://schemas.openxmlformats.org/drawingml/2006/main">
                  <a:graphicData uri="http://schemas.microsoft.com/office/word/2010/wordprocessingShape">
                    <wps:wsp>
                      <wps:cNvSpPr txBox="1"/>
                      <wps:spPr>
                        <a:xfrm>
                          <a:off x="0" y="0"/>
                          <a:ext cx="3702050" cy="488950"/>
                        </a:xfrm>
                        <a:prstGeom prst="rect">
                          <a:avLst/>
                        </a:prstGeom>
                        <a:noFill/>
                        <a:ln w="6350">
                          <a:noFill/>
                        </a:ln>
                      </wps:spPr>
                      <wps:txbx>
                        <w:txbxContent>
                          <w:p w14:paraId="4FB3AB76" w14:textId="77777777" w:rsidR="003E0F22" w:rsidRPr="00D92203" w:rsidRDefault="003E0F22" w:rsidP="009122A3">
                            <w:pPr>
                              <w:jc w:val="center"/>
                              <w:rPr>
                                <w:sz w:val="20"/>
                              </w:rPr>
                            </w:pPr>
                            <w:r>
                              <w:rPr>
                                <w:sz w:val="20"/>
                              </w:rPr>
                              <w:t>IRC Income</w:t>
                            </w:r>
                          </w:p>
                        </w:txbxContent>
                      </wps:txbx>
                      <wps:bodyPr rot="0" spcFirstLastPara="1"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54C3891A" id="Text Box 12" o:spid="_x0000_s1029" type="#_x0000_t202" style="position:absolute;left:0;text-align:left;margin-left:87.5pt;margin-top:47pt;width:291.5pt;height:3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" filled="f" stroked="f" strokeweight=".5pt">
                <v:textbox>
                  <w:txbxContent>
                    <w:p w14:paraId="4FB3AB76" w14:textId="77777777" w:rsidR="003E0F22" w:rsidRPr="00D92203" w:rsidRDefault="003E0F22" w:rsidP="009122A3">
                      <w:pPr>
                        <w:jc w:val="center"/>
                        <w:rPr>
                          <w:sz w:val="20"/>
                        </w:rPr>
                      </w:pPr>
                      <w:r>
                        <w:rPr>
                          <w:sz w:val="20"/>
                        </w:rPr>
                        <w:t>IRC Income</w:t>
                      </w:r>
                    </w:p>
                  </w:txbxContent>
                </v:textbox>
              </v:shape>
            </w:pict>
          </mc:Fallback>
        </mc:AlternateContent>
      </w:r>
      <w:r w:rsidRPr="009122A3">
        <w:rPr>
          <w:noProof/>
          <w:sz w:val="20"/>
          <w:szCs w:val="20"/>
        </w:rPr>
        <mc:AlternateContent>
          <mc:Choice Requires="wps">
            <w:drawing>
              <wp:anchor distT="0" distB="0" distL="114300" distR="114300" simplePos="0" relativeHeight="251667456" behindDoc="0" locked="0" layoutInCell="1" allowOverlap="1" wp14:anchorId="10B94D96" wp14:editId="2FE230DC">
                <wp:simplePos x="0" y="0"/>
                <wp:positionH relativeFrom="margin">
                  <wp:posOffset>2633345</wp:posOffset>
                </wp:positionH>
                <wp:positionV relativeFrom="paragraph">
                  <wp:posOffset>425450</wp:posOffset>
                </wp:positionV>
                <wp:extent cx="676275" cy="673100"/>
                <wp:effectExtent l="0" t="0" r="28575" b="12700"/>
                <wp:wrapNone/>
                <wp:docPr id="9" name="Oval 9"/>
                <wp:cNvGraphicFramePr/>
                <a:graphic xmlns:a="http://schemas.openxmlformats.org/drawingml/2006/main">
                  <a:graphicData uri="http://schemas.microsoft.com/office/word/2010/wordprocessingShape">
                    <wps:wsp>
                      <wps:cNvSpPr/>
                      <wps:spPr>
                        <a:xfrm>
                          <a:off x="0" y="0"/>
                          <a:ext cx="676275" cy="6731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2889F0" id="Oval 9" o:spid="_x0000_s1026" style="position:absolute;margin-left:207.35pt;margin-top:33.5pt;width:53.25pt;height:53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" filled="f" strokecolor="#1f4d78 [1604]" strokeweight="1pt">
                <v:stroke joinstyle="miter"/>
                <w10:wrap anchorx="margin"/>
              </v:oval>
            </w:pict>
          </mc:Fallback>
        </mc:AlternateContent>
      </w:r>
      <w:r w:rsidRPr="009122A3">
        <w:rPr>
          <w:noProof/>
          <w:sz w:val="20"/>
          <w:szCs w:val="20"/>
        </w:rPr>
        <mc:AlternateContent>
          <mc:Choice Requires="wps">
            <w:drawing>
              <wp:anchor distT="0" distB="0" distL="114300" distR="114300" simplePos="0" relativeHeight="251666432" behindDoc="0" locked="0" layoutInCell="1" allowOverlap="1" wp14:anchorId="137938B3" wp14:editId="2C80D729">
                <wp:simplePos x="0" y="0"/>
                <wp:positionH relativeFrom="margin">
                  <wp:posOffset>2371725</wp:posOffset>
                </wp:positionH>
                <wp:positionV relativeFrom="paragraph">
                  <wp:posOffset>260350</wp:posOffset>
                </wp:positionV>
                <wp:extent cx="1188720" cy="1188720"/>
                <wp:effectExtent l="0" t="0" r="11430" b="11430"/>
                <wp:wrapNone/>
                <wp:docPr id="8" name="Oval 8"/>
                <wp:cNvGraphicFramePr/>
                <a:graphic xmlns:a="http://schemas.openxmlformats.org/drawingml/2006/main">
                  <a:graphicData uri="http://schemas.microsoft.com/office/word/2010/wordprocessingShape">
                    <wps:wsp>
                      <wps:cNvSpPr/>
                      <wps:spPr>
                        <a:xfrm>
                          <a:off x="0" y="0"/>
                          <a:ext cx="1188720" cy="118872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3376B7" id="Oval 8" o:spid="_x0000_s1026" style="position:absolute;margin-left:186.75pt;margin-top:20.5pt;width:93.6pt;height:93.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" filled="f" strokecolor="#1f4d78 [1604]" strokeweight="1pt">
                <v:stroke joinstyle="miter"/>
                <w10:wrap anchorx="margin"/>
              </v:oval>
            </w:pict>
          </mc:Fallback>
        </mc:AlternateContent>
      </w:r>
      <w:r w:rsidRPr="009122A3">
        <w:rPr>
          <w:noProof/>
          <w:sz w:val="20"/>
          <w:szCs w:val="20"/>
        </w:rPr>
        <mc:AlternateContent>
          <mc:Choice Requires="wps">
            <w:drawing>
              <wp:anchor distT="0" distB="0" distL="114300" distR="114300" simplePos="0" relativeHeight="251665408" behindDoc="0" locked="0" layoutInCell="1" allowOverlap="1" wp14:anchorId="65CB1935" wp14:editId="3B92F3E0">
                <wp:simplePos x="0" y="0"/>
                <wp:positionH relativeFrom="margin">
                  <wp:posOffset>2199005</wp:posOffset>
                </wp:positionH>
                <wp:positionV relativeFrom="paragraph">
                  <wp:posOffset>146050</wp:posOffset>
                </wp:positionV>
                <wp:extent cx="1545336" cy="1543050"/>
                <wp:effectExtent l="0" t="0" r="17145" b="19050"/>
                <wp:wrapNone/>
                <wp:docPr id="7" name="Oval 7"/>
                <wp:cNvGraphicFramePr/>
                <a:graphic xmlns:a="http://schemas.openxmlformats.org/drawingml/2006/main">
                  <a:graphicData uri="http://schemas.microsoft.com/office/word/2010/wordprocessingShape">
                    <wps:wsp>
                      <wps:cNvSpPr/>
                      <wps:spPr>
                        <a:xfrm>
                          <a:off x="0" y="0"/>
                          <a:ext cx="1545336" cy="15430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A4B4D0" id="Oval 7" o:spid="_x0000_s1026" style="position:absolute;margin-left:173.15pt;margin-top:11.5pt;width:121.7pt;height:121.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" filled="f" strokecolor="#1f4d78 [1604]" strokeweight="1pt">
                <v:stroke joinstyle="miter"/>
                <w10:wrap anchorx="margin"/>
              </v:oval>
            </w:pict>
          </mc:Fallback>
        </mc:AlternateContent>
      </w:r>
      <w:r w:rsidRPr="009122A3">
        <w:rPr>
          <w:noProof/>
          <w:sz w:val="20"/>
          <w:szCs w:val="20"/>
        </w:rPr>
        <mc:AlternateContent>
          <mc:Choice Requires="wps">
            <w:drawing>
              <wp:anchor distT="0" distB="0" distL="114300" distR="114300" simplePos="0" relativeHeight="251663360" behindDoc="0" locked="0" layoutInCell="1" allowOverlap="1" wp14:anchorId="0FA2A840" wp14:editId="6E1D6ADA">
                <wp:simplePos x="0" y="0"/>
                <wp:positionH relativeFrom="margin">
                  <wp:align>center</wp:align>
                </wp:positionH>
                <wp:positionV relativeFrom="paragraph">
                  <wp:posOffset>0</wp:posOffset>
                </wp:positionV>
                <wp:extent cx="2093976" cy="2093976"/>
                <wp:effectExtent l="0" t="0" r="20955" b="20955"/>
                <wp:wrapTopAndBottom/>
                <wp:docPr id="5" name="Rectangle 5"/>
                <wp:cNvGraphicFramePr/>
                <a:graphic xmlns:a="http://schemas.openxmlformats.org/drawingml/2006/main">
                  <a:graphicData uri="http://schemas.microsoft.com/office/word/2010/wordprocessingShape">
                    <wps:wsp>
                      <wps:cNvSpPr/>
                      <wps:spPr>
                        <a:xfrm>
                          <a:off x="0" y="0"/>
                          <a:ext cx="2093976" cy="209397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F56F31" id="Rectangle 5" o:spid="_x0000_s1026" style="position:absolute;margin-left:0;margin-top:0;width:164.9pt;height:164.9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" filled="f" strokecolor="#1f4d78 [1604]" strokeweight="1pt">
                <w10:wrap type="topAndBottom" anchorx="margin"/>
              </v:rect>
            </w:pict>
          </mc:Fallback>
        </mc:AlternateContent>
      </w:r>
      <w:r w:rsidRPr="009122A3">
        <w:rPr>
          <w:sz w:val="20"/>
          <w:szCs w:val="20"/>
        </w:rPr>
        <w:t>Tax expenditures are revenue losses attributable to favorable tax provisions in the IRC</w:t>
      </w:r>
    </w:p>
    <w:p w14:paraId="0F53DE50" w14:textId="484C24D3" w:rsidR="009122A3" w:rsidRDefault="009E227D" w:rsidP="009122A3">
      <w:pPr>
        <w:pStyle w:val="ListParagraph"/>
        <w:numPr>
          <w:ilvl w:val="1"/>
          <w:numId w:val="1"/>
        </w:numPr>
        <w:rPr>
          <w:sz w:val="20"/>
          <w:szCs w:val="20"/>
        </w:rPr>
      </w:pPr>
      <w:r>
        <w:rPr>
          <w:sz w:val="20"/>
          <w:szCs w:val="20"/>
        </w:rPr>
        <w:t>Requires a definition</w:t>
      </w:r>
      <w:r w:rsidR="009122A3">
        <w:rPr>
          <w:sz w:val="20"/>
          <w:szCs w:val="20"/>
        </w:rPr>
        <w:t xml:space="preserve"> of a full, “normal” income – how is th</w:t>
      </w:r>
      <w:r>
        <w:rPr>
          <w:sz w:val="20"/>
          <w:szCs w:val="20"/>
        </w:rPr>
        <w:t>is possible?</w:t>
      </w:r>
    </w:p>
    <w:p w14:paraId="2C2D9290" w14:textId="006BD7DA" w:rsidR="009E227D" w:rsidRPr="009122A3" w:rsidRDefault="009E227D" w:rsidP="009122A3">
      <w:pPr>
        <w:pStyle w:val="ListParagraph"/>
        <w:numPr>
          <w:ilvl w:val="1"/>
          <w:numId w:val="1"/>
        </w:numPr>
        <w:rPr>
          <w:sz w:val="20"/>
          <w:szCs w:val="20"/>
        </w:rPr>
      </w:pPr>
      <w:r>
        <w:rPr>
          <w:sz w:val="20"/>
          <w:szCs w:val="20"/>
        </w:rPr>
        <w:t>Haig-Simon income views any actual changes in economic position (regardless of realization)</w:t>
      </w:r>
    </w:p>
    <w:p w14:paraId="4E677573" w14:textId="49364AF5" w:rsidR="00EF4685" w:rsidRDefault="002637AE" w:rsidP="00EF4685">
      <w:pPr>
        <w:pStyle w:val="ListParagraph"/>
        <w:numPr>
          <w:ilvl w:val="0"/>
          <w:numId w:val="1"/>
        </w:numPr>
        <w:rPr>
          <w:sz w:val="20"/>
          <w:szCs w:val="20"/>
        </w:rPr>
      </w:pPr>
      <w:r>
        <w:rPr>
          <w:sz w:val="20"/>
          <w:szCs w:val="20"/>
        </w:rPr>
        <w:t>The two most common perspectives for taxation are income and consumption</w:t>
      </w:r>
    </w:p>
    <w:p w14:paraId="4D188CE8" w14:textId="0B2F58B5" w:rsidR="009122A3" w:rsidRDefault="009122A3" w:rsidP="00EF4685">
      <w:pPr>
        <w:pStyle w:val="ListParagraph"/>
        <w:numPr>
          <w:ilvl w:val="1"/>
          <w:numId w:val="1"/>
        </w:numPr>
        <w:rPr>
          <w:sz w:val="20"/>
          <w:szCs w:val="20"/>
        </w:rPr>
      </w:pPr>
      <w:r w:rsidRPr="009122A3">
        <w:rPr>
          <w:sz w:val="20"/>
          <w:szCs w:val="20"/>
        </w:rPr>
        <w:lastRenderedPageBreak/>
        <w:t>Income taxes reduce value of future consumption,</w:t>
      </w:r>
      <w:r w:rsidR="002637AE">
        <w:rPr>
          <w:sz w:val="20"/>
          <w:szCs w:val="20"/>
        </w:rPr>
        <w:t xml:space="preserve"> encouraging </w:t>
      </w:r>
      <w:r w:rsidRPr="009122A3">
        <w:rPr>
          <w:sz w:val="20"/>
          <w:szCs w:val="20"/>
        </w:rPr>
        <w:t>spend</w:t>
      </w:r>
      <w:r w:rsidR="002637AE">
        <w:rPr>
          <w:sz w:val="20"/>
          <w:szCs w:val="20"/>
        </w:rPr>
        <w:t>ing</w:t>
      </w:r>
      <w:r w:rsidRPr="009122A3">
        <w:rPr>
          <w:sz w:val="20"/>
          <w:szCs w:val="20"/>
        </w:rPr>
        <w:t xml:space="preserve"> </w:t>
      </w:r>
      <w:r w:rsidRPr="009122A3">
        <w:rPr>
          <w:i/>
          <w:sz w:val="20"/>
          <w:szCs w:val="20"/>
        </w:rPr>
        <w:t>now</w:t>
      </w:r>
      <w:r w:rsidR="002637AE">
        <w:rPr>
          <w:i/>
          <w:sz w:val="20"/>
          <w:szCs w:val="20"/>
        </w:rPr>
        <w:t xml:space="preserve">. </w:t>
      </w:r>
      <w:r w:rsidR="002637AE">
        <w:rPr>
          <w:sz w:val="20"/>
          <w:szCs w:val="20"/>
        </w:rPr>
        <w:t>Consumption taxes penalize current consumption, encouraging saving</w:t>
      </w:r>
    </w:p>
    <w:p w14:paraId="2956175B" w14:textId="7FC7D726" w:rsidR="002637AE" w:rsidRDefault="002637AE" w:rsidP="00EF4685">
      <w:pPr>
        <w:pStyle w:val="ListParagraph"/>
        <w:numPr>
          <w:ilvl w:val="1"/>
          <w:numId w:val="1"/>
        </w:numPr>
        <w:rPr>
          <w:sz w:val="20"/>
          <w:szCs w:val="20"/>
        </w:rPr>
      </w:pPr>
      <w:r>
        <w:rPr>
          <w:sz w:val="20"/>
          <w:szCs w:val="20"/>
        </w:rPr>
        <w:t xml:space="preserve">Income tax proponents tend to emphasize fairness (more likely to capture people’s ability to pay) while consumption tax advocates emphasize economic efficiency </w:t>
      </w:r>
    </w:p>
    <w:p w14:paraId="3095C2BE" w14:textId="1A6AD615" w:rsidR="0048039B" w:rsidRDefault="0048039B" w:rsidP="0048039B">
      <w:pPr>
        <w:pStyle w:val="ListParagraph"/>
        <w:numPr>
          <w:ilvl w:val="2"/>
          <w:numId w:val="1"/>
        </w:numPr>
        <w:rPr>
          <w:sz w:val="20"/>
          <w:szCs w:val="20"/>
        </w:rPr>
      </w:pPr>
      <w:r>
        <w:rPr>
          <w:sz w:val="20"/>
          <w:szCs w:val="20"/>
        </w:rPr>
        <w:t>Mill argues consumption is more fair because it penalizes individuals who remove goods from the societal pool for individual consumption</w:t>
      </w:r>
    </w:p>
    <w:p w14:paraId="54CEDCAC" w14:textId="10D2FCD5" w:rsidR="006B044C" w:rsidRPr="009122A3" w:rsidRDefault="006B044C" w:rsidP="006B044C">
      <w:pPr>
        <w:pStyle w:val="ListParagraph"/>
        <w:numPr>
          <w:ilvl w:val="1"/>
          <w:numId w:val="1"/>
        </w:numPr>
        <w:rPr>
          <w:sz w:val="20"/>
          <w:szCs w:val="20"/>
        </w:rPr>
      </w:pPr>
      <w:r>
        <w:rPr>
          <w:sz w:val="20"/>
          <w:szCs w:val="20"/>
        </w:rPr>
        <w:t>Due to exemption-deduction equivalence, a consumption tax can simply be viewed as an exemption of all capital income – therefore, the equivalent of a wage tax</w:t>
      </w:r>
    </w:p>
    <w:p w14:paraId="41E27DDE" w14:textId="77777777" w:rsidR="009122A3" w:rsidRPr="009122A3" w:rsidRDefault="009122A3" w:rsidP="00EF4685">
      <w:pPr>
        <w:pStyle w:val="ListParagraph"/>
        <w:numPr>
          <w:ilvl w:val="1"/>
          <w:numId w:val="1"/>
        </w:numPr>
        <w:rPr>
          <w:sz w:val="20"/>
          <w:szCs w:val="20"/>
        </w:rPr>
      </w:pPr>
      <w:r w:rsidRPr="009122A3">
        <w:rPr>
          <w:sz w:val="20"/>
          <w:szCs w:val="20"/>
        </w:rPr>
        <w:t>U.S. taxes are actually hybrids of income and consumption taxes</w:t>
      </w:r>
    </w:p>
    <w:p w14:paraId="361225E2" w14:textId="77777777" w:rsidR="00EE7AB9" w:rsidRDefault="00EE7AB9" w:rsidP="00EE7AB9">
      <w:pPr>
        <w:pStyle w:val="ListParagraph"/>
        <w:numPr>
          <w:ilvl w:val="0"/>
          <w:numId w:val="1"/>
        </w:numPr>
        <w:rPr>
          <w:sz w:val="20"/>
          <w:szCs w:val="20"/>
        </w:rPr>
      </w:pPr>
      <w:r>
        <w:rPr>
          <w:sz w:val="20"/>
          <w:szCs w:val="20"/>
        </w:rPr>
        <w:t>An employer’s payment of income tax counts as additional income that must be taxed (</w:t>
      </w:r>
      <w:r>
        <w:rPr>
          <w:i/>
          <w:sz w:val="20"/>
          <w:szCs w:val="20"/>
        </w:rPr>
        <w:t>Old Colony Trust</w:t>
      </w:r>
      <w:r>
        <w:rPr>
          <w:sz w:val="20"/>
          <w:szCs w:val="20"/>
        </w:rPr>
        <w:t>)</w:t>
      </w:r>
    </w:p>
    <w:p w14:paraId="71442DF6" w14:textId="77777777" w:rsidR="00EE7AB9" w:rsidRDefault="00EE7AB9" w:rsidP="00EE7AB9">
      <w:pPr>
        <w:pStyle w:val="ListParagraph"/>
        <w:numPr>
          <w:ilvl w:val="1"/>
          <w:numId w:val="1"/>
        </w:numPr>
        <w:rPr>
          <w:sz w:val="20"/>
          <w:szCs w:val="20"/>
        </w:rPr>
      </w:pPr>
      <w:r>
        <w:rPr>
          <w:sz w:val="20"/>
          <w:szCs w:val="20"/>
        </w:rPr>
        <w:t>Leads to practice of “grossing up” incomes under formula of Gross = Net / (1 – tax rate)</w:t>
      </w:r>
    </w:p>
    <w:p w14:paraId="1170C5A7" w14:textId="77777777" w:rsidR="00EE7AB9" w:rsidRDefault="00EE7AB9" w:rsidP="00EE7AB9">
      <w:pPr>
        <w:pStyle w:val="ListParagraph"/>
        <w:numPr>
          <w:ilvl w:val="0"/>
          <w:numId w:val="1"/>
        </w:numPr>
        <w:rPr>
          <w:sz w:val="20"/>
          <w:szCs w:val="20"/>
        </w:rPr>
      </w:pPr>
      <w:r>
        <w:rPr>
          <w:sz w:val="20"/>
          <w:szCs w:val="20"/>
        </w:rPr>
        <w:t xml:space="preserve">Gross income </w:t>
      </w:r>
      <w:r>
        <w:rPr>
          <w:b/>
          <w:sz w:val="20"/>
          <w:szCs w:val="20"/>
        </w:rPr>
        <w:t xml:space="preserve">does not </w:t>
      </w:r>
      <w:r>
        <w:rPr>
          <w:sz w:val="20"/>
          <w:szCs w:val="20"/>
        </w:rPr>
        <w:t>include interest on state and local bonds (§103)</w:t>
      </w:r>
    </w:p>
    <w:p w14:paraId="67704B87" w14:textId="04FCD9FB" w:rsidR="007C5E0E" w:rsidRDefault="007C5E0E" w:rsidP="007C5E0E">
      <w:pPr>
        <w:pStyle w:val="ListParagraph"/>
        <w:numPr>
          <w:ilvl w:val="1"/>
          <w:numId w:val="1"/>
        </w:numPr>
        <w:rPr>
          <w:sz w:val="20"/>
          <w:szCs w:val="20"/>
        </w:rPr>
      </w:pPr>
      <w:r>
        <w:rPr>
          <w:sz w:val="20"/>
          <w:szCs w:val="20"/>
        </w:rPr>
        <w:t xml:space="preserve">Essentially a wealth </w:t>
      </w:r>
      <w:proofErr w:type="gramStart"/>
      <w:r>
        <w:rPr>
          <w:sz w:val="20"/>
          <w:szCs w:val="20"/>
        </w:rPr>
        <w:t>transfer</w:t>
      </w:r>
      <w:proofErr w:type="gramEnd"/>
      <w:r>
        <w:rPr>
          <w:sz w:val="20"/>
          <w:szCs w:val="20"/>
        </w:rPr>
        <w:t xml:space="preserve"> from DC to state governments – money the federal government would have collected in taxes goes to state/local because they can offer bonds with a lower pre-tax return (since tax will be 0)</w:t>
      </w:r>
    </w:p>
    <w:p w14:paraId="5A0E78AC" w14:textId="151B5B58" w:rsidR="007C5E0E" w:rsidRDefault="007C5E0E" w:rsidP="007C5E0E">
      <w:pPr>
        <w:pStyle w:val="ListParagraph"/>
        <w:numPr>
          <w:ilvl w:val="1"/>
          <w:numId w:val="1"/>
        </w:numPr>
        <w:rPr>
          <w:sz w:val="20"/>
          <w:szCs w:val="20"/>
        </w:rPr>
      </w:pPr>
      <w:r>
        <w:rPr>
          <w:sz w:val="20"/>
          <w:szCs w:val="20"/>
        </w:rPr>
        <w:t xml:space="preserve">Huge benefit to higher-income individuals, since tax-free bond rates usually must cater to individuals </w:t>
      </w:r>
      <w:r>
        <w:rPr>
          <w:i/>
          <w:sz w:val="20"/>
          <w:szCs w:val="20"/>
        </w:rPr>
        <w:t xml:space="preserve">not </w:t>
      </w:r>
      <w:r>
        <w:rPr>
          <w:sz w:val="20"/>
          <w:szCs w:val="20"/>
        </w:rPr>
        <w:t>in the highest tax brackets to generate sufficient revenue– the additional return the highest-income individuals generate is a windfall</w:t>
      </w:r>
    </w:p>
    <w:p w14:paraId="751ADA08" w14:textId="0BC38F58" w:rsidR="00EE7AB9" w:rsidRDefault="00FC5895" w:rsidP="00EE7AB9">
      <w:pPr>
        <w:pStyle w:val="ListParagraph"/>
        <w:numPr>
          <w:ilvl w:val="1"/>
          <w:numId w:val="1"/>
        </w:numPr>
        <w:rPr>
          <w:sz w:val="20"/>
          <w:szCs w:val="20"/>
        </w:rPr>
      </w:pPr>
      <w:r>
        <w:rPr>
          <w:sz w:val="20"/>
          <w:szCs w:val="20"/>
        </w:rPr>
        <w:t xml:space="preserve">Arbitrage bonds (bond </w:t>
      </w:r>
      <w:r w:rsidR="00EE7AB9">
        <w:rPr>
          <w:sz w:val="20"/>
          <w:szCs w:val="20"/>
        </w:rPr>
        <w:t xml:space="preserve">proceeds are invested in higher returning assets) </w:t>
      </w:r>
      <w:r w:rsidR="00EE7AB9">
        <w:rPr>
          <w:b/>
          <w:sz w:val="20"/>
          <w:szCs w:val="20"/>
        </w:rPr>
        <w:t xml:space="preserve">are </w:t>
      </w:r>
      <w:r w:rsidR="00EE7AB9">
        <w:rPr>
          <w:sz w:val="20"/>
          <w:szCs w:val="20"/>
        </w:rPr>
        <w:t>taxable - §148</w:t>
      </w:r>
    </w:p>
    <w:p w14:paraId="36FDE51B" w14:textId="05DDD870" w:rsidR="00EE7AB9" w:rsidRDefault="00EE7AB9" w:rsidP="00EE7AB9">
      <w:pPr>
        <w:pStyle w:val="ListParagraph"/>
        <w:numPr>
          <w:ilvl w:val="1"/>
          <w:numId w:val="1"/>
        </w:numPr>
        <w:rPr>
          <w:sz w:val="20"/>
          <w:szCs w:val="20"/>
        </w:rPr>
      </w:pPr>
      <w:r>
        <w:rPr>
          <w:sz w:val="20"/>
          <w:szCs w:val="20"/>
        </w:rPr>
        <w:t xml:space="preserve">Non-qualified private activity bonds </w:t>
      </w:r>
      <w:r>
        <w:rPr>
          <w:b/>
          <w:sz w:val="20"/>
          <w:szCs w:val="20"/>
        </w:rPr>
        <w:t xml:space="preserve">are </w:t>
      </w:r>
      <w:r>
        <w:rPr>
          <w:sz w:val="20"/>
          <w:szCs w:val="20"/>
        </w:rPr>
        <w:t xml:space="preserve">also taxable </w:t>
      </w:r>
    </w:p>
    <w:p w14:paraId="2AC4F60A" w14:textId="6E505262" w:rsidR="00D1314D" w:rsidRDefault="00D1314D" w:rsidP="00D1314D">
      <w:pPr>
        <w:pStyle w:val="ListParagraph"/>
        <w:numPr>
          <w:ilvl w:val="2"/>
          <w:numId w:val="1"/>
        </w:numPr>
        <w:rPr>
          <w:sz w:val="20"/>
          <w:szCs w:val="20"/>
        </w:rPr>
      </w:pPr>
      <w:r>
        <w:rPr>
          <w:sz w:val="20"/>
          <w:szCs w:val="20"/>
        </w:rPr>
        <w:t>Private activity bonds may fall within the 501(c)(3) exception if all property to be provided through the bond’s proceeds will be owned by a governmental unit or a 501(c)(3) organization - §145</w:t>
      </w:r>
    </w:p>
    <w:p w14:paraId="1A757B01" w14:textId="5714ACE6" w:rsidR="007C5E0E" w:rsidRDefault="007C5E0E" w:rsidP="007C5E0E">
      <w:pPr>
        <w:pStyle w:val="ListParagraph"/>
        <w:numPr>
          <w:ilvl w:val="1"/>
          <w:numId w:val="1"/>
        </w:numPr>
        <w:rPr>
          <w:sz w:val="20"/>
          <w:szCs w:val="20"/>
        </w:rPr>
      </w:pPr>
      <w:r>
        <w:rPr>
          <w:sz w:val="20"/>
          <w:szCs w:val="20"/>
        </w:rPr>
        <w:t>U</w:t>
      </w:r>
      <w:r w:rsidR="00E34FCE">
        <w:rPr>
          <w:sz w:val="20"/>
          <w:szCs w:val="20"/>
        </w:rPr>
        <w:t>.S. savings bond interest is</w:t>
      </w:r>
      <w:r>
        <w:rPr>
          <w:sz w:val="20"/>
          <w:szCs w:val="20"/>
        </w:rPr>
        <w:t xml:space="preserve"> tax-exempt</w:t>
      </w:r>
      <w:r w:rsidR="00E34FCE">
        <w:rPr>
          <w:sz w:val="20"/>
          <w:szCs w:val="20"/>
        </w:rPr>
        <w:t xml:space="preserve"> if used to pay college</w:t>
      </w:r>
      <w:r>
        <w:rPr>
          <w:sz w:val="20"/>
          <w:szCs w:val="20"/>
        </w:rPr>
        <w:t xml:space="preserve"> expenses (tuition and fees) - §135</w:t>
      </w:r>
    </w:p>
    <w:p w14:paraId="0726945D" w14:textId="5C333162" w:rsidR="00890AFC" w:rsidRDefault="00890AFC" w:rsidP="00890AFC">
      <w:pPr>
        <w:pStyle w:val="ListParagraph"/>
        <w:numPr>
          <w:ilvl w:val="2"/>
          <w:numId w:val="1"/>
        </w:numPr>
        <w:rPr>
          <w:sz w:val="20"/>
          <w:szCs w:val="20"/>
        </w:rPr>
      </w:pPr>
      <w:r>
        <w:rPr>
          <w:sz w:val="20"/>
          <w:szCs w:val="20"/>
        </w:rPr>
        <w:t xml:space="preserve">Contains both a ratio cap (if tuition is only 70% of bond interest, only 70% of interest is excludable) </w:t>
      </w:r>
      <w:r w:rsidR="00D13B3A">
        <w:rPr>
          <w:sz w:val="20"/>
          <w:szCs w:val="20"/>
        </w:rPr>
        <w:t>and a dollar cap (full benefit until $40k, benefit disappears by $55k)</w:t>
      </w:r>
    </w:p>
    <w:p w14:paraId="7C375C5D" w14:textId="5B2AABF2" w:rsidR="00B01799" w:rsidRPr="00B01799" w:rsidRDefault="00B01799" w:rsidP="00EE7AB9">
      <w:pPr>
        <w:pStyle w:val="Heading4"/>
        <w:tabs>
          <w:tab w:val="left" w:pos="3930"/>
        </w:tabs>
        <w:rPr>
          <w:sz w:val="20"/>
        </w:rPr>
      </w:pPr>
      <w:r>
        <w:rPr>
          <w:sz w:val="20"/>
        </w:rPr>
        <w:t>Non-Cash</w:t>
      </w:r>
      <w:r w:rsidRPr="00B01799">
        <w:rPr>
          <w:sz w:val="20"/>
        </w:rPr>
        <w:t xml:space="preserve"> Benefits</w:t>
      </w:r>
      <w:r w:rsidR="00EE7AB9">
        <w:rPr>
          <w:sz w:val="20"/>
        </w:rPr>
        <w:tab/>
      </w:r>
    </w:p>
    <w:p w14:paraId="38E8F3EA" w14:textId="0FB7A521" w:rsidR="006A136C" w:rsidRDefault="006A136C" w:rsidP="00A548E6">
      <w:pPr>
        <w:pStyle w:val="ListParagraph"/>
        <w:numPr>
          <w:ilvl w:val="0"/>
          <w:numId w:val="5"/>
        </w:numPr>
        <w:rPr>
          <w:sz w:val="20"/>
          <w:szCs w:val="20"/>
        </w:rPr>
      </w:pPr>
      <w:r>
        <w:rPr>
          <w:sz w:val="20"/>
          <w:szCs w:val="20"/>
        </w:rPr>
        <w:t>Fringe benefits create problems with equity, efficiency, and complexity</w:t>
      </w:r>
    </w:p>
    <w:p w14:paraId="1346A514" w14:textId="5F0768C7" w:rsidR="006A136C" w:rsidRDefault="006A136C" w:rsidP="00A548E6">
      <w:pPr>
        <w:pStyle w:val="ListParagraph"/>
        <w:numPr>
          <w:ilvl w:val="1"/>
          <w:numId w:val="5"/>
        </w:numPr>
        <w:rPr>
          <w:sz w:val="20"/>
          <w:szCs w:val="20"/>
        </w:rPr>
      </w:pPr>
      <w:r>
        <w:rPr>
          <w:sz w:val="20"/>
          <w:szCs w:val="20"/>
        </w:rPr>
        <w:t>Creates problems of deadweight loss, if market value and subjective values are unequal – taxes might create incentives to make different choices than in a tax-free world</w:t>
      </w:r>
    </w:p>
    <w:p w14:paraId="3A4B7D20" w14:textId="1B227054" w:rsidR="006A136C" w:rsidRDefault="006A136C" w:rsidP="00A548E6">
      <w:pPr>
        <w:pStyle w:val="ListParagraph"/>
        <w:numPr>
          <w:ilvl w:val="1"/>
          <w:numId w:val="5"/>
        </w:numPr>
        <w:rPr>
          <w:sz w:val="20"/>
          <w:szCs w:val="20"/>
        </w:rPr>
      </w:pPr>
      <w:r>
        <w:rPr>
          <w:sz w:val="20"/>
          <w:szCs w:val="20"/>
        </w:rPr>
        <w:t xml:space="preserve">Tend to be available to wealthy </w:t>
      </w:r>
      <w:r w:rsidR="00FC5895">
        <w:rPr>
          <w:sz w:val="20"/>
          <w:szCs w:val="20"/>
        </w:rPr>
        <w:t>(also more beneficial –</w:t>
      </w:r>
      <w:r>
        <w:rPr>
          <w:sz w:val="20"/>
          <w:szCs w:val="20"/>
        </w:rPr>
        <w:t xml:space="preserve"> marginal tax rate is higher)</w:t>
      </w:r>
    </w:p>
    <w:p w14:paraId="75F77485" w14:textId="451EEF80" w:rsidR="00396EAD" w:rsidRDefault="00396EAD" w:rsidP="00A548E6">
      <w:pPr>
        <w:pStyle w:val="ListParagraph"/>
        <w:numPr>
          <w:ilvl w:val="1"/>
          <w:numId w:val="5"/>
        </w:numPr>
        <w:rPr>
          <w:sz w:val="20"/>
          <w:szCs w:val="20"/>
        </w:rPr>
      </w:pPr>
      <w:r>
        <w:rPr>
          <w:sz w:val="20"/>
          <w:szCs w:val="20"/>
        </w:rPr>
        <w:t>Congress takes different approaches in various Code provisions: all-or-nothing (meals &amp; lodging); dollar caps (transportation); percentage caps (education lodging); or taxing the employer unless certain conditions are met (gyms)</w:t>
      </w:r>
    </w:p>
    <w:p w14:paraId="4CC67FD7" w14:textId="68415B9C" w:rsidR="00235E7B" w:rsidRDefault="00396EAD" w:rsidP="00A548E6">
      <w:pPr>
        <w:pStyle w:val="ListParagraph"/>
        <w:numPr>
          <w:ilvl w:val="0"/>
          <w:numId w:val="2"/>
        </w:numPr>
        <w:rPr>
          <w:sz w:val="20"/>
          <w:szCs w:val="20"/>
        </w:rPr>
      </w:pPr>
      <w:r>
        <w:rPr>
          <w:sz w:val="20"/>
          <w:szCs w:val="20"/>
        </w:rPr>
        <w:t>ALWAYS ask what Congress’ intended outcome is – what incentives are being created?</w:t>
      </w:r>
    </w:p>
    <w:p w14:paraId="2E646828" w14:textId="71BA5ED4" w:rsidR="00CF5E8D" w:rsidRDefault="00FC5895" w:rsidP="00A548E6">
      <w:pPr>
        <w:pStyle w:val="ListParagraph"/>
        <w:numPr>
          <w:ilvl w:val="0"/>
          <w:numId w:val="2"/>
        </w:numPr>
        <w:rPr>
          <w:sz w:val="20"/>
          <w:szCs w:val="20"/>
        </w:rPr>
      </w:pPr>
      <w:r>
        <w:rPr>
          <w:sz w:val="20"/>
          <w:szCs w:val="20"/>
        </w:rPr>
        <w:t xml:space="preserve">Why not assume </w:t>
      </w:r>
      <w:r w:rsidR="00CF5E8D">
        <w:rPr>
          <w:sz w:val="20"/>
          <w:szCs w:val="20"/>
        </w:rPr>
        <w:t xml:space="preserve">all fringe benefits </w:t>
      </w:r>
      <w:r>
        <w:rPr>
          <w:sz w:val="20"/>
          <w:szCs w:val="20"/>
        </w:rPr>
        <w:t>(</w:t>
      </w:r>
      <w:r w:rsidR="00CF5E8D">
        <w:rPr>
          <w:sz w:val="20"/>
          <w:szCs w:val="20"/>
        </w:rPr>
        <w:t>other than working condition fringes</w:t>
      </w:r>
      <w:r>
        <w:rPr>
          <w:sz w:val="20"/>
          <w:szCs w:val="20"/>
        </w:rPr>
        <w:t>)</w:t>
      </w:r>
      <w:r w:rsidR="00CF5E8D">
        <w:rPr>
          <w:sz w:val="20"/>
          <w:szCs w:val="20"/>
        </w:rPr>
        <w:t xml:space="preserve"> are part of the bargain between employers</w:t>
      </w:r>
      <w:r>
        <w:rPr>
          <w:sz w:val="20"/>
          <w:szCs w:val="20"/>
        </w:rPr>
        <w:t xml:space="preserve"> and employees and include FMV </w:t>
      </w:r>
      <w:r w:rsidR="00CF5E8D">
        <w:rPr>
          <w:sz w:val="20"/>
          <w:szCs w:val="20"/>
        </w:rPr>
        <w:t>in income?</w:t>
      </w:r>
    </w:p>
    <w:p w14:paraId="2B33E7F1" w14:textId="75116853" w:rsidR="00CF5E8D" w:rsidRDefault="00CF5E8D" w:rsidP="00A548E6">
      <w:pPr>
        <w:pStyle w:val="ListParagraph"/>
        <w:numPr>
          <w:ilvl w:val="0"/>
          <w:numId w:val="2"/>
        </w:numPr>
        <w:rPr>
          <w:sz w:val="20"/>
          <w:szCs w:val="20"/>
        </w:rPr>
      </w:pPr>
      <w:r>
        <w:rPr>
          <w:sz w:val="20"/>
          <w:szCs w:val="20"/>
        </w:rPr>
        <w:t>Congress could also disallow the employer’s deduction for providing the fringe benefit, rather than tax each individual employee</w:t>
      </w:r>
    </w:p>
    <w:p w14:paraId="1491377D" w14:textId="65FC332F" w:rsidR="00B874BF" w:rsidRDefault="00B874BF" w:rsidP="00A548E6">
      <w:pPr>
        <w:pStyle w:val="ListParagraph"/>
        <w:numPr>
          <w:ilvl w:val="1"/>
          <w:numId w:val="5"/>
        </w:numPr>
        <w:rPr>
          <w:sz w:val="20"/>
          <w:szCs w:val="20"/>
        </w:rPr>
      </w:pPr>
      <w:r>
        <w:rPr>
          <w:sz w:val="20"/>
          <w:szCs w:val="20"/>
        </w:rPr>
        <w:t>Economic benefit will not be taxable to a recipient when payment of expenses serve</w:t>
      </w:r>
      <w:r w:rsidR="0055137C">
        <w:rPr>
          <w:sz w:val="20"/>
          <w:szCs w:val="20"/>
        </w:rPr>
        <w:t>s</w:t>
      </w:r>
      <w:r>
        <w:rPr>
          <w:sz w:val="20"/>
          <w:szCs w:val="20"/>
        </w:rPr>
        <w:t xml:space="preserve"> a legitimate business purpose (</w:t>
      </w:r>
      <w:proofErr w:type="spellStart"/>
      <w:r>
        <w:rPr>
          <w:i/>
          <w:sz w:val="20"/>
          <w:szCs w:val="20"/>
        </w:rPr>
        <w:t>Gotcher</w:t>
      </w:r>
      <w:proofErr w:type="spellEnd"/>
      <w:r>
        <w:rPr>
          <w:i/>
          <w:sz w:val="20"/>
          <w:szCs w:val="20"/>
        </w:rPr>
        <w:t xml:space="preserve"> </w:t>
      </w:r>
      <w:r>
        <w:rPr>
          <w:sz w:val="20"/>
          <w:szCs w:val="20"/>
        </w:rPr>
        <w:t>– trip to Germany had overarching business purpose)</w:t>
      </w:r>
    </w:p>
    <w:p w14:paraId="6FB1BCB2" w14:textId="172BD188" w:rsidR="00EA23F9" w:rsidRPr="002C5E65" w:rsidRDefault="0055137C" w:rsidP="002C5E65">
      <w:pPr>
        <w:pStyle w:val="ListParagraph"/>
        <w:numPr>
          <w:ilvl w:val="0"/>
          <w:numId w:val="3"/>
        </w:numPr>
        <w:rPr>
          <w:sz w:val="20"/>
          <w:szCs w:val="20"/>
        </w:rPr>
      </w:pPr>
      <w:r w:rsidRPr="002C5E65">
        <w:rPr>
          <w:sz w:val="20"/>
          <w:szCs w:val="20"/>
        </w:rPr>
        <w:t>Travel expenses for spouses require that spouse also be an employee, serve a legitimate business purpose, and the expenses would have otherwise been deductible - §274(m)(3)</w:t>
      </w:r>
    </w:p>
    <w:p w14:paraId="7429D044" w14:textId="582AF2CA" w:rsidR="00BD4BD4" w:rsidRDefault="00960134" w:rsidP="00A548E6">
      <w:pPr>
        <w:pStyle w:val="ListParagraph"/>
        <w:numPr>
          <w:ilvl w:val="0"/>
          <w:numId w:val="5"/>
        </w:numPr>
        <w:rPr>
          <w:sz w:val="20"/>
          <w:szCs w:val="20"/>
        </w:rPr>
      </w:pPr>
      <w:r>
        <w:rPr>
          <w:sz w:val="20"/>
          <w:szCs w:val="20"/>
        </w:rPr>
        <w:t xml:space="preserve">Gross income </w:t>
      </w:r>
      <w:r>
        <w:rPr>
          <w:b/>
          <w:sz w:val="20"/>
          <w:szCs w:val="20"/>
        </w:rPr>
        <w:t xml:space="preserve">does not </w:t>
      </w:r>
      <w:r>
        <w:rPr>
          <w:sz w:val="20"/>
          <w:szCs w:val="20"/>
        </w:rPr>
        <w:t xml:space="preserve">include meals and lodging provided by the employer for the employer’s convenience </w:t>
      </w:r>
      <w:r>
        <w:rPr>
          <w:b/>
          <w:sz w:val="20"/>
          <w:szCs w:val="20"/>
        </w:rPr>
        <w:t xml:space="preserve">if </w:t>
      </w:r>
      <w:r>
        <w:rPr>
          <w:sz w:val="20"/>
          <w:szCs w:val="20"/>
        </w:rPr>
        <w:t>meals are furnished on the employer’s business premise or employee is required to accept such lodging on the employer’s business premise – §119(a)</w:t>
      </w:r>
    </w:p>
    <w:p w14:paraId="65C435C9" w14:textId="7ED2D47E" w:rsidR="00414233" w:rsidRPr="00BD4BD4" w:rsidRDefault="007A2158" w:rsidP="00A548E6">
      <w:pPr>
        <w:pStyle w:val="ListParagraph"/>
        <w:numPr>
          <w:ilvl w:val="1"/>
          <w:numId w:val="5"/>
        </w:numPr>
        <w:rPr>
          <w:sz w:val="20"/>
          <w:szCs w:val="20"/>
        </w:rPr>
      </w:pPr>
      <w:r w:rsidRPr="00BD4BD4">
        <w:rPr>
          <w:sz w:val="20"/>
          <w:szCs w:val="20"/>
        </w:rPr>
        <w:t>Attempts to ensure emplo</w:t>
      </w:r>
      <w:r w:rsidR="00FF7F2A">
        <w:rPr>
          <w:sz w:val="20"/>
          <w:szCs w:val="20"/>
        </w:rPr>
        <w:t>yers aren’</w:t>
      </w:r>
      <w:r w:rsidRPr="00BD4BD4">
        <w:rPr>
          <w:sz w:val="20"/>
          <w:szCs w:val="20"/>
        </w:rPr>
        <w:t>t benefitting by furn</w:t>
      </w:r>
      <w:r w:rsidR="00FF7F2A">
        <w:rPr>
          <w:sz w:val="20"/>
          <w:szCs w:val="20"/>
        </w:rPr>
        <w:t>ishing meals rather than upping salary</w:t>
      </w:r>
    </w:p>
    <w:p w14:paraId="608FEB5A" w14:textId="7BF26BD7" w:rsidR="00414233" w:rsidRDefault="00414233" w:rsidP="00A548E6">
      <w:pPr>
        <w:pStyle w:val="ListParagraph"/>
        <w:numPr>
          <w:ilvl w:val="2"/>
          <w:numId w:val="5"/>
        </w:numPr>
        <w:rPr>
          <w:sz w:val="20"/>
          <w:szCs w:val="20"/>
        </w:rPr>
      </w:pPr>
      <w:r>
        <w:rPr>
          <w:sz w:val="20"/>
          <w:szCs w:val="20"/>
        </w:rPr>
        <w:lastRenderedPageBreak/>
        <w:t>Meals a</w:t>
      </w:r>
      <w:r w:rsidR="003E0F22">
        <w:rPr>
          <w:sz w:val="20"/>
          <w:szCs w:val="20"/>
        </w:rPr>
        <w:t>re provided for</w:t>
      </w:r>
      <w:r>
        <w:rPr>
          <w:sz w:val="20"/>
          <w:szCs w:val="20"/>
        </w:rPr>
        <w:t xml:space="preserve"> employer’s convenience only if there is a substantial </w:t>
      </w:r>
      <w:proofErr w:type="spellStart"/>
      <w:r>
        <w:rPr>
          <w:sz w:val="20"/>
          <w:szCs w:val="20"/>
        </w:rPr>
        <w:t>noncompensatory</w:t>
      </w:r>
      <w:proofErr w:type="spellEnd"/>
      <w:r>
        <w:rPr>
          <w:sz w:val="20"/>
          <w:szCs w:val="20"/>
        </w:rPr>
        <w:t xml:space="preserve"> purpose</w:t>
      </w:r>
    </w:p>
    <w:p w14:paraId="7AE818CB" w14:textId="0F2C068E" w:rsidR="00414233" w:rsidRDefault="003E0F22" w:rsidP="00A548E6">
      <w:pPr>
        <w:pStyle w:val="ListParagraph"/>
        <w:numPr>
          <w:ilvl w:val="3"/>
          <w:numId w:val="5"/>
        </w:numPr>
        <w:rPr>
          <w:sz w:val="20"/>
          <w:szCs w:val="20"/>
        </w:rPr>
      </w:pPr>
      <w:r>
        <w:rPr>
          <w:sz w:val="20"/>
          <w:szCs w:val="20"/>
        </w:rPr>
        <w:t>Generally, on-</w:t>
      </w:r>
      <w:r w:rsidR="00414233">
        <w:rPr>
          <w:sz w:val="20"/>
          <w:szCs w:val="20"/>
        </w:rPr>
        <w:t>call requirement establishes that lodging/meals are for employer’s convenience</w:t>
      </w:r>
    </w:p>
    <w:p w14:paraId="1B270E28" w14:textId="77777777" w:rsidR="00BD4BD4" w:rsidRDefault="00414233" w:rsidP="00A548E6">
      <w:pPr>
        <w:pStyle w:val="ListParagraph"/>
        <w:numPr>
          <w:ilvl w:val="3"/>
          <w:numId w:val="5"/>
        </w:numPr>
        <w:rPr>
          <w:sz w:val="20"/>
          <w:szCs w:val="20"/>
        </w:rPr>
      </w:pPr>
      <w:r>
        <w:rPr>
          <w:sz w:val="20"/>
          <w:szCs w:val="20"/>
        </w:rPr>
        <w:t>All meals were furnished for employer’s convenience if more than one-half of employees to whom meals are provided were for the employer’s convenience</w:t>
      </w:r>
    </w:p>
    <w:p w14:paraId="36468598" w14:textId="77777777" w:rsidR="00BD4BD4" w:rsidRDefault="00851EAF" w:rsidP="00A548E6">
      <w:pPr>
        <w:pStyle w:val="ListParagraph"/>
        <w:numPr>
          <w:ilvl w:val="1"/>
          <w:numId w:val="5"/>
        </w:numPr>
        <w:rPr>
          <w:sz w:val="20"/>
          <w:szCs w:val="20"/>
        </w:rPr>
      </w:pPr>
      <w:r w:rsidRPr="00BD4BD4">
        <w:rPr>
          <w:sz w:val="20"/>
          <w:szCs w:val="20"/>
        </w:rPr>
        <w:t xml:space="preserve">“Meals” requires an in-kind transfer, not cash </w:t>
      </w:r>
      <w:r w:rsidRPr="00BD4BD4">
        <w:rPr>
          <w:i/>
          <w:sz w:val="20"/>
          <w:szCs w:val="20"/>
        </w:rPr>
        <w:t xml:space="preserve">to purchase </w:t>
      </w:r>
      <w:r w:rsidRPr="00BD4BD4">
        <w:rPr>
          <w:sz w:val="20"/>
          <w:szCs w:val="20"/>
        </w:rPr>
        <w:t>meals (</w:t>
      </w:r>
      <w:r w:rsidRPr="00BD4BD4">
        <w:rPr>
          <w:i/>
          <w:sz w:val="20"/>
          <w:szCs w:val="20"/>
        </w:rPr>
        <w:t>Kowalski</w:t>
      </w:r>
      <w:r w:rsidRPr="00BD4BD4">
        <w:rPr>
          <w:sz w:val="20"/>
          <w:szCs w:val="20"/>
        </w:rPr>
        <w:t xml:space="preserve"> </w:t>
      </w:r>
      <w:r w:rsidR="00CC548F" w:rsidRPr="00BD4BD4">
        <w:rPr>
          <w:sz w:val="20"/>
          <w:szCs w:val="20"/>
        </w:rPr>
        <w:t>–</w:t>
      </w:r>
      <w:r w:rsidRPr="00BD4BD4">
        <w:rPr>
          <w:sz w:val="20"/>
          <w:szCs w:val="20"/>
        </w:rPr>
        <w:t xml:space="preserve"> </w:t>
      </w:r>
      <w:r w:rsidR="00CC548F" w:rsidRPr="00BD4BD4">
        <w:rPr>
          <w:sz w:val="20"/>
          <w:szCs w:val="20"/>
        </w:rPr>
        <w:t>state troopers)</w:t>
      </w:r>
    </w:p>
    <w:p w14:paraId="0467FB2A" w14:textId="77777777" w:rsidR="00BD4BD4" w:rsidRDefault="00CC548F" w:rsidP="00A548E6">
      <w:pPr>
        <w:pStyle w:val="ListParagraph"/>
        <w:numPr>
          <w:ilvl w:val="2"/>
          <w:numId w:val="5"/>
        </w:numPr>
        <w:rPr>
          <w:sz w:val="20"/>
          <w:szCs w:val="20"/>
        </w:rPr>
      </w:pPr>
      <w:r w:rsidRPr="00BD4BD4">
        <w:rPr>
          <w:sz w:val="20"/>
          <w:szCs w:val="20"/>
        </w:rPr>
        <w:t xml:space="preserve">However, troopers </w:t>
      </w:r>
      <w:r w:rsidR="00744374" w:rsidRPr="00BD4BD4">
        <w:rPr>
          <w:sz w:val="20"/>
          <w:szCs w:val="20"/>
        </w:rPr>
        <w:t>might be able to deduct</w:t>
      </w:r>
      <w:r w:rsidRPr="00BD4BD4">
        <w:rPr>
          <w:sz w:val="20"/>
          <w:szCs w:val="20"/>
        </w:rPr>
        <w:t xml:space="preserve"> the cost of meals</w:t>
      </w:r>
      <w:r w:rsidR="00744374" w:rsidRPr="00BD4BD4">
        <w:rPr>
          <w:sz w:val="20"/>
          <w:szCs w:val="20"/>
        </w:rPr>
        <w:t xml:space="preserve"> they were</w:t>
      </w:r>
      <w:r w:rsidRPr="00BD4BD4">
        <w:rPr>
          <w:sz w:val="20"/>
          <w:szCs w:val="20"/>
        </w:rPr>
        <w:t xml:space="preserve"> required to eat at highway-side restaurants</w:t>
      </w:r>
      <w:r w:rsidR="00744374" w:rsidRPr="00BD4BD4">
        <w:rPr>
          <w:sz w:val="20"/>
          <w:szCs w:val="20"/>
        </w:rPr>
        <w:t xml:space="preserve"> under §162</w:t>
      </w:r>
      <w:r w:rsidRPr="00BD4BD4">
        <w:rPr>
          <w:sz w:val="20"/>
          <w:szCs w:val="20"/>
        </w:rPr>
        <w:t xml:space="preserve"> (</w:t>
      </w:r>
      <w:proofErr w:type="spellStart"/>
      <w:r w:rsidRPr="00BD4BD4">
        <w:rPr>
          <w:i/>
          <w:sz w:val="20"/>
          <w:szCs w:val="20"/>
        </w:rPr>
        <w:t>Christey</w:t>
      </w:r>
      <w:proofErr w:type="spellEnd"/>
      <w:r w:rsidRPr="00BD4BD4">
        <w:rPr>
          <w:sz w:val="20"/>
          <w:szCs w:val="20"/>
        </w:rPr>
        <w:t>)</w:t>
      </w:r>
    </w:p>
    <w:p w14:paraId="3C184EB9" w14:textId="5C5DC037" w:rsidR="00BD4BD4" w:rsidRDefault="007F3E3C" w:rsidP="00400985">
      <w:pPr>
        <w:pStyle w:val="ListParagraph"/>
        <w:numPr>
          <w:ilvl w:val="1"/>
          <w:numId w:val="5"/>
        </w:numPr>
        <w:rPr>
          <w:sz w:val="20"/>
          <w:szCs w:val="20"/>
        </w:rPr>
      </w:pPr>
      <w:r w:rsidRPr="00BD4BD4">
        <w:rPr>
          <w:sz w:val="20"/>
          <w:szCs w:val="20"/>
        </w:rPr>
        <w:t>Semi-harsh rule: meal is either entirely deductible, or not at all</w:t>
      </w:r>
    </w:p>
    <w:p w14:paraId="13A3DC18" w14:textId="2583645E" w:rsidR="00400985" w:rsidRDefault="00400985" w:rsidP="00400985">
      <w:pPr>
        <w:pStyle w:val="ListParagraph"/>
        <w:numPr>
          <w:ilvl w:val="1"/>
          <w:numId w:val="5"/>
        </w:numPr>
        <w:rPr>
          <w:sz w:val="20"/>
          <w:szCs w:val="20"/>
        </w:rPr>
      </w:pPr>
      <w:r w:rsidRPr="00BD4BD4">
        <w:rPr>
          <w:sz w:val="20"/>
          <w:szCs w:val="20"/>
        </w:rPr>
        <w:t>Spouses and dependents’ meals are included for administrability reasons</w:t>
      </w:r>
    </w:p>
    <w:p w14:paraId="4D1053E2" w14:textId="77777777" w:rsidR="00BD4BD4" w:rsidRDefault="00946681" w:rsidP="00A548E6">
      <w:pPr>
        <w:pStyle w:val="ListParagraph"/>
        <w:numPr>
          <w:ilvl w:val="1"/>
          <w:numId w:val="5"/>
        </w:numPr>
        <w:rPr>
          <w:sz w:val="20"/>
          <w:szCs w:val="20"/>
        </w:rPr>
      </w:pPr>
      <w:r w:rsidRPr="00BD4BD4">
        <w:rPr>
          <w:sz w:val="20"/>
          <w:szCs w:val="20"/>
        </w:rPr>
        <w:t>The lodging portion of §119 is a functional, not spatial, test (</w:t>
      </w:r>
      <w:r w:rsidRPr="00BD4BD4">
        <w:rPr>
          <w:i/>
          <w:sz w:val="20"/>
          <w:szCs w:val="20"/>
        </w:rPr>
        <w:t xml:space="preserve">Adams </w:t>
      </w:r>
      <w:r w:rsidRPr="00BD4BD4">
        <w:rPr>
          <w:sz w:val="20"/>
          <w:szCs w:val="20"/>
        </w:rPr>
        <w:t>– home owned by company and lived in by executive served business functions, therefore excludable)</w:t>
      </w:r>
    </w:p>
    <w:p w14:paraId="16D29812" w14:textId="77777777" w:rsidR="00BD4BD4" w:rsidRDefault="007A2158" w:rsidP="00A548E6">
      <w:pPr>
        <w:pStyle w:val="ListParagraph"/>
        <w:numPr>
          <w:ilvl w:val="2"/>
          <w:numId w:val="5"/>
        </w:numPr>
        <w:rPr>
          <w:sz w:val="20"/>
          <w:szCs w:val="20"/>
        </w:rPr>
      </w:pPr>
      <w:r w:rsidRPr="00BD4BD4">
        <w:rPr>
          <w:sz w:val="20"/>
          <w:szCs w:val="20"/>
        </w:rPr>
        <w:t xml:space="preserve">Exception that’s not really an exception for qualified campus lodging – gross income </w:t>
      </w:r>
      <w:r w:rsidRPr="00BD4BD4">
        <w:rPr>
          <w:b/>
          <w:sz w:val="20"/>
          <w:szCs w:val="20"/>
        </w:rPr>
        <w:t xml:space="preserve">does not </w:t>
      </w:r>
      <w:r w:rsidRPr="00BD4BD4">
        <w:rPr>
          <w:sz w:val="20"/>
          <w:szCs w:val="20"/>
        </w:rPr>
        <w:t xml:space="preserve">include the value of such lodging to an employee, </w:t>
      </w:r>
      <w:r w:rsidRPr="00BD4BD4">
        <w:rPr>
          <w:b/>
          <w:sz w:val="20"/>
          <w:szCs w:val="20"/>
        </w:rPr>
        <w:t>except excess of</w:t>
      </w:r>
      <w:r w:rsidRPr="00BD4BD4">
        <w:rPr>
          <w:sz w:val="20"/>
          <w:szCs w:val="20"/>
        </w:rPr>
        <w:t>:</w:t>
      </w:r>
      <w:r w:rsidR="00851EAF" w:rsidRPr="00BD4BD4">
        <w:rPr>
          <w:sz w:val="20"/>
          <w:szCs w:val="20"/>
        </w:rPr>
        <w:t xml:space="preserve"> §119(d)</w:t>
      </w:r>
    </w:p>
    <w:p w14:paraId="2D4B397C" w14:textId="77777777" w:rsidR="00BD4BD4" w:rsidRPr="00BD4BD4" w:rsidRDefault="007A2158" w:rsidP="00A548E6">
      <w:pPr>
        <w:pStyle w:val="ListParagraph"/>
        <w:numPr>
          <w:ilvl w:val="3"/>
          <w:numId w:val="5"/>
        </w:numPr>
        <w:rPr>
          <w:sz w:val="20"/>
          <w:szCs w:val="20"/>
        </w:rPr>
      </w:pPr>
      <w:r w:rsidRPr="00BD4BD4">
        <w:rPr>
          <w:sz w:val="20"/>
          <w:szCs w:val="20"/>
        </w:rPr>
        <w:t>5% of the appraised value over rent</w:t>
      </w:r>
      <w:r w:rsidR="00414233" w:rsidRPr="00BD4BD4">
        <w:rPr>
          <w:sz w:val="20"/>
          <w:szCs w:val="20"/>
        </w:rPr>
        <w:t xml:space="preserve"> paid</w:t>
      </w:r>
      <w:r w:rsidRPr="00BD4BD4">
        <w:rPr>
          <w:sz w:val="20"/>
          <w:szCs w:val="20"/>
        </w:rPr>
        <w:t xml:space="preserve"> </w:t>
      </w:r>
      <w:r w:rsidR="00851EAF" w:rsidRPr="00BD4BD4">
        <w:rPr>
          <w:sz w:val="20"/>
          <w:szCs w:val="20"/>
        </w:rPr>
        <w:t xml:space="preserve">($1 million condo – 0 rent payment = taxable income of $950 k) </w:t>
      </w:r>
      <w:r w:rsidRPr="00BD4BD4">
        <w:rPr>
          <w:i/>
          <w:sz w:val="20"/>
          <w:szCs w:val="20"/>
        </w:rPr>
        <w:t>or</w:t>
      </w:r>
    </w:p>
    <w:p w14:paraId="38B33D15" w14:textId="23BC7E72" w:rsidR="00744374" w:rsidRPr="00400985" w:rsidRDefault="007A2158" w:rsidP="00400985">
      <w:pPr>
        <w:pStyle w:val="ListParagraph"/>
        <w:numPr>
          <w:ilvl w:val="3"/>
          <w:numId w:val="5"/>
        </w:numPr>
        <w:rPr>
          <w:sz w:val="20"/>
          <w:szCs w:val="20"/>
        </w:rPr>
      </w:pPr>
      <w:r w:rsidRPr="00BD4BD4">
        <w:rPr>
          <w:sz w:val="20"/>
          <w:szCs w:val="20"/>
        </w:rPr>
        <w:t xml:space="preserve">Average rentals paid by individuals other than employees or students </w:t>
      </w:r>
      <w:r w:rsidR="00352A57">
        <w:rPr>
          <w:sz w:val="20"/>
          <w:szCs w:val="20"/>
        </w:rPr>
        <w:t xml:space="preserve">for comparable, institutionally </w:t>
      </w:r>
      <w:r w:rsidRPr="00BD4BD4">
        <w:rPr>
          <w:sz w:val="20"/>
          <w:szCs w:val="20"/>
        </w:rPr>
        <w:t xml:space="preserve">provided lodging </w:t>
      </w:r>
      <w:r w:rsidR="00414233" w:rsidRPr="00BD4BD4">
        <w:rPr>
          <w:sz w:val="20"/>
          <w:szCs w:val="20"/>
        </w:rPr>
        <w:t>over rent paid</w:t>
      </w:r>
    </w:p>
    <w:p w14:paraId="6CF67C36" w14:textId="77777777" w:rsidR="00BD4BD4" w:rsidRDefault="00221C93" w:rsidP="00A548E6">
      <w:pPr>
        <w:pStyle w:val="ListParagraph"/>
        <w:numPr>
          <w:ilvl w:val="0"/>
          <w:numId w:val="5"/>
        </w:numPr>
        <w:rPr>
          <w:sz w:val="20"/>
          <w:szCs w:val="20"/>
        </w:rPr>
      </w:pPr>
      <w:r>
        <w:rPr>
          <w:sz w:val="20"/>
          <w:szCs w:val="20"/>
        </w:rPr>
        <w:t xml:space="preserve">Gross income </w:t>
      </w:r>
      <w:r>
        <w:rPr>
          <w:b/>
          <w:sz w:val="20"/>
          <w:szCs w:val="20"/>
        </w:rPr>
        <w:t xml:space="preserve">does not </w:t>
      </w:r>
      <w:r>
        <w:rPr>
          <w:sz w:val="20"/>
          <w:szCs w:val="20"/>
        </w:rPr>
        <w:t>include employer-provided health coverage</w:t>
      </w:r>
      <w:r w:rsidR="006A136C">
        <w:rPr>
          <w:sz w:val="20"/>
          <w:szCs w:val="20"/>
        </w:rPr>
        <w:t xml:space="preserve"> - §106</w:t>
      </w:r>
    </w:p>
    <w:p w14:paraId="66169D21" w14:textId="75DD3A34" w:rsidR="00BD4BD4" w:rsidRDefault="00352A57" w:rsidP="00A548E6">
      <w:pPr>
        <w:pStyle w:val="ListParagraph"/>
        <w:numPr>
          <w:ilvl w:val="1"/>
          <w:numId w:val="5"/>
        </w:numPr>
        <w:rPr>
          <w:sz w:val="20"/>
          <w:szCs w:val="20"/>
        </w:rPr>
      </w:pPr>
      <w:r>
        <w:rPr>
          <w:sz w:val="20"/>
          <w:szCs w:val="20"/>
        </w:rPr>
        <w:t xml:space="preserve">Deduction for </w:t>
      </w:r>
      <w:r w:rsidR="0034527C" w:rsidRPr="00BD4BD4">
        <w:rPr>
          <w:sz w:val="20"/>
          <w:szCs w:val="20"/>
        </w:rPr>
        <w:t>out-of-pocket</w:t>
      </w:r>
      <w:r>
        <w:rPr>
          <w:sz w:val="20"/>
          <w:szCs w:val="20"/>
        </w:rPr>
        <w:t xml:space="preserve"> </w:t>
      </w:r>
      <w:r w:rsidR="005A3EC1" w:rsidRPr="00BD4BD4">
        <w:rPr>
          <w:sz w:val="20"/>
          <w:szCs w:val="20"/>
        </w:rPr>
        <w:t xml:space="preserve">medical </w:t>
      </w:r>
      <w:r>
        <w:rPr>
          <w:sz w:val="20"/>
          <w:szCs w:val="20"/>
        </w:rPr>
        <w:t>expenses t</w:t>
      </w:r>
      <w:r w:rsidR="005A3EC1" w:rsidRPr="00BD4BD4">
        <w:rPr>
          <w:sz w:val="20"/>
          <w:szCs w:val="20"/>
        </w:rPr>
        <w:t xml:space="preserve">o </w:t>
      </w:r>
      <w:r>
        <w:rPr>
          <w:sz w:val="20"/>
          <w:szCs w:val="20"/>
        </w:rPr>
        <w:t>extent that costs</w:t>
      </w:r>
      <w:r w:rsidR="005A3EC1" w:rsidRPr="00BD4BD4">
        <w:rPr>
          <w:sz w:val="20"/>
          <w:szCs w:val="20"/>
        </w:rPr>
        <w:t xml:space="preserve"> exceed 10% of AGI - §213(a)</w:t>
      </w:r>
    </w:p>
    <w:p w14:paraId="48628E3A" w14:textId="77777777" w:rsidR="00BD4BD4" w:rsidRDefault="00571067" w:rsidP="00A548E6">
      <w:pPr>
        <w:pStyle w:val="ListParagraph"/>
        <w:numPr>
          <w:ilvl w:val="1"/>
          <w:numId w:val="5"/>
        </w:numPr>
        <w:rPr>
          <w:sz w:val="20"/>
          <w:szCs w:val="20"/>
        </w:rPr>
      </w:pPr>
      <w:r w:rsidRPr="00BD4BD4">
        <w:rPr>
          <w:sz w:val="20"/>
          <w:szCs w:val="20"/>
        </w:rPr>
        <w:t xml:space="preserve">Gross income </w:t>
      </w:r>
      <w:r w:rsidRPr="00BD4BD4">
        <w:rPr>
          <w:b/>
          <w:sz w:val="20"/>
          <w:szCs w:val="20"/>
        </w:rPr>
        <w:t xml:space="preserve">does not </w:t>
      </w:r>
      <w:r w:rsidRPr="00BD4BD4">
        <w:rPr>
          <w:sz w:val="20"/>
          <w:szCs w:val="20"/>
        </w:rPr>
        <w:t>include amounts received under workmen’s comp, damages received (other than punitive) on account of personal physical injuries or physical sickness, or amounts received through health insurance for personal injuries or sickness - §104(a)</w:t>
      </w:r>
    </w:p>
    <w:p w14:paraId="5D124E81" w14:textId="77777777" w:rsidR="00BD4BD4" w:rsidRPr="00BD4BD4" w:rsidRDefault="00C419F2" w:rsidP="00A548E6">
      <w:pPr>
        <w:pStyle w:val="ListParagraph"/>
        <w:numPr>
          <w:ilvl w:val="2"/>
          <w:numId w:val="5"/>
        </w:numPr>
        <w:rPr>
          <w:sz w:val="20"/>
          <w:szCs w:val="20"/>
        </w:rPr>
      </w:pPr>
      <w:r w:rsidRPr="00BD4BD4">
        <w:rPr>
          <w:sz w:val="20"/>
          <w:szCs w:val="20"/>
        </w:rPr>
        <w:t xml:space="preserve">However, gross income </w:t>
      </w:r>
      <w:r w:rsidRPr="00BD4BD4">
        <w:rPr>
          <w:b/>
          <w:sz w:val="20"/>
          <w:szCs w:val="20"/>
        </w:rPr>
        <w:t xml:space="preserve">includes </w:t>
      </w:r>
      <w:r w:rsidRPr="00BD4BD4">
        <w:rPr>
          <w:sz w:val="20"/>
          <w:szCs w:val="20"/>
        </w:rPr>
        <w:t xml:space="preserve">amounts received by an employee through a health plan if those amounts were attributable to contributions/payments by the employer </w:t>
      </w:r>
      <w:r w:rsidRPr="00BD4BD4">
        <w:rPr>
          <w:b/>
          <w:sz w:val="20"/>
          <w:szCs w:val="20"/>
        </w:rPr>
        <w:t>that are not reimbursements</w:t>
      </w:r>
    </w:p>
    <w:p w14:paraId="6D25140E" w14:textId="77777777" w:rsidR="00BD4BD4" w:rsidRDefault="00C419F2" w:rsidP="00A548E6">
      <w:pPr>
        <w:pStyle w:val="ListParagraph"/>
        <w:numPr>
          <w:ilvl w:val="2"/>
          <w:numId w:val="5"/>
        </w:numPr>
        <w:rPr>
          <w:sz w:val="20"/>
          <w:szCs w:val="20"/>
        </w:rPr>
      </w:pPr>
      <w:r w:rsidRPr="00BD4BD4">
        <w:rPr>
          <w:sz w:val="20"/>
          <w:szCs w:val="20"/>
        </w:rPr>
        <w:t xml:space="preserve">Gross income </w:t>
      </w:r>
      <w:r w:rsidRPr="00BD4BD4">
        <w:rPr>
          <w:b/>
          <w:sz w:val="20"/>
          <w:szCs w:val="20"/>
        </w:rPr>
        <w:t xml:space="preserve">does not </w:t>
      </w:r>
      <w:r w:rsidRPr="00BD4BD4">
        <w:rPr>
          <w:sz w:val="20"/>
          <w:szCs w:val="20"/>
        </w:rPr>
        <w:t>include payments from the employer for the permanent loss of a member/disfigurement of the taxpayer</w:t>
      </w:r>
    </w:p>
    <w:p w14:paraId="0DE957B4" w14:textId="77777777" w:rsidR="00BD4BD4" w:rsidRDefault="007F4684" w:rsidP="00A548E6">
      <w:pPr>
        <w:pStyle w:val="ListParagraph"/>
        <w:numPr>
          <w:ilvl w:val="1"/>
          <w:numId w:val="5"/>
        </w:numPr>
        <w:rPr>
          <w:sz w:val="20"/>
          <w:szCs w:val="20"/>
        </w:rPr>
      </w:pPr>
      <w:r w:rsidRPr="00BD4BD4">
        <w:rPr>
          <w:sz w:val="20"/>
          <w:szCs w:val="20"/>
        </w:rPr>
        <w:t xml:space="preserve">Damages received for emotional distress </w:t>
      </w:r>
      <w:r w:rsidRPr="00BD4BD4">
        <w:rPr>
          <w:b/>
          <w:sz w:val="20"/>
          <w:szCs w:val="20"/>
        </w:rPr>
        <w:t xml:space="preserve">are </w:t>
      </w:r>
      <w:r w:rsidRPr="00BD4BD4">
        <w:rPr>
          <w:sz w:val="20"/>
          <w:szCs w:val="20"/>
        </w:rPr>
        <w:t>taxable under §104(a)</w:t>
      </w:r>
    </w:p>
    <w:p w14:paraId="4A2409C4" w14:textId="38DC3BE3" w:rsidR="00BD4BD4" w:rsidRDefault="00702395" w:rsidP="00A548E6">
      <w:pPr>
        <w:pStyle w:val="ListParagraph"/>
        <w:numPr>
          <w:ilvl w:val="1"/>
          <w:numId w:val="5"/>
        </w:numPr>
        <w:rPr>
          <w:sz w:val="20"/>
          <w:szCs w:val="20"/>
        </w:rPr>
      </w:pPr>
      <w:r w:rsidRPr="00BD4BD4">
        <w:rPr>
          <w:sz w:val="20"/>
          <w:szCs w:val="20"/>
        </w:rPr>
        <w:t xml:space="preserve">Under </w:t>
      </w:r>
      <w:r w:rsidRPr="00BD4BD4">
        <w:rPr>
          <w:i/>
          <w:sz w:val="20"/>
          <w:szCs w:val="20"/>
        </w:rPr>
        <w:t>Raytheon</w:t>
      </w:r>
      <w:r w:rsidRPr="00BD4BD4">
        <w:rPr>
          <w:sz w:val="20"/>
          <w:szCs w:val="20"/>
        </w:rPr>
        <w:t>’s matching principle, nonphysical injury to professional reputation should be taxable, but nonph</w:t>
      </w:r>
      <w:r w:rsidR="00BE20BF">
        <w:rPr>
          <w:sz w:val="20"/>
          <w:szCs w:val="20"/>
        </w:rPr>
        <w:t>ysical injury to personal reputation</w:t>
      </w:r>
      <w:r w:rsidRPr="00BD4BD4">
        <w:rPr>
          <w:sz w:val="20"/>
          <w:szCs w:val="20"/>
        </w:rPr>
        <w:t xml:space="preserve"> should not (no</w:t>
      </w:r>
      <w:r w:rsidR="00537674">
        <w:rPr>
          <w:sz w:val="20"/>
          <w:szCs w:val="20"/>
        </w:rPr>
        <w:t xml:space="preserve"> tax on personal “brand”). Does</w:t>
      </w:r>
      <w:r w:rsidRPr="00BD4BD4">
        <w:rPr>
          <w:sz w:val="20"/>
          <w:szCs w:val="20"/>
        </w:rPr>
        <w:t xml:space="preserve"> this stretch §61’s definition of income beyond constitutional limits</w:t>
      </w:r>
      <w:r w:rsidR="00537674">
        <w:rPr>
          <w:sz w:val="20"/>
          <w:szCs w:val="20"/>
        </w:rPr>
        <w:t xml:space="preserve"> (taxing unrealized gain)</w:t>
      </w:r>
      <w:r w:rsidR="00BD4BD4">
        <w:rPr>
          <w:sz w:val="20"/>
          <w:szCs w:val="20"/>
        </w:rPr>
        <w:t>?</w:t>
      </w:r>
    </w:p>
    <w:p w14:paraId="7C9ABEC0" w14:textId="77777777" w:rsidR="00BD4BD4" w:rsidRDefault="00EB5882" w:rsidP="00A548E6">
      <w:pPr>
        <w:pStyle w:val="ListParagraph"/>
        <w:numPr>
          <w:ilvl w:val="1"/>
          <w:numId w:val="5"/>
        </w:numPr>
        <w:rPr>
          <w:sz w:val="20"/>
          <w:szCs w:val="20"/>
        </w:rPr>
      </w:pPr>
      <w:r w:rsidRPr="00BD4BD4">
        <w:rPr>
          <w:sz w:val="20"/>
          <w:szCs w:val="20"/>
        </w:rPr>
        <w:t>Policy justifications for excluding physical injury damage awards are:</w:t>
      </w:r>
    </w:p>
    <w:p w14:paraId="42E2AFB3" w14:textId="77777777" w:rsidR="00BD4BD4" w:rsidRDefault="00EB5882" w:rsidP="00A548E6">
      <w:pPr>
        <w:pStyle w:val="ListParagraph"/>
        <w:numPr>
          <w:ilvl w:val="2"/>
          <w:numId w:val="5"/>
        </w:numPr>
        <w:rPr>
          <w:sz w:val="20"/>
          <w:szCs w:val="20"/>
        </w:rPr>
      </w:pPr>
      <w:r w:rsidRPr="00BD4BD4">
        <w:rPr>
          <w:sz w:val="20"/>
          <w:szCs w:val="20"/>
        </w:rPr>
        <w:t>Taxing compensation for pain and suffering is offensive</w:t>
      </w:r>
    </w:p>
    <w:p w14:paraId="4BA2CEA8" w14:textId="77777777" w:rsidR="00BD4BD4" w:rsidRDefault="00EB5882" w:rsidP="00A548E6">
      <w:pPr>
        <w:pStyle w:val="ListParagraph"/>
        <w:numPr>
          <w:ilvl w:val="2"/>
          <w:numId w:val="5"/>
        </w:numPr>
        <w:rPr>
          <w:sz w:val="20"/>
          <w:szCs w:val="20"/>
        </w:rPr>
      </w:pPr>
      <w:r w:rsidRPr="00BD4BD4">
        <w:rPr>
          <w:sz w:val="20"/>
          <w:szCs w:val="20"/>
        </w:rPr>
        <w:t>A recovery for expenses should not be taxe</w:t>
      </w:r>
      <w:r w:rsidR="00BD4BD4">
        <w:rPr>
          <w:sz w:val="20"/>
          <w:szCs w:val="20"/>
        </w:rPr>
        <w:t>d</w:t>
      </w:r>
    </w:p>
    <w:p w14:paraId="26D82618" w14:textId="77777777" w:rsidR="00BD4BD4" w:rsidRDefault="00EB5882" w:rsidP="00A548E6">
      <w:pPr>
        <w:pStyle w:val="ListParagraph"/>
        <w:numPr>
          <w:ilvl w:val="2"/>
          <w:numId w:val="5"/>
        </w:numPr>
        <w:rPr>
          <w:sz w:val="20"/>
          <w:szCs w:val="20"/>
        </w:rPr>
      </w:pPr>
      <w:r w:rsidRPr="00BD4BD4">
        <w:rPr>
          <w:sz w:val="20"/>
          <w:szCs w:val="20"/>
        </w:rPr>
        <w:t>Recoveries for non-</w:t>
      </w:r>
      <w:r w:rsidR="00BD4BD4">
        <w:rPr>
          <w:sz w:val="20"/>
          <w:szCs w:val="20"/>
        </w:rPr>
        <w:t>taxable items should be tax-free</w:t>
      </w:r>
    </w:p>
    <w:p w14:paraId="6309DC03" w14:textId="77777777" w:rsidR="00BD4BD4" w:rsidRDefault="00EB5882" w:rsidP="00A548E6">
      <w:pPr>
        <w:pStyle w:val="ListParagraph"/>
        <w:numPr>
          <w:ilvl w:val="2"/>
          <w:numId w:val="5"/>
        </w:numPr>
        <w:rPr>
          <w:sz w:val="20"/>
          <w:szCs w:val="20"/>
        </w:rPr>
      </w:pPr>
      <w:r w:rsidRPr="00BD4BD4">
        <w:rPr>
          <w:sz w:val="20"/>
          <w:szCs w:val="20"/>
        </w:rPr>
        <w:t>Lost wages should be untaxed so the victim will be in the position he would have been had there been no injury (assumes damages are paid on an after-tax basis)</w:t>
      </w:r>
    </w:p>
    <w:p w14:paraId="2F2172AC" w14:textId="4841BF53" w:rsidR="00EA23F9" w:rsidRPr="002C5E65" w:rsidRDefault="00C91A90" w:rsidP="002C5E65">
      <w:pPr>
        <w:pStyle w:val="ListParagraph"/>
        <w:numPr>
          <w:ilvl w:val="3"/>
          <w:numId w:val="5"/>
        </w:numPr>
        <w:rPr>
          <w:sz w:val="20"/>
          <w:szCs w:val="20"/>
        </w:rPr>
      </w:pPr>
      <w:r w:rsidRPr="002C5E65">
        <w:rPr>
          <w:sz w:val="20"/>
          <w:szCs w:val="20"/>
        </w:rPr>
        <w:t xml:space="preserve">Under </w:t>
      </w:r>
      <w:r w:rsidRPr="002C5E65">
        <w:rPr>
          <w:i/>
          <w:sz w:val="20"/>
          <w:szCs w:val="20"/>
        </w:rPr>
        <w:t>Raytheon</w:t>
      </w:r>
      <w:r w:rsidR="004222C2">
        <w:rPr>
          <w:sz w:val="20"/>
          <w:szCs w:val="20"/>
        </w:rPr>
        <w:t xml:space="preserve">, </w:t>
      </w:r>
      <w:r w:rsidRPr="002C5E65">
        <w:rPr>
          <w:sz w:val="20"/>
          <w:szCs w:val="20"/>
        </w:rPr>
        <w:t xml:space="preserve">lost wages </w:t>
      </w:r>
      <w:r w:rsidR="004222C2">
        <w:rPr>
          <w:sz w:val="20"/>
          <w:szCs w:val="20"/>
        </w:rPr>
        <w:t xml:space="preserve">should </w:t>
      </w:r>
      <w:r w:rsidRPr="002C5E65">
        <w:rPr>
          <w:sz w:val="20"/>
          <w:szCs w:val="20"/>
        </w:rPr>
        <w:t xml:space="preserve">be taxed </w:t>
      </w:r>
      <w:r w:rsidR="004222C2">
        <w:rPr>
          <w:sz w:val="20"/>
          <w:szCs w:val="20"/>
        </w:rPr>
        <w:t>based on</w:t>
      </w:r>
      <w:r w:rsidRPr="002C5E65">
        <w:rPr>
          <w:sz w:val="20"/>
          <w:szCs w:val="20"/>
        </w:rPr>
        <w:t xml:space="preserve"> what they are replacing – in this case, </w:t>
      </w:r>
      <w:r w:rsidRPr="002C5E65">
        <w:rPr>
          <w:i/>
          <w:sz w:val="20"/>
          <w:szCs w:val="20"/>
        </w:rPr>
        <w:t>income</w:t>
      </w:r>
      <w:r w:rsidR="0059218F" w:rsidRPr="002C5E65">
        <w:rPr>
          <w:i/>
          <w:sz w:val="20"/>
          <w:szCs w:val="20"/>
        </w:rPr>
        <w:t xml:space="preserve"> </w:t>
      </w:r>
      <w:r w:rsidR="0059218F" w:rsidRPr="002C5E65">
        <w:rPr>
          <w:sz w:val="20"/>
          <w:szCs w:val="20"/>
        </w:rPr>
        <w:t>from wages!</w:t>
      </w:r>
    </w:p>
    <w:p w14:paraId="7F25CF23" w14:textId="77777777" w:rsidR="00BD4BD4" w:rsidRDefault="0086450E" w:rsidP="00A548E6">
      <w:pPr>
        <w:pStyle w:val="ListParagraph"/>
        <w:numPr>
          <w:ilvl w:val="2"/>
          <w:numId w:val="5"/>
        </w:numPr>
        <w:rPr>
          <w:sz w:val="20"/>
          <w:szCs w:val="20"/>
        </w:rPr>
      </w:pPr>
      <w:r w:rsidRPr="00BD4BD4">
        <w:rPr>
          <w:sz w:val="20"/>
          <w:szCs w:val="20"/>
        </w:rPr>
        <w:t>There should</w:t>
      </w:r>
      <w:r w:rsidR="00805C20" w:rsidRPr="00BD4BD4">
        <w:rPr>
          <w:sz w:val="20"/>
          <w:szCs w:val="20"/>
        </w:rPr>
        <w:t xml:space="preserve"> be</w:t>
      </w:r>
      <w:r w:rsidRPr="00BD4BD4">
        <w:rPr>
          <w:sz w:val="20"/>
          <w:szCs w:val="20"/>
        </w:rPr>
        <w:t xml:space="preserve"> no tax on recoveries of human capital</w:t>
      </w:r>
    </w:p>
    <w:p w14:paraId="1105B106" w14:textId="77777777" w:rsidR="00BD4BD4" w:rsidRDefault="00FC0C57" w:rsidP="00A548E6">
      <w:pPr>
        <w:pStyle w:val="ListParagraph"/>
        <w:numPr>
          <w:ilvl w:val="3"/>
          <w:numId w:val="5"/>
        </w:numPr>
        <w:rPr>
          <w:sz w:val="20"/>
          <w:szCs w:val="20"/>
        </w:rPr>
      </w:pPr>
      <w:r w:rsidRPr="00BD4BD4">
        <w:rPr>
          <w:sz w:val="20"/>
          <w:szCs w:val="20"/>
        </w:rPr>
        <w:t xml:space="preserve">The basis of the pre-injury body is the amount of damages received (see </w:t>
      </w:r>
      <w:r w:rsidRPr="00BD4BD4">
        <w:rPr>
          <w:i/>
          <w:sz w:val="20"/>
          <w:szCs w:val="20"/>
        </w:rPr>
        <w:t xml:space="preserve">P.L. 107-16 </w:t>
      </w:r>
      <w:r w:rsidRPr="00BD4BD4">
        <w:rPr>
          <w:sz w:val="20"/>
          <w:szCs w:val="20"/>
        </w:rPr>
        <w:t>– no taxation for Nazi restitution payments)</w:t>
      </w:r>
    </w:p>
    <w:p w14:paraId="63AEC0F5" w14:textId="1EE754DC" w:rsidR="009122A3" w:rsidRDefault="0034527C" w:rsidP="00D41D0F">
      <w:pPr>
        <w:pStyle w:val="ListParagraph"/>
        <w:numPr>
          <w:ilvl w:val="1"/>
          <w:numId w:val="5"/>
        </w:numPr>
        <w:rPr>
          <w:sz w:val="20"/>
          <w:szCs w:val="20"/>
        </w:rPr>
      </w:pPr>
      <w:r w:rsidRPr="00EA23F9">
        <w:rPr>
          <w:sz w:val="20"/>
          <w:szCs w:val="20"/>
        </w:rPr>
        <w:t xml:space="preserve">Limits taxpayer’s ability to take something out of the tax base twice – damages cannot be excluded </w:t>
      </w:r>
      <w:r w:rsidRPr="00EA23F9">
        <w:rPr>
          <w:i/>
          <w:sz w:val="20"/>
          <w:szCs w:val="20"/>
        </w:rPr>
        <w:t xml:space="preserve">while </w:t>
      </w:r>
      <w:r w:rsidRPr="00EA23F9">
        <w:rPr>
          <w:sz w:val="20"/>
          <w:szCs w:val="20"/>
        </w:rPr>
        <w:t>simultaneously deducting medical expenses</w:t>
      </w:r>
    </w:p>
    <w:p w14:paraId="74E7ADE7" w14:textId="77777777" w:rsidR="00295768" w:rsidRDefault="00295768" w:rsidP="00295768">
      <w:pPr>
        <w:pStyle w:val="ListParagraph"/>
        <w:numPr>
          <w:ilvl w:val="1"/>
          <w:numId w:val="5"/>
        </w:numPr>
        <w:rPr>
          <w:sz w:val="20"/>
          <w:szCs w:val="20"/>
        </w:rPr>
      </w:pPr>
      <w:r w:rsidRPr="00BD4BD4">
        <w:rPr>
          <w:sz w:val="20"/>
          <w:szCs w:val="20"/>
        </w:rPr>
        <w:t>Taxes can expand size of an economic sector based on whether certain expenses are deductible (see employer-provided health care!)</w:t>
      </w:r>
    </w:p>
    <w:p w14:paraId="7707674F" w14:textId="77777777" w:rsidR="00295768" w:rsidRDefault="00295768" w:rsidP="00295768">
      <w:pPr>
        <w:pStyle w:val="ListParagraph"/>
        <w:numPr>
          <w:ilvl w:val="1"/>
          <w:numId w:val="5"/>
        </w:numPr>
        <w:rPr>
          <w:sz w:val="20"/>
          <w:szCs w:val="20"/>
        </w:rPr>
      </w:pPr>
      <w:r w:rsidRPr="00BD4BD4">
        <w:rPr>
          <w:sz w:val="20"/>
          <w:szCs w:val="20"/>
        </w:rPr>
        <w:lastRenderedPageBreak/>
        <w:t xml:space="preserve">Employer-provided life insurance </w:t>
      </w:r>
      <w:r w:rsidRPr="00BD4BD4">
        <w:rPr>
          <w:b/>
          <w:sz w:val="20"/>
          <w:szCs w:val="20"/>
        </w:rPr>
        <w:t>is</w:t>
      </w:r>
      <w:r w:rsidRPr="00BD4BD4">
        <w:rPr>
          <w:sz w:val="20"/>
          <w:szCs w:val="20"/>
        </w:rPr>
        <w:t xml:space="preserve"> taxable income </w:t>
      </w:r>
      <w:r w:rsidRPr="00BD4BD4">
        <w:rPr>
          <w:b/>
          <w:sz w:val="20"/>
          <w:szCs w:val="20"/>
        </w:rPr>
        <w:t xml:space="preserve">if </w:t>
      </w:r>
      <w:r w:rsidRPr="00BD4BD4">
        <w:rPr>
          <w:sz w:val="20"/>
          <w:szCs w:val="20"/>
        </w:rPr>
        <w:t>employer pays for more than $50k of coverage and employer pays more than employee (only marginal benefit is taxed) – §79(a)</w:t>
      </w:r>
    </w:p>
    <w:p w14:paraId="72132D38" w14:textId="77777777" w:rsidR="00295768" w:rsidRDefault="00295768" w:rsidP="00295768">
      <w:pPr>
        <w:pStyle w:val="ListParagraph"/>
        <w:numPr>
          <w:ilvl w:val="2"/>
          <w:numId w:val="5"/>
        </w:numPr>
        <w:rPr>
          <w:sz w:val="20"/>
          <w:szCs w:val="20"/>
        </w:rPr>
      </w:pPr>
      <w:r>
        <w:rPr>
          <w:sz w:val="20"/>
          <w:szCs w:val="20"/>
        </w:rPr>
        <w:t xml:space="preserve">Gross income </w:t>
      </w:r>
      <w:r w:rsidRPr="00CA1B5B">
        <w:rPr>
          <w:b/>
          <w:sz w:val="20"/>
          <w:szCs w:val="20"/>
        </w:rPr>
        <w:t>does not</w:t>
      </w:r>
      <w:r>
        <w:rPr>
          <w:sz w:val="20"/>
          <w:szCs w:val="20"/>
        </w:rPr>
        <w:t xml:space="preserve"> include proceeds of a life insurance contract - §101(a)(1)</w:t>
      </w:r>
    </w:p>
    <w:p w14:paraId="68D26970" w14:textId="06949A13" w:rsidR="00EB4F2B" w:rsidRPr="008D5F8B" w:rsidRDefault="00295768" w:rsidP="00EB4F2B">
      <w:pPr>
        <w:pStyle w:val="ListParagraph"/>
        <w:numPr>
          <w:ilvl w:val="3"/>
          <w:numId w:val="5"/>
        </w:numPr>
        <w:rPr>
          <w:sz w:val="20"/>
          <w:szCs w:val="20"/>
        </w:rPr>
      </w:pPr>
      <w:r w:rsidRPr="00295768">
        <w:rPr>
          <w:sz w:val="20"/>
          <w:szCs w:val="20"/>
        </w:rPr>
        <w:t>If a life insurance policy is surrendered not because of death, proceeds that exceed the cost of the policy are taxable</w:t>
      </w:r>
    </w:p>
    <w:tbl>
      <w:tblPr>
        <w:tblW w:w="9360" w:type="dxa"/>
        <w:tblInd w:w="5" w:type="dxa"/>
        <w:tblCellMar>
          <w:left w:w="115" w:type="dxa"/>
          <w:right w:w="115" w:type="dxa"/>
        </w:tblCellMar>
        <w:tblLook w:val="0000" w:firstRow="0" w:lastRow="0" w:firstColumn="0" w:lastColumn="0" w:noHBand="0" w:noVBand="0"/>
      </w:tblPr>
      <w:tblGrid>
        <w:gridCol w:w="1872"/>
        <w:gridCol w:w="1872"/>
        <w:gridCol w:w="1872"/>
        <w:gridCol w:w="1872"/>
        <w:gridCol w:w="1872"/>
      </w:tblGrid>
      <w:tr w:rsidR="00C6548A" w:rsidRPr="00C6548A" w14:paraId="6200F3DA" w14:textId="77777777" w:rsidTr="00295768">
        <w:trPr>
          <w:cantSplit/>
          <w:trHeight w:val="20"/>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636FE0D" w14:textId="46D73CAC" w:rsidR="00C6548A" w:rsidRPr="00B95CCE" w:rsidRDefault="00C6548A" w:rsidP="00902A8D">
            <w:pPr>
              <w:pStyle w:val="ListParagraph"/>
              <w:spacing w:line="240" w:lineRule="auto"/>
              <w:jc w:val="center"/>
              <w:rPr>
                <w:sz w:val="20"/>
                <w:szCs w:val="20"/>
              </w:rPr>
            </w:pPr>
          </w:p>
        </w:tc>
        <w:tc>
          <w:tcPr>
            <w:tcW w:w="1872"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bottom w:w="0" w:type="dxa"/>
              <w:right w:w="0" w:type="dxa"/>
            </w:tcMar>
            <w:vAlign w:val="center"/>
          </w:tcPr>
          <w:p w14:paraId="46BD0680" w14:textId="4A3F7577" w:rsidR="00C6548A" w:rsidRPr="00B95CCE" w:rsidRDefault="00C6548A" w:rsidP="00902A8D">
            <w:pPr>
              <w:spacing w:line="240" w:lineRule="auto"/>
              <w:jc w:val="center"/>
              <w:rPr>
                <w:b/>
                <w:sz w:val="20"/>
                <w:szCs w:val="20"/>
              </w:rPr>
            </w:pPr>
          </w:p>
        </w:tc>
        <w:tc>
          <w:tcPr>
            <w:tcW w:w="1872"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bottom w:w="0" w:type="dxa"/>
              <w:right w:w="0" w:type="dxa"/>
            </w:tcMar>
            <w:vAlign w:val="center"/>
          </w:tcPr>
          <w:p w14:paraId="5CAF24CE" w14:textId="77777777" w:rsidR="00C6548A" w:rsidRPr="00B95CCE" w:rsidRDefault="00C6548A" w:rsidP="00902A8D">
            <w:pPr>
              <w:spacing w:line="240" w:lineRule="auto"/>
              <w:jc w:val="center"/>
              <w:rPr>
                <w:b/>
                <w:sz w:val="20"/>
                <w:szCs w:val="20"/>
              </w:rPr>
            </w:pPr>
            <w:r w:rsidRPr="00B95CCE">
              <w:rPr>
                <w:b/>
                <w:sz w:val="20"/>
                <w:szCs w:val="20"/>
              </w:rPr>
              <w:t>Premium</w:t>
            </w:r>
          </w:p>
        </w:tc>
        <w:tc>
          <w:tcPr>
            <w:tcW w:w="1872"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bottom w:w="0" w:type="dxa"/>
              <w:right w:w="0" w:type="dxa"/>
            </w:tcMar>
            <w:vAlign w:val="center"/>
          </w:tcPr>
          <w:p w14:paraId="4623D78A" w14:textId="77777777" w:rsidR="00C6548A" w:rsidRPr="00B95CCE" w:rsidRDefault="00C6548A" w:rsidP="00902A8D">
            <w:pPr>
              <w:spacing w:line="240" w:lineRule="auto"/>
              <w:jc w:val="center"/>
              <w:rPr>
                <w:b/>
                <w:sz w:val="20"/>
                <w:szCs w:val="20"/>
              </w:rPr>
            </w:pPr>
            <w:r w:rsidRPr="00B95CCE">
              <w:rPr>
                <w:b/>
                <w:sz w:val="20"/>
                <w:szCs w:val="20"/>
              </w:rPr>
              <w:t>Recovery</w:t>
            </w:r>
          </w:p>
        </w:tc>
        <w:tc>
          <w:tcPr>
            <w:tcW w:w="1872"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bottom w:w="0" w:type="dxa"/>
              <w:right w:w="0" w:type="dxa"/>
            </w:tcMar>
            <w:vAlign w:val="center"/>
          </w:tcPr>
          <w:p w14:paraId="6810A7C4" w14:textId="77777777" w:rsidR="00C6548A" w:rsidRPr="00B95CCE" w:rsidRDefault="00C6548A" w:rsidP="00902A8D">
            <w:pPr>
              <w:spacing w:line="240" w:lineRule="auto"/>
              <w:jc w:val="center"/>
              <w:rPr>
                <w:b/>
                <w:sz w:val="20"/>
                <w:szCs w:val="20"/>
              </w:rPr>
            </w:pPr>
            <w:r w:rsidRPr="00B95CCE">
              <w:rPr>
                <w:b/>
                <w:sz w:val="20"/>
                <w:szCs w:val="20"/>
              </w:rPr>
              <w:t>Incentive to provide coverage?</w:t>
            </w:r>
          </w:p>
        </w:tc>
      </w:tr>
      <w:tr w:rsidR="00227F15" w:rsidRPr="00C6548A" w14:paraId="7A51A0A5" w14:textId="77777777" w:rsidTr="00295768">
        <w:trPr>
          <w:cantSplit/>
          <w:trHeight w:val="20"/>
        </w:trPr>
        <w:tc>
          <w:tcPr>
            <w:tcW w:w="1872" w:type="dxa"/>
            <w:vMerge w:val="restart"/>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bottom w:w="0" w:type="dxa"/>
              <w:right w:w="0" w:type="dxa"/>
            </w:tcMar>
            <w:vAlign w:val="center"/>
          </w:tcPr>
          <w:p w14:paraId="5997D061" w14:textId="77777777" w:rsidR="00C6548A" w:rsidRPr="00B95CCE" w:rsidRDefault="00C6548A" w:rsidP="00902A8D">
            <w:pPr>
              <w:spacing w:line="240" w:lineRule="auto"/>
              <w:jc w:val="center"/>
              <w:rPr>
                <w:b/>
                <w:sz w:val="20"/>
                <w:szCs w:val="20"/>
              </w:rPr>
            </w:pPr>
            <w:r w:rsidRPr="00B95CCE">
              <w:rPr>
                <w:b/>
                <w:sz w:val="20"/>
                <w:szCs w:val="20"/>
              </w:rPr>
              <w:t>Medical</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021FF71" w14:textId="77777777" w:rsidR="00C6548A" w:rsidRPr="00B95CCE" w:rsidRDefault="00C6548A" w:rsidP="00902A8D">
            <w:pPr>
              <w:spacing w:line="240" w:lineRule="auto"/>
              <w:jc w:val="center"/>
              <w:rPr>
                <w:i/>
                <w:sz w:val="20"/>
                <w:szCs w:val="20"/>
              </w:rPr>
            </w:pPr>
            <w:r w:rsidRPr="00B95CCE">
              <w:rPr>
                <w:i/>
                <w:sz w:val="20"/>
                <w:szCs w:val="20"/>
              </w:rPr>
              <w:t>Employer-Provided</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4406B8A" w14:textId="38EEDB86" w:rsidR="00C6548A" w:rsidRPr="00B95CCE" w:rsidRDefault="00227F15" w:rsidP="00902A8D">
            <w:pPr>
              <w:spacing w:line="240" w:lineRule="auto"/>
              <w:jc w:val="center"/>
              <w:rPr>
                <w:sz w:val="20"/>
                <w:szCs w:val="20"/>
              </w:rPr>
            </w:pPr>
            <w:r w:rsidRPr="00B95CCE">
              <w:rPr>
                <w:sz w:val="20"/>
                <w:szCs w:val="20"/>
              </w:rPr>
              <w:t>Not income - §106</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7039DE9" w14:textId="0BF41A21" w:rsidR="00C6548A" w:rsidRPr="00B95CCE" w:rsidRDefault="00227F15" w:rsidP="00902A8D">
            <w:pPr>
              <w:spacing w:line="240" w:lineRule="auto"/>
              <w:jc w:val="center"/>
              <w:rPr>
                <w:sz w:val="20"/>
                <w:szCs w:val="20"/>
              </w:rPr>
            </w:pPr>
            <w:r w:rsidRPr="00B95CCE">
              <w:rPr>
                <w:sz w:val="20"/>
                <w:szCs w:val="20"/>
              </w:rPr>
              <w:t xml:space="preserve">Not income </w:t>
            </w:r>
            <w:r w:rsidR="00C6548A" w:rsidRPr="00B95CCE">
              <w:rPr>
                <w:sz w:val="20"/>
                <w:szCs w:val="20"/>
              </w:rPr>
              <w:t>if for medical care</w:t>
            </w:r>
            <w:r w:rsidRPr="00B95CCE">
              <w:rPr>
                <w:sz w:val="20"/>
                <w:szCs w:val="20"/>
              </w:rPr>
              <w:t xml:space="preserve"> – §105(b)</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5D6BE5B" w14:textId="5B5846B7" w:rsidR="00C6548A" w:rsidRPr="00B95CCE" w:rsidRDefault="00A81F79" w:rsidP="00902A8D">
            <w:pPr>
              <w:spacing w:line="240" w:lineRule="auto"/>
              <w:jc w:val="center"/>
              <w:rPr>
                <w:sz w:val="20"/>
                <w:szCs w:val="20"/>
              </w:rPr>
            </w:pPr>
            <w:r>
              <w:rPr>
                <w:sz w:val="20"/>
                <w:szCs w:val="20"/>
              </w:rPr>
              <w:t>YES</w:t>
            </w:r>
          </w:p>
        </w:tc>
      </w:tr>
      <w:tr w:rsidR="00227F15" w:rsidRPr="00C6548A" w14:paraId="4E399910" w14:textId="77777777" w:rsidTr="00295768">
        <w:trPr>
          <w:cantSplit/>
          <w:trHeight w:val="20"/>
        </w:trPr>
        <w:tc>
          <w:tcPr>
            <w:tcW w:w="1872" w:type="dxa"/>
            <w:vMerge/>
            <w:tcBorders>
              <w:top w:val="single" w:sz="8" w:space="0" w:color="000000"/>
              <w:left w:val="single" w:sz="4" w:space="0" w:color="000000"/>
              <w:bottom w:val="single" w:sz="8" w:space="0" w:color="000000"/>
              <w:right w:val="single" w:sz="4" w:space="0" w:color="000000"/>
            </w:tcBorders>
            <w:shd w:val="clear" w:color="auto" w:fill="C0C0C0"/>
            <w:tcMar>
              <w:top w:w="0" w:type="dxa"/>
              <w:left w:w="0" w:type="dxa"/>
              <w:bottom w:w="0" w:type="dxa"/>
              <w:right w:w="0" w:type="dxa"/>
            </w:tcMar>
            <w:vAlign w:val="center"/>
          </w:tcPr>
          <w:p w14:paraId="288CC6E4" w14:textId="77777777" w:rsidR="00C6548A" w:rsidRPr="00B95CCE" w:rsidRDefault="00C6548A" w:rsidP="00902A8D">
            <w:pPr>
              <w:spacing w:line="240" w:lineRule="auto"/>
              <w:jc w:val="center"/>
              <w:rPr>
                <w:b/>
                <w:sz w:val="20"/>
                <w:szCs w:val="20"/>
              </w:rPr>
            </w:pP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BB6D080" w14:textId="77777777" w:rsidR="00C6548A" w:rsidRPr="00B95CCE" w:rsidRDefault="00C6548A" w:rsidP="00902A8D">
            <w:pPr>
              <w:spacing w:line="240" w:lineRule="auto"/>
              <w:jc w:val="center"/>
              <w:rPr>
                <w:i/>
                <w:sz w:val="20"/>
                <w:szCs w:val="20"/>
              </w:rPr>
            </w:pPr>
            <w:r w:rsidRPr="00B95CCE">
              <w:rPr>
                <w:i/>
                <w:sz w:val="20"/>
                <w:szCs w:val="20"/>
              </w:rPr>
              <w:t>Individual-Provided</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0B678E9" w14:textId="7A27A213" w:rsidR="00C6548A" w:rsidRPr="00B95CCE" w:rsidRDefault="00227F15" w:rsidP="00902A8D">
            <w:pPr>
              <w:spacing w:line="240" w:lineRule="auto"/>
              <w:jc w:val="center"/>
              <w:rPr>
                <w:sz w:val="20"/>
                <w:szCs w:val="20"/>
              </w:rPr>
            </w:pPr>
            <w:r w:rsidRPr="00B95CCE">
              <w:rPr>
                <w:sz w:val="20"/>
                <w:szCs w:val="20"/>
              </w:rPr>
              <w:t xml:space="preserve">Deductible, but only after 10% of AGI </w:t>
            </w:r>
            <w:r w:rsidR="00B95CCE" w:rsidRPr="00B95CCE">
              <w:rPr>
                <w:sz w:val="20"/>
                <w:szCs w:val="20"/>
              </w:rPr>
              <w:br/>
            </w:r>
            <w:r w:rsidRPr="00B95CCE">
              <w:rPr>
                <w:sz w:val="20"/>
                <w:szCs w:val="20"/>
              </w:rPr>
              <w:t>(</w:t>
            </w:r>
            <w:r w:rsidRPr="00B95CCE">
              <w:rPr>
                <w:i/>
                <w:sz w:val="20"/>
                <w:szCs w:val="20"/>
              </w:rPr>
              <w:t xml:space="preserve">high </w:t>
            </w:r>
            <w:r w:rsidRPr="00B95CCE">
              <w:rPr>
                <w:sz w:val="20"/>
                <w:szCs w:val="20"/>
              </w:rPr>
              <w:t>bar) – §213</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308B4B7" w14:textId="626DEF13" w:rsidR="00C6548A" w:rsidRPr="00B95CCE" w:rsidRDefault="00C6548A" w:rsidP="00902A8D">
            <w:pPr>
              <w:spacing w:line="240" w:lineRule="auto"/>
              <w:jc w:val="center"/>
              <w:rPr>
                <w:sz w:val="20"/>
                <w:szCs w:val="20"/>
              </w:rPr>
            </w:pPr>
            <w:r w:rsidRPr="00B95CCE">
              <w:rPr>
                <w:sz w:val="20"/>
                <w:szCs w:val="20"/>
              </w:rPr>
              <w:t xml:space="preserve">Not </w:t>
            </w:r>
            <w:r w:rsidR="00B95CCE" w:rsidRPr="00B95CCE">
              <w:rPr>
                <w:sz w:val="20"/>
                <w:szCs w:val="20"/>
              </w:rPr>
              <w:t>income</w:t>
            </w:r>
            <w:r w:rsidR="00227F15" w:rsidRPr="00B95CCE">
              <w:rPr>
                <w:sz w:val="20"/>
                <w:szCs w:val="20"/>
              </w:rPr>
              <w:t xml:space="preserve"> - </w:t>
            </w:r>
            <w:r w:rsidRPr="00B95CCE">
              <w:rPr>
                <w:sz w:val="20"/>
                <w:szCs w:val="20"/>
              </w:rPr>
              <w:br/>
            </w:r>
            <w:r w:rsidR="00227F15" w:rsidRPr="00B95CCE">
              <w:rPr>
                <w:sz w:val="20"/>
                <w:szCs w:val="20"/>
              </w:rPr>
              <w:t>§104(a)(3</w:t>
            </w:r>
            <w:r w:rsidRPr="00B95CCE">
              <w:rPr>
                <w:sz w:val="20"/>
                <w:szCs w:val="20"/>
              </w:rPr>
              <w:t>)</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009ACDE" w14:textId="1DAC88CF" w:rsidR="00C6548A" w:rsidRPr="00B95CCE" w:rsidRDefault="00A81F79" w:rsidP="00902A8D">
            <w:pPr>
              <w:spacing w:line="240" w:lineRule="auto"/>
              <w:jc w:val="center"/>
              <w:rPr>
                <w:sz w:val="20"/>
                <w:szCs w:val="20"/>
              </w:rPr>
            </w:pPr>
            <w:r>
              <w:rPr>
                <w:sz w:val="20"/>
                <w:szCs w:val="20"/>
              </w:rPr>
              <w:t>Not really</w:t>
            </w:r>
          </w:p>
        </w:tc>
      </w:tr>
      <w:tr w:rsidR="00C6548A" w:rsidRPr="00C6548A" w14:paraId="67AA345D" w14:textId="77777777" w:rsidTr="00295768">
        <w:trPr>
          <w:cantSplit/>
          <w:trHeight w:val="20"/>
        </w:trPr>
        <w:tc>
          <w:tcPr>
            <w:tcW w:w="1872" w:type="dxa"/>
            <w:vMerge w:val="restart"/>
            <w:tcBorders>
              <w:top w:val="single" w:sz="8" w:space="0" w:color="000000"/>
              <w:left w:val="single" w:sz="4" w:space="0" w:color="000000"/>
              <w:right w:val="single" w:sz="4" w:space="0" w:color="000000"/>
            </w:tcBorders>
            <w:shd w:val="clear" w:color="auto" w:fill="C0C0C0"/>
            <w:tcMar>
              <w:top w:w="0" w:type="dxa"/>
              <w:left w:w="0" w:type="dxa"/>
              <w:bottom w:w="0" w:type="dxa"/>
              <w:right w:w="0" w:type="dxa"/>
            </w:tcMar>
            <w:vAlign w:val="center"/>
          </w:tcPr>
          <w:p w14:paraId="2B51B287" w14:textId="07E7EC38" w:rsidR="00C6548A" w:rsidRPr="00B95CCE" w:rsidRDefault="00C6548A" w:rsidP="00902A8D">
            <w:pPr>
              <w:spacing w:line="240" w:lineRule="auto"/>
              <w:jc w:val="center"/>
              <w:rPr>
                <w:b/>
                <w:sz w:val="20"/>
                <w:szCs w:val="20"/>
              </w:rPr>
            </w:pPr>
            <w:r w:rsidRPr="00B95CCE">
              <w:rPr>
                <w:b/>
                <w:sz w:val="20"/>
                <w:szCs w:val="20"/>
              </w:rPr>
              <w:t>Accident</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83AB97C" w14:textId="675DCE1F" w:rsidR="00C6548A" w:rsidRPr="00B95CCE" w:rsidRDefault="00C6548A" w:rsidP="00902A8D">
            <w:pPr>
              <w:spacing w:line="240" w:lineRule="auto"/>
              <w:jc w:val="center"/>
              <w:rPr>
                <w:i/>
                <w:sz w:val="20"/>
                <w:szCs w:val="20"/>
              </w:rPr>
            </w:pPr>
            <w:r w:rsidRPr="00B95CCE">
              <w:rPr>
                <w:i/>
                <w:sz w:val="20"/>
                <w:szCs w:val="20"/>
              </w:rPr>
              <w:t>Employer-Provided</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FEABF15" w14:textId="37D256C1" w:rsidR="00C6548A" w:rsidRPr="00B95CCE" w:rsidRDefault="00227F15" w:rsidP="00902A8D">
            <w:pPr>
              <w:spacing w:line="240" w:lineRule="auto"/>
              <w:jc w:val="center"/>
              <w:rPr>
                <w:sz w:val="20"/>
                <w:szCs w:val="20"/>
              </w:rPr>
            </w:pPr>
            <w:r w:rsidRPr="00B95CCE">
              <w:rPr>
                <w:sz w:val="20"/>
                <w:szCs w:val="20"/>
              </w:rPr>
              <w:t>Not</w:t>
            </w:r>
            <w:r w:rsidR="00B95CCE" w:rsidRPr="00B95CCE">
              <w:rPr>
                <w:sz w:val="20"/>
                <w:szCs w:val="20"/>
              </w:rPr>
              <w:t xml:space="preserve"> income - §106</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BB17E57" w14:textId="0DC790DD" w:rsidR="00C6548A" w:rsidRPr="00B95CCE" w:rsidRDefault="00B95CCE" w:rsidP="00902A8D">
            <w:pPr>
              <w:spacing w:line="240" w:lineRule="auto"/>
              <w:jc w:val="center"/>
              <w:rPr>
                <w:sz w:val="20"/>
                <w:szCs w:val="20"/>
              </w:rPr>
            </w:pPr>
            <w:r w:rsidRPr="00B95CCE">
              <w:rPr>
                <w:sz w:val="20"/>
                <w:szCs w:val="20"/>
              </w:rPr>
              <w:t>Not income -</w:t>
            </w:r>
            <w:r w:rsidR="00C6548A" w:rsidRPr="00B95CCE">
              <w:rPr>
                <w:sz w:val="20"/>
                <w:szCs w:val="20"/>
              </w:rPr>
              <w:t>§</w:t>
            </w:r>
            <w:r w:rsidRPr="00B95CCE">
              <w:rPr>
                <w:sz w:val="20"/>
                <w:szCs w:val="20"/>
              </w:rPr>
              <w:t>§104(a)(3), 105(c)</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348B73C" w14:textId="525B1A52" w:rsidR="00C6548A" w:rsidRPr="00B95CCE" w:rsidRDefault="00A81F79" w:rsidP="00902A8D">
            <w:pPr>
              <w:spacing w:line="240" w:lineRule="auto"/>
              <w:jc w:val="center"/>
              <w:rPr>
                <w:sz w:val="20"/>
                <w:szCs w:val="20"/>
              </w:rPr>
            </w:pPr>
            <w:r>
              <w:rPr>
                <w:sz w:val="20"/>
                <w:szCs w:val="20"/>
              </w:rPr>
              <w:t xml:space="preserve">Yes, but </w:t>
            </w:r>
            <w:r>
              <w:rPr>
                <w:sz w:val="20"/>
                <w:szCs w:val="20"/>
              </w:rPr>
              <w:br/>
              <w:t>severely limited</w:t>
            </w:r>
          </w:p>
        </w:tc>
      </w:tr>
      <w:tr w:rsidR="00227F15" w:rsidRPr="00C6548A" w14:paraId="39E28BF6" w14:textId="77777777" w:rsidTr="00295768">
        <w:trPr>
          <w:cantSplit/>
          <w:trHeight w:val="20"/>
        </w:trPr>
        <w:tc>
          <w:tcPr>
            <w:tcW w:w="1872" w:type="dxa"/>
            <w:vMerge/>
            <w:tcBorders>
              <w:left w:val="single" w:sz="4" w:space="0" w:color="000000"/>
              <w:bottom w:val="single" w:sz="4" w:space="0" w:color="000000"/>
              <w:right w:val="single" w:sz="4" w:space="0" w:color="000000"/>
            </w:tcBorders>
            <w:shd w:val="clear" w:color="auto" w:fill="C0C0C0"/>
            <w:tcMar>
              <w:top w:w="0" w:type="dxa"/>
              <w:left w:w="0" w:type="dxa"/>
              <w:bottom w:w="0" w:type="dxa"/>
              <w:right w:w="0" w:type="dxa"/>
            </w:tcMar>
            <w:vAlign w:val="center"/>
          </w:tcPr>
          <w:p w14:paraId="532A2CC8" w14:textId="77777777" w:rsidR="00C6548A" w:rsidRPr="00B95CCE" w:rsidRDefault="00C6548A" w:rsidP="00902A8D">
            <w:pPr>
              <w:spacing w:line="240" w:lineRule="auto"/>
              <w:jc w:val="center"/>
              <w:rPr>
                <w:sz w:val="20"/>
                <w:szCs w:val="20"/>
              </w:rPr>
            </w:pP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404D551" w14:textId="43202D11" w:rsidR="00C6548A" w:rsidRPr="00B95CCE" w:rsidRDefault="00C6548A" w:rsidP="00902A8D">
            <w:pPr>
              <w:spacing w:line="240" w:lineRule="auto"/>
              <w:jc w:val="center"/>
              <w:rPr>
                <w:i/>
                <w:sz w:val="20"/>
                <w:szCs w:val="20"/>
              </w:rPr>
            </w:pPr>
            <w:r w:rsidRPr="00B95CCE">
              <w:rPr>
                <w:i/>
                <w:sz w:val="20"/>
                <w:szCs w:val="20"/>
              </w:rPr>
              <w:t>Individual-Provided</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878440B" w14:textId="7867166E" w:rsidR="00C6548A" w:rsidRPr="00B95CCE" w:rsidRDefault="00B95CCE" w:rsidP="00902A8D">
            <w:pPr>
              <w:spacing w:line="240" w:lineRule="auto"/>
              <w:jc w:val="center"/>
              <w:rPr>
                <w:sz w:val="20"/>
                <w:szCs w:val="20"/>
              </w:rPr>
            </w:pPr>
            <w:r w:rsidRPr="00B95CCE">
              <w:rPr>
                <w:sz w:val="20"/>
                <w:szCs w:val="20"/>
              </w:rPr>
              <w:t>P</w:t>
            </w:r>
            <w:r w:rsidR="00C6548A" w:rsidRPr="00B95CCE">
              <w:rPr>
                <w:sz w:val="20"/>
                <w:szCs w:val="20"/>
              </w:rPr>
              <w:t xml:space="preserve">remium </w:t>
            </w:r>
            <w:r w:rsidRPr="00B95CCE">
              <w:rPr>
                <w:sz w:val="20"/>
                <w:szCs w:val="20"/>
              </w:rPr>
              <w:t>purchased with after-tax dollars and</w:t>
            </w:r>
            <w:r w:rsidR="00C6548A" w:rsidRPr="00B95CCE">
              <w:rPr>
                <w:sz w:val="20"/>
                <w:szCs w:val="20"/>
              </w:rPr>
              <w:t xml:space="preserve"> n</w:t>
            </w:r>
            <w:r w:rsidRPr="00B95CCE">
              <w:rPr>
                <w:sz w:val="20"/>
                <w:szCs w:val="20"/>
              </w:rPr>
              <w:t>o deduction</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8D715A3" w14:textId="484E9A78" w:rsidR="00C6548A" w:rsidRPr="00B95CCE" w:rsidRDefault="00B95CCE" w:rsidP="00902A8D">
            <w:pPr>
              <w:spacing w:line="240" w:lineRule="auto"/>
              <w:jc w:val="center"/>
              <w:rPr>
                <w:sz w:val="20"/>
                <w:szCs w:val="20"/>
              </w:rPr>
            </w:pPr>
            <w:r w:rsidRPr="00B95CCE">
              <w:rPr>
                <w:sz w:val="20"/>
                <w:szCs w:val="20"/>
              </w:rPr>
              <w:t>Not income -</w:t>
            </w:r>
            <w:r w:rsidR="00C6548A" w:rsidRPr="00B95CCE">
              <w:rPr>
                <w:sz w:val="20"/>
                <w:szCs w:val="20"/>
              </w:rPr>
              <w:br/>
            </w:r>
            <w:r w:rsidRPr="00B95CCE">
              <w:rPr>
                <w:sz w:val="20"/>
                <w:szCs w:val="20"/>
              </w:rPr>
              <w:t>§104(a)(3)</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E65FE88" w14:textId="5C7EBF3C" w:rsidR="00C6548A" w:rsidRPr="00B95CCE" w:rsidRDefault="00B95CCE" w:rsidP="00902A8D">
            <w:pPr>
              <w:spacing w:line="240" w:lineRule="auto"/>
              <w:jc w:val="center"/>
              <w:rPr>
                <w:sz w:val="20"/>
                <w:szCs w:val="20"/>
              </w:rPr>
            </w:pPr>
            <w:r w:rsidRPr="00B95CCE">
              <w:rPr>
                <w:sz w:val="20"/>
                <w:szCs w:val="20"/>
              </w:rPr>
              <w:t>N</w:t>
            </w:r>
            <w:r w:rsidR="00A81F79">
              <w:rPr>
                <w:sz w:val="20"/>
                <w:szCs w:val="20"/>
              </w:rPr>
              <w:t>o</w:t>
            </w:r>
          </w:p>
        </w:tc>
      </w:tr>
    </w:tbl>
    <w:p w14:paraId="3F9D269E" w14:textId="77777777" w:rsidR="00BD4BD4" w:rsidRDefault="00091893" w:rsidP="00A548E6">
      <w:pPr>
        <w:pStyle w:val="ListParagraph"/>
        <w:numPr>
          <w:ilvl w:val="0"/>
          <w:numId w:val="5"/>
        </w:numPr>
        <w:rPr>
          <w:sz w:val="20"/>
          <w:szCs w:val="20"/>
        </w:rPr>
      </w:pPr>
      <w:r>
        <w:rPr>
          <w:sz w:val="20"/>
          <w:szCs w:val="20"/>
        </w:rPr>
        <w:t xml:space="preserve">Gross income </w:t>
      </w:r>
      <w:r>
        <w:rPr>
          <w:b/>
          <w:sz w:val="20"/>
          <w:szCs w:val="20"/>
        </w:rPr>
        <w:t xml:space="preserve">does not </w:t>
      </w:r>
      <w:r>
        <w:rPr>
          <w:sz w:val="20"/>
          <w:szCs w:val="20"/>
        </w:rPr>
        <w:t>include any of the following fringe benefits under §132:</w:t>
      </w:r>
    </w:p>
    <w:p w14:paraId="75072C8B" w14:textId="77777777" w:rsidR="00BD4BD4" w:rsidRDefault="00091893" w:rsidP="00A548E6">
      <w:pPr>
        <w:pStyle w:val="ListParagraph"/>
        <w:numPr>
          <w:ilvl w:val="1"/>
          <w:numId w:val="5"/>
        </w:numPr>
        <w:rPr>
          <w:sz w:val="20"/>
          <w:szCs w:val="20"/>
        </w:rPr>
      </w:pPr>
      <w:r w:rsidRPr="00BD4BD4">
        <w:rPr>
          <w:sz w:val="20"/>
          <w:szCs w:val="20"/>
        </w:rPr>
        <w:t>No additional-cost services</w:t>
      </w:r>
    </w:p>
    <w:p w14:paraId="47C7CFC9" w14:textId="30EBD87F" w:rsidR="00BD4BD4" w:rsidRDefault="0055137C" w:rsidP="00A548E6">
      <w:pPr>
        <w:pStyle w:val="ListParagraph"/>
        <w:numPr>
          <w:ilvl w:val="2"/>
          <w:numId w:val="5"/>
        </w:numPr>
        <w:rPr>
          <w:sz w:val="20"/>
          <w:szCs w:val="20"/>
        </w:rPr>
      </w:pPr>
      <w:r w:rsidRPr="00BD4BD4">
        <w:rPr>
          <w:sz w:val="20"/>
          <w:szCs w:val="20"/>
        </w:rPr>
        <w:t xml:space="preserve">Service provided to employee </w:t>
      </w:r>
      <w:r w:rsidRPr="00BD4BD4">
        <w:rPr>
          <w:b/>
          <w:sz w:val="20"/>
          <w:szCs w:val="20"/>
        </w:rPr>
        <w:t xml:space="preserve">if </w:t>
      </w:r>
      <w:r w:rsidR="00295768">
        <w:rPr>
          <w:sz w:val="20"/>
          <w:szCs w:val="20"/>
        </w:rPr>
        <w:t xml:space="preserve">service </w:t>
      </w:r>
      <w:r w:rsidRPr="00BD4BD4">
        <w:rPr>
          <w:sz w:val="20"/>
          <w:szCs w:val="20"/>
        </w:rPr>
        <w:t xml:space="preserve">offered for sale </w:t>
      </w:r>
      <w:r w:rsidR="00295768">
        <w:rPr>
          <w:sz w:val="20"/>
          <w:szCs w:val="20"/>
        </w:rPr>
        <w:t xml:space="preserve">in ordinary course of business </w:t>
      </w:r>
      <w:r w:rsidR="00295768">
        <w:rPr>
          <w:i/>
          <w:sz w:val="20"/>
          <w:szCs w:val="20"/>
        </w:rPr>
        <w:t>and</w:t>
      </w:r>
      <w:r w:rsidRPr="00BD4BD4">
        <w:rPr>
          <w:sz w:val="20"/>
          <w:szCs w:val="20"/>
        </w:rPr>
        <w:t xml:space="preserve"> no substantial additional costs </w:t>
      </w:r>
      <w:r w:rsidR="00295768">
        <w:rPr>
          <w:sz w:val="20"/>
          <w:szCs w:val="20"/>
        </w:rPr>
        <w:t xml:space="preserve">(including foregone revenue) </w:t>
      </w:r>
      <w:r w:rsidRPr="00BD4BD4">
        <w:rPr>
          <w:sz w:val="20"/>
          <w:szCs w:val="20"/>
        </w:rPr>
        <w:t xml:space="preserve">incurred - </w:t>
      </w:r>
      <w:r w:rsidR="00101591" w:rsidRPr="00BD4BD4">
        <w:rPr>
          <w:sz w:val="20"/>
          <w:szCs w:val="20"/>
        </w:rPr>
        <w:t>§132(b</w:t>
      </w:r>
      <w:r w:rsidR="00D5675F" w:rsidRPr="00BD4BD4">
        <w:rPr>
          <w:sz w:val="20"/>
          <w:szCs w:val="20"/>
        </w:rPr>
        <w:t>)</w:t>
      </w:r>
    </w:p>
    <w:p w14:paraId="27AEB906" w14:textId="7CC84A94" w:rsidR="00BD4BD4" w:rsidRDefault="00101591" w:rsidP="00A548E6">
      <w:pPr>
        <w:pStyle w:val="ListParagraph"/>
        <w:numPr>
          <w:ilvl w:val="2"/>
          <w:numId w:val="5"/>
        </w:numPr>
        <w:rPr>
          <w:sz w:val="20"/>
          <w:szCs w:val="20"/>
        </w:rPr>
      </w:pPr>
      <w:r w:rsidRPr="00BD4BD4">
        <w:rPr>
          <w:sz w:val="20"/>
          <w:szCs w:val="20"/>
        </w:rPr>
        <w:t xml:space="preserve">Includes employees, spouse/dependents, and employee’s </w:t>
      </w:r>
      <w:r w:rsidR="00B23B60">
        <w:rPr>
          <w:sz w:val="20"/>
          <w:szCs w:val="20"/>
        </w:rPr>
        <w:t>widow(</w:t>
      </w:r>
      <w:proofErr w:type="spellStart"/>
      <w:r w:rsidR="00B23B60">
        <w:rPr>
          <w:sz w:val="20"/>
          <w:szCs w:val="20"/>
        </w:rPr>
        <w:t>er</w:t>
      </w:r>
      <w:proofErr w:type="spellEnd"/>
      <w:r w:rsidR="00B23B60">
        <w:rPr>
          <w:sz w:val="20"/>
          <w:szCs w:val="20"/>
        </w:rPr>
        <w:t>) for flights</w:t>
      </w:r>
      <w:r w:rsidR="00D5675F" w:rsidRPr="00BD4BD4">
        <w:rPr>
          <w:sz w:val="20"/>
          <w:szCs w:val="20"/>
        </w:rPr>
        <w:t xml:space="preserve"> - §132(h)</w:t>
      </w:r>
    </w:p>
    <w:p w14:paraId="543FA870" w14:textId="77777777" w:rsidR="00BD4BD4" w:rsidRDefault="00101591" w:rsidP="00A548E6">
      <w:pPr>
        <w:pStyle w:val="ListParagraph"/>
        <w:numPr>
          <w:ilvl w:val="3"/>
          <w:numId w:val="5"/>
        </w:numPr>
        <w:rPr>
          <w:sz w:val="20"/>
          <w:szCs w:val="20"/>
        </w:rPr>
      </w:pPr>
      <w:r w:rsidRPr="00BD4BD4">
        <w:rPr>
          <w:sz w:val="20"/>
          <w:szCs w:val="20"/>
        </w:rPr>
        <w:t>If employee is living, employee’s parents may fly tax-free</w:t>
      </w:r>
    </w:p>
    <w:p w14:paraId="48FFA465" w14:textId="77777777" w:rsidR="00BD4BD4" w:rsidRDefault="00101591" w:rsidP="00A548E6">
      <w:pPr>
        <w:pStyle w:val="ListParagraph"/>
        <w:numPr>
          <w:ilvl w:val="3"/>
          <w:numId w:val="5"/>
        </w:numPr>
        <w:rPr>
          <w:sz w:val="20"/>
          <w:szCs w:val="20"/>
        </w:rPr>
      </w:pPr>
      <w:r w:rsidRPr="00BD4BD4">
        <w:rPr>
          <w:sz w:val="20"/>
          <w:szCs w:val="20"/>
        </w:rPr>
        <w:t xml:space="preserve">If employee is dead, employee’s spouse’s parents may </w:t>
      </w:r>
      <w:r w:rsidRPr="00BD4BD4">
        <w:rPr>
          <w:i/>
          <w:sz w:val="20"/>
          <w:szCs w:val="20"/>
        </w:rPr>
        <w:t xml:space="preserve">not </w:t>
      </w:r>
      <w:r w:rsidRPr="00BD4BD4">
        <w:rPr>
          <w:sz w:val="20"/>
          <w:szCs w:val="20"/>
        </w:rPr>
        <w:t>fly tax-free</w:t>
      </w:r>
    </w:p>
    <w:p w14:paraId="2AF94BDF" w14:textId="0ACAC762" w:rsidR="00BD4BD4" w:rsidRPr="00FB7BF6" w:rsidRDefault="00ED184E" w:rsidP="00FB7BF6">
      <w:pPr>
        <w:pStyle w:val="ListParagraph"/>
        <w:numPr>
          <w:ilvl w:val="3"/>
          <w:numId w:val="5"/>
        </w:numPr>
        <w:rPr>
          <w:sz w:val="20"/>
          <w:szCs w:val="20"/>
        </w:rPr>
      </w:pPr>
      <w:r>
        <w:rPr>
          <w:sz w:val="20"/>
          <w:szCs w:val="20"/>
        </w:rPr>
        <w:t>Can</w:t>
      </w:r>
      <w:r w:rsidR="00101591" w:rsidRPr="00BD4BD4">
        <w:rPr>
          <w:sz w:val="20"/>
          <w:szCs w:val="20"/>
        </w:rPr>
        <w:t xml:space="preserve"> employee’s </w:t>
      </w:r>
      <w:r w:rsidR="00BD4BD4">
        <w:rPr>
          <w:sz w:val="20"/>
          <w:szCs w:val="20"/>
        </w:rPr>
        <w:t>spouse’s parents ever fly free?</w:t>
      </w:r>
      <w:r w:rsidR="00FB7BF6">
        <w:rPr>
          <w:sz w:val="20"/>
          <w:szCs w:val="20"/>
        </w:rPr>
        <w:t xml:space="preserve"> AW </w:t>
      </w:r>
      <w:r>
        <w:rPr>
          <w:sz w:val="20"/>
          <w:szCs w:val="20"/>
        </w:rPr>
        <w:t xml:space="preserve">– ambiguous, so maybe </w:t>
      </w:r>
      <w:r w:rsidR="00FB7BF6">
        <w:rPr>
          <w:sz w:val="20"/>
          <w:szCs w:val="20"/>
        </w:rPr>
        <w:t>yes</w:t>
      </w:r>
    </w:p>
    <w:p w14:paraId="79267308" w14:textId="77777777" w:rsidR="00BD4BD4" w:rsidRDefault="00091893" w:rsidP="00A548E6">
      <w:pPr>
        <w:pStyle w:val="ListParagraph"/>
        <w:numPr>
          <w:ilvl w:val="1"/>
          <w:numId w:val="5"/>
        </w:numPr>
        <w:rPr>
          <w:sz w:val="20"/>
          <w:szCs w:val="20"/>
        </w:rPr>
      </w:pPr>
      <w:r w:rsidRPr="00BD4BD4">
        <w:rPr>
          <w:sz w:val="20"/>
          <w:szCs w:val="20"/>
        </w:rPr>
        <w:t>Qualified employee discounts</w:t>
      </w:r>
    </w:p>
    <w:p w14:paraId="64177178" w14:textId="03C8CCA1" w:rsidR="00BD4BD4" w:rsidRDefault="0055137C" w:rsidP="00A548E6">
      <w:pPr>
        <w:pStyle w:val="ListParagraph"/>
        <w:numPr>
          <w:ilvl w:val="2"/>
          <w:numId w:val="5"/>
        </w:numPr>
        <w:rPr>
          <w:sz w:val="20"/>
          <w:szCs w:val="20"/>
        </w:rPr>
      </w:pPr>
      <w:r w:rsidRPr="00BD4BD4">
        <w:rPr>
          <w:sz w:val="20"/>
          <w:szCs w:val="20"/>
        </w:rPr>
        <w:t>Cannot exceed the gross profit percentage (of all property, or a reasonable classification thereof), or greater than 20% off the cost of services offered to customers - §132(c)</w:t>
      </w:r>
    </w:p>
    <w:p w14:paraId="63903BD6" w14:textId="77777777" w:rsidR="00BD4BD4" w:rsidRDefault="00091893" w:rsidP="00A548E6">
      <w:pPr>
        <w:pStyle w:val="ListParagraph"/>
        <w:numPr>
          <w:ilvl w:val="1"/>
          <w:numId w:val="5"/>
        </w:numPr>
        <w:rPr>
          <w:sz w:val="20"/>
          <w:szCs w:val="20"/>
        </w:rPr>
      </w:pPr>
      <w:r w:rsidRPr="00BD4BD4">
        <w:rPr>
          <w:sz w:val="20"/>
          <w:szCs w:val="20"/>
        </w:rPr>
        <w:t>Working condition fringes</w:t>
      </w:r>
    </w:p>
    <w:p w14:paraId="34002875" w14:textId="77777777" w:rsidR="00BD4BD4" w:rsidRDefault="00891851" w:rsidP="00A548E6">
      <w:pPr>
        <w:pStyle w:val="ListParagraph"/>
        <w:numPr>
          <w:ilvl w:val="2"/>
          <w:numId w:val="5"/>
        </w:numPr>
        <w:rPr>
          <w:sz w:val="20"/>
          <w:szCs w:val="20"/>
        </w:rPr>
      </w:pPr>
      <w:r w:rsidRPr="00BD4BD4">
        <w:rPr>
          <w:sz w:val="20"/>
          <w:szCs w:val="20"/>
        </w:rPr>
        <w:t>Any property or services provided to an employee that, if paid for, would have been deductible under §162 or §167</w:t>
      </w:r>
    </w:p>
    <w:p w14:paraId="6C8807C6" w14:textId="77777777" w:rsidR="00BD4BD4" w:rsidRDefault="0055137C" w:rsidP="00A548E6">
      <w:pPr>
        <w:pStyle w:val="ListParagraph"/>
        <w:numPr>
          <w:ilvl w:val="2"/>
          <w:numId w:val="5"/>
        </w:numPr>
        <w:rPr>
          <w:sz w:val="20"/>
          <w:szCs w:val="20"/>
        </w:rPr>
      </w:pPr>
      <w:r w:rsidRPr="00BD4BD4">
        <w:rPr>
          <w:sz w:val="20"/>
          <w:szCs w:val="20"/>
        </w:rPr>
        <w:t xml:space="preserve">Requires a substantial </w:t>
      </w:r>
      <w:proofErr w:type="spellStart"/>
      <w:r w:rsidRPr="00BD4BD4">
        <w:rPr>
          <w:sz w:val="20"/>
          <w:szCs w:val="20"/>
        </w:rPr>
        <w:t>noncompensatory</w:t>
      </w:r>
      <w:proofErr w:type="spellEnd"/>
      <w:r w:rsidRPr="00BD4BD4">
        <w:rPr>
          <w:sz w:val="20"/>
          <w:szCs w:val="20"/>
        </w:rPr>
        <w:t xml:space="preserve"> business purpose</w:t>
      </w:r>
    </w:p>
    <w:p w14:paraId="2871714E" w14:textId="40994ADD" w:rsidR="00EA23F9" w:rsidRPr="002C5E65" w:rsidRDefault="00101591" w:rsidP="002C5E65">
      <w:pPr>
        <w:pStyle w:val="ListParagraph"/>
        <w:numPr>
          <w:ilvl w:val="2"/>
          <w:numId w:val="5"/>
        </w:numPr>
        <w:rPr>
          <w:sz w:val="20"/>
          <w:szCs w:val="20"/>
        </w:rPr>
      </w:pPr>
      <w:r w:rsidRPr="002C5E65">
        <w:rPr>
          <w:sz w:val="20"/>
          <w:szCs w:val="20"/>
        </w:rPr>
        <w:t>No meaningful distinction between frequent flyer miles and employer-paid airplane flights – should frequent flyer miles be taxable?</w:t>
      </w:r>
    </w:p>
    <w:p w14:paraId="1D36CBBD" w14:textId="77777777" w:rsidR="00BD4BD4" w:rsidRDefault="00091893" w:rsidP="00A548E6">
      <w:pPr>
        <w:pStyle w:val="ListParagraph"/>
        <w:numPr>
          <w:ilvl w:val="1"/>
          <w:numId w:val="5"/>
        </w:numPr>
        <w:rPr>
          <w:sz w:val="20"/>
          <w:szCs w:val="20"/>
        </w:rPr>
      </w:pPr>
      <w:r w:rsidRPr="00BD4BD4">
        <w:rPr>
          <w:sz w:val="20"/>
          <w:szCs w:val="20"/>
        </w:rPr>
        <w:t xml:space="preserve">De </w:t>
      </w:r>
      <w:proofErr w:type="spellStart"/>
      <w:r w:rsidRPr="00BD4BD4">
        <w:rPr>
          <w:sz w:val="20"/>
          <w:szCs w:val="20"/>
        </w:rPr>
        <w:t>minimis</w:t>
      </w:r>
      <w:proofErr w:type="spellEnd"/>
      <w:r w:rsidRPr="00BD4BD4">
        <w:rPr>
          <w:sz w:val="20"/>
          <w:szCs w:val="20"/>
        </w:rPr>
        <w:t xml:space="preserve"> fringes</w:t>
      </w:r>
    </w:p>
    <w:p w14:paraId="03CB5BE4" w14:textId="794F44B4" w:rsidR="00BD4BD4" w:rsidRDefault="004E03DA" w:rsidP="00A548E6">
      <w:pPr>
        <w:pStyle w:val="ListParagraph"/>
        <w:numPr>
          <w:ilvl w:val="2"/>
          <w:numId w:val="5"/>
        </w:numPr>
        <w:rPr>
          <w:sz w:val="20"/>
          <w:szCs w:val="20"/>
        </w:rPr>
      </w:pPr>
      <w:r>
        <w:rPr>
          <w:sz w:val="20"/>
          <w:szCs w:val="20"/>
        </w:rPr>
        <w:t>Any property/</w:t>
      </w:r>
      <w:r w:rsidR="00891851" w:rsidRPr="00BD4BD4">
        <w:rPr>
          <w:sz w:val="20"/>
          <w:szCs w:val="20"/>
        </w:rPr>
        <w:t>service the value of which is so small as to make accounting for it unreasonable/impracticable</w:t>
      </w:r>
    </w:p>
    <w:p w14:paraId="50AFD42B" w14:textId="3B3A3A3C" w:rsidR="00BD4BD4" w:rsidRDefault="008D5F8B" w:rsidP="00A548E6">
      <w:pPr>
        <w:pStyle w:val="ListParagraph"/>
        <w:numPr>
          <w:ilvl w:val="2"/>
          <w:numId w:val="5"/>
        </w:numPr>
        <w:rPr>
          <w:sz w:val="20"/>
          <w:szCs w:val="20"/>
        </w:rPr>
      </w:pPr>
      <w:r>
        <w:rPr>
          <w:sz w:val="20"/>
          <w:szCs w:val="20"/>
        </w:rPr>
        <w:t>An</w:t>
      </w:r>
      <w:r w:rsidR="00891851" w:rsidRPr="00BD4BD4">
        <w:rPr>
          <w:sz w:val="20"/>
          <w:szCs w:val="20"/>
        </w:rPr>
        <w:t xml:space="preserve"> </w:t>
      </w:r>
      <w:r>
        <w:rPr>
          <w:sz w:val="20"/>
          <w:szCs w:val="20"/>
        </w:rPr>
        <w:t xml:space="preserve">employee </w:t>
      </w:r>
      <w:r w:rsidR="00891851" w:rsidRPr="00BD4BD4">
        <w:rPr>
          <w:sz w:val="20"/>
          <w:szCs w:val="20"/>
        </w:rPr>
        <w:t>eating facility</w:t>
      </w:r>
      <w:r>
        <w:rPr>
          <w:sz w:val="20"/>
          <w:szCs w:val="20"/>
        </w:rPr>
        <w:t xml:space="preserve"> </w:t>
      </w:r>
      <w:r w:rsidR="00891851" w:rsidRPr="00BD4BD4">
        <w:rPr>
          <w:sz w:val="20"/>
          <w:szCs w:val="20"/>
        </w:rPr>
        <w:t xml:space="preserve">is a de </w:t>
      </w:r>
      <w:proofErr w:type="spellStart"/>
      <w:r w:rsidR="00891851" w:rsidRPr="00BD4BD4">
        <w:rPr>
          <w:sz w:val="20"/>
          <w:szCs w:val="20"/>
        </w:rPr>
        <w:t>minim</w:t>
      </w:r>
      <w:r>
        <w:rPr>
          <w:sz w:val="20"/>
          <w:szCs w:val="20"/>
        </w:rPr>
        <w:t>is</w:t>
      </w:r>
      <w:proofErr w:type="spellEnd"/>
      <w:r>
        <w:rPr>
          <w:sz w:val="20"/>
          <w:szCs w:val="20"/>
        </w:rPr>
        <w:t xml:space="preserve"> fringe if located on/near </w:t>
      </w:r>
      <w:r w:rsidR="00891851" w:rsidRPr="00BD4BD4">
        <w:rPr>
          <w:sz w:val="20"/>
          <w:szCs w:val="20"/>
        </w:rPr>
        <w:t xml:space="preserve">employer’s business premises, and </w:t>
      </w:r>
      <w:r>
        <w:rPr>
          <w:sz w:val="20"/>
          <w:szCs w:val="20"/>
        </w:rPr>
        <w:t xml:space="preserve">the facility’s </w:t>
      </w:r>
      <w:r w:rsidR="00891851" w:rsidRPr="00BD4BD4">
        <w:rPr>
          <w:sz w:val="20"/>
          <w:szCs w:val="20"/>
        </w:rPr>
        <w:t xml:space="preserve">revenue </w:t>
      </w:r>
      <w:r>
        <w:rPr>
          <w:sz w:val="20"/>
          <w:szCs w:val="20"/>
        </w:rPr>
        <w:t>normally equals/exceeds direct operating cost</w:t>
      </w:r>
    </w:p>
    <w:p w14:paraId="57F53183" w14:textId="3BA733C7" w:rsidR="00BD4BD4" w:rsidRDefault="00B2634E" w:rsidP="00A548E6">
      <w:pPr>
        <w:pStyle w:val="ListParagraph"/>
        <w:numPr>
          <w:ilvl w:val="3"/>
          <w:numId w:val="5"/>
        </w:numPr>
        <w:rPr>
          <w:sz w:val="20"/>
          <w:szCs w:val="20"/>
        </w:rPr>
      </w:pPr>
      <w:r w:rsidRPr="00BD4BD4">
        <w:rPr>
          <w:sz w:val="20"/>
          <w:szCs w:val="20"/>
        </w:rPr>
        <w:t>Emplo</w:t>
      </w:r>
      <w:r w:rsidR="008D5F8B">
        <w:rPr>
          <w:sz w:val="20"/>
          <w:szCs w:val="20"/>
        </w:rPr>
        <w:t xml:space="preserve">yers </w:t>
      </w:r>
      <w:r w:rsidRPr="00BD4BD4">
        <w:rPr>
          <w:sz w:val="20"/>
          <w:szCs w:val="20"/>
        </w:rPr>
        <w:t xml:space="preserve">prefer de </w:t>
      </w:r>
      <w:proofErr w:type="spellStart"/>
      <w:r w:rsidRPr="00BD4BD4">
        <w:rPr>
          <w:sz w:val="20"/>
          <w:szCs w:val="20"/>
        </w:rPr>
        <w:t>min</w:t>
      </w:r>
      <w:r w:rsidR="008D5F8B">
        <w:rPr>
          <w:sz w:val="20"/>
          <w:szCs w:val="20"/>
        </w:rPr>
        <w:t>imis</w:t>
      </w:r>
      <w:proofErr w:type="spellEnd"/>
      <w:r w:rsidR="008D5F8B">
        <w:rPr>
          <w:sz w:val="20"/>
          <w:szCs w:val="20"/>
        </w:rPr>
        <w:t xml:space="preserve"> fringe over §119 exclusion. De </w:t>
      </w:r>
      <w:proofErr w:type="spellStart"/>
      <w:r w:rsidR="008D5F8B">
        <w:rPr>
          <w:sz w:val="20"/>
          <w:szCs w:val="20"/>
        </w:rPr>
        <w:t>minimis</w:t>
      </w:r>
      <w:proofErr w:type="spellEnd"/>
      <w:r w:rsidR="008D5F8B">
        <w:rPr>
          <w:sz w:val="20"/>
          <w:szCs w:val="20"/>
        </w:rPr>
        <w:t xml:space="preserve"> fringes aren’</w:t>
      </w:r>
      <w:r w:rsidRPr="00BD4BD4">
        <w:rPr>
          <w:sz w:val="20"/>
          <w:szCs w:val="20"/>
        </w:rPr>
        <w:t xml:space="preserve">t subject to </w:t>
      </w:r>
      <w:r w:rsidR="008D5F8B">
        <w:rPr>
          <w:sz w:val="20"/>
          <w:szCs w:val="20"/>
        </w:rPr>
        <w:t>§274(n)(1)’s 50%</w:t>
      </w:r>
      <w:r w:rsidRPr="00BD4BD4">
        <w:rPr>
          <w:sz w:val="20"/>
          <w:szCs w:val="20"/>
        </w:rPr>
        <w:t xml:space="preserve"> limit – these meals are </w:t>
      </w:r>
      <w:r w:rsidRPr="00BD4BD4">
        <w:rPr>
          <w:i/>
          <w:sz w:val="20"/>
          <w:szCs w:val="20"/>
        </w:rPr>
        <w:t xml:space="preserve">fully </w:t>
      </w:r>
      <w:r w:rsidRPr="00BD4BD4">
        <w:rPr>
          <w:sz w:val="20"/>
          <w:szCs w:val="20"/>
        </w:rPr>
        <w:t>deductible</w:t>
      </w:r>
    </w:p>
    <w:p w14:paraId="0549BABB" w14:textId="77777777" w:rsidR="00BD4BD4" w:rsidRDefault="00091893" w:rsidP="00A548E6">
      <w:pPr>
        <w:pStyle w:val="ListParagraph"/>
        <w:numPr>
          <w:ilvl w:val="1"/>
          <w:numId w:val="5"/>
        </w:numPr>
        <w:rPr>
          <w:sz w:val="20"/>
          <w:szCs w:val="20"/>
        </w:rPr>
      </w:pPr>
      <w:r w:rsidRPr="00BD4BD4">
        <w:rPr>
          <w:sz w:val="20"/>
          <w:szCs w:val="20"/>
        </w:rPr>
        <w:t>Qualified transportation fringes</w:t>
      </w:r>
    </w:p>
    <w:p w14:paraId="5BAAC4BB" w14:textId="77777777" w:rsidR="00BD4BD4" w:rsidRDefault="00091893" w:rsidP="00A548E6">
      <w:pPr>
        <w:pStyle w:val="ListParagraph"/>
        <w:numPr>
          <w:ilvl w:val="1"/>
          <w:numId w:val="5"/>
        </w:numPr>
        <w:rPr>
          <w:sz w:val="20"/>
          <w:szCs w:val="20"/>
        </w:rPr>
      </w:pPr>
      <w:r w:rsidRPr="00BD4BD4">
        <w:rPr>
          <w:sz w:val="20"/>
          <w:szCs w:val="20"/>
        </w:rPr>
        <w:t>Qualified moving expense reimbursement</w:t>
      </w:r>
    </w:p>
    <w:p w14:paraId="72F3C02D" w14:textId="77777777" w:rsidR="00BD4BD4" w:rsidRDefault="00771A9B" w:rsidP="00A548E6">
      <w:pPr>
        <w:pStyle w:val="ListParagraph"/>
        <w:numPr>
          <w:ilvl w:val="2"/>
          <w:numId w:val="5"/>
        </w:numPr>
        <w:rPr>
          <w:sz w:val="20"/>
          <w:szCs w:val="20"/>
        </w:rPr>
      </w:pPr>
      <w:r w:rsidRPr="00BD4BD4">
        <w:rPr>
          <w:sz w:val="20"/>
          <w:szCs w:val="20"/>
        </w:rPr>
        <w:t>Any reimbursement of expenses that, if incurred by the employee, would have been deductible as moving expenses under §217</w:t>
      </w:r>
    </w:p>
    <w:p w14:paraId="0BF28A7C" w14:textId="77777777" w:rsidR="00BD4BD4" w:rsidRDefault="00091893" w:rsidP="00A548E6">
      <w:pPr>
        <w:pStyle w:val="ListParagraph"/>
        <w:numPr>
          <w:ilvl w:val="1"/>
          <w:numId w:val="5"/>
        </w:numPr>
        <w:rPr>
          <w:sz w:val="20"/>
          <w:szCs w:val="20"/>
        </w:rPr>
      </w:pPr>
      <w:r w:rsidRPr="00BD4BD4">
        <w:rPr>
          <w:sz w:val="20"/>
          <w:szCs w:val="20"/>
        </w:rPr>
        <w:t>Qualified retirement planning services</w:t>
      </w:r>
    </w:p>
    <w:p w14:paraId="3AF0AD97" w14:textId="77777777" w:rsidR="00BD4BD4" w:rsidRDefault="00912377" w:rsidP="00A548E6">
      <w:pPr>
        <w:pStyle w:val="ListParagraph"/>
        <w:numPr>
          <w:ilvl w:val="1"/>
          <w:numId w:val="5"/>
        </w:numPr>
        <w:rPr>
          <w:sz w:val="20"/>
          <w:szCs w:val="20"/>
        </w:rPr>
      </w:pPr>
      <w:r w:rsidRPr="00BD4BD4">
        <w:rPr>
          <w:sz w:val="20"/>
          <w:szCs w:val="20"/>
        </w:rPr>
        <w:lastRenderedPageBreak/>
        <w:t>On-premises gym passes are specifically exempted from income - §132(j)(4)</w:t>
      </w:r>
    </w:p>
    <w:p w14:paraId="5DD5EEE1" w14:textId="77777777" w:rsidR="00BD4BD4" w:rsidRDefault="007812F4" w:rsidP="00A548E6">
      <w:pPr>
        <w:pStyle w:val="ListParagraph"/>
        <w:numPr>
          <w:ilvl w:val="2"/>
          <w:numId w:val="5"/>
        </w:numPr>
        <w:rPr>
          <w:sz w:val="20"/>
          <w:szCs w:val="20"/>
        </w:rPr>
      </w:pPr>
      <w:r w:rsidRPr="00BD4BD4">
        <w:rPr>
          <w:sz w:val="20"/>
          <w:szCs w:val="20"/>
        </w:rPr>
        <w:t>The cost of operating an on-premises gym is not deductible to an employer (§274(a)(1)(B) unless the gym is to be used primarily for the benefit of employees other than highly compensated employees (§274(e)(4)</w:t>
      </w:r>
    </w:p>
    <w:p w14:paraId="2CE853EF" w14:textId="77777777" w:rsidR="00BD4BD4" w:rsidRDefault="00BD4BD4" w:rsidP="00A548E6">
      <w:pPr>
        <w:pStyle w:val="ListParagraph"/>
        <w:numPr>
          <w:ilvl w:val="0"/>
          <w:numId w:val="5"/>
        </w:numPr>
        <w:rPr>
          <w:sz w:val="20"/>
          <w:szCs w:val="20"/>
        </w:rPr>
      </w:pPr>
      <w:r>
        <w:rPr>
          <w:sz w:val="20"/>
          <w:szCs w:val="20"/>
        </w:rPr>
        <w:t>Other items specifically excluded from g</w:t>
      </w:r>
      <w:r w:rsidRPr="00BD4BD4">
        <w:rPr>
          <w:sz w:val="20"/>
          <w:szCs w:val="20"/>
        </w:rPr>
        <w:t>ross income</w:t>
      </w:r>
      <w:r>
        <w:rPr>
          <w:sz w:val="20"/>
          <w:szCs w:val="20"/>
        </w:rPr>
        <w:t>:</w:t>
      </w:r>
      <w:r w:rsidRPr="00BD4BD4">
        <w:rPr>
          <w:sz w:val="20"/>
          <w:szCs w:val="20"/>
        </w:rPr>
        <w:t xml:space="preserve"> </w:t>
      </w:r>
    </w:p>
    <w:p w14:paraId="085F334E" w14:textId="010D2D96" w:rsidR="00BD4BD4" w:rsidRPr="00BD4BD4" w:rsidRDefault="00BD4BD4" w:rsidP="00A548E6">
      <w:pPr>
        <w:pStyle w:val="ListParagraph"/>
        <w:numPr>
          <w:ilvl w:val="1"/>
          <w:numId w:val="5"/>
        </w:numPr>
        <w:rPr>
          <w:sz w:val="20"/>
          <w:szCs w:val="20"/>
        </w:rPr>
      </w:pPr>
      <w:r>
        <w:rPr>
          <w:sz w:val="20"/>
          <w:szCs w:val="20"/>
        </w:rPr>
        <w:t>Q</w:t>
      </w:r>
      <w:r w:rsidRPr="00BD4BD4">
        <w:rPr>
          <w:sz w:val="20"/>
          <w:szCs w:val="20"/>
        </w:rPr>
        <w:t xml:space="preserve">ualified tuition reduction - §117(d) </w:t>
      </w:r>
    </w:p>
    <w:p w14:paraId="473FEEEF" w14:textId="77777777" w:rsidR="00BD4BD4" w:rsidRPr="00BD4BD4" w:rsidRDefault="00BD4BD4" w:rsidP="00A548E6">
      <w:pPr>
        <w:pStyle w:val="ListParagraph"/>
        <w:numPr>
          <w:ilvl w:val="2"/>
          <w:numId w:val="5"/>
        </w:numPr>
        <w:rPr>
          <w:sz w:val="20"/>
          <w:szCs w:val="20"/>
        </w:rPr>
      </w:pPr>
      <w:r w:rsidRPr="00BD4BD4">
        <w:rPr>
          <w:sz w:val="20"/>
          <w:szCs w:val="20"/>
        </w:rPr>
        <w:t>Note that exemption can be limited by non-discrimination measures - §117(d)(3)</w:t>
      </w:r>
    </w:p>
    <w:p w14:paraId="7ABE181E" w14:textId="4C300C8A" w:rsidR="00BD4BD4" w:rsidRDefault="00BD4BD4" w:rsidP="00A548E6">
      <w:pPr>
        <w:pStyle w:val="ListParagraph"/>
        <w:numPr>
          <w:ilvl w:val="1"/>
          <w:numId w:val="5"/>
        </w:numPr>
        <w:rPr>
          <w:sz w:val="20"/>
          <w:szCs w:val="20"/>
        </w:rPr>
      </w:pPr>
      <w:r>
        <w:rPr>
          <w:sz w:val="20"/>
          <w:szCs w:val="20"/>
        </w:rPr>
        <w:t>Value of a home furnished to a minister of the gospel –  §107</w:t>
      </w:r>
    </w:p>
    <w:p w14:paraId="69B03A2C" w14:textId="70664E51" w:rsidR="00BD4BD4" w:rsidRPr="00BD4BD4" w:rsidRDefault="00BD4BD4" w:rsidP="00A548E6">
      <w:pPr>
        <w:pStyle w:val="ListParagraph"/>
        <w:numPr>
          <w:ilvl w:val="1"/>
          <w:numId w:val="5"/>
        </w:numPr>
        <w:rPr>
          <w:sz w:val="20"/>
          <w:szCs w:val="20"/>
        </w:rPr>
      </w:pPr>
      <w:r>
        <w:rPr>
          <w:sz w:val="20"/>
          <w:szCs w:val="20"/>
        </w:rPr>
        <w:t>Amounts received as benefits of a cafeteria plan - §125(a)</w:t>
      </w:r>
    </w:p>
    <w:p w14:paraId="49C9E30D" w14:textId="73D85F44" w:rsidR="009E5FD1" w:rsidRPr="001C6588" w:rsidRDefault="009E5FD1" w:rsidP="009E5FD1">
      <w:pPr>
        <w:pStyle w:val="Heading4"/>
        <w:rPr>
          <w:sz w:val="20"/>
        </w:rPr>
      </w:pPr>
      <w:r w:rsidRPr="001C6588">
        <w:rPr>
          <w:sz w:val="20"/>
        </w:rPr>
        <w:t>Basis</w:t>
      </w:r>
    </w:p>
    <w:p w14:paraId="1D655040" w14:textId="239C99ED" w:rsidR="003B2A5B" w:rsidRDefault="003B2A5B" w:rsidP="00A548E6">
      <w:pPr>
        <w:pStyle w:val="ListParagraph"/>
        <w:numPr>
          <w:ilvl w:val="0"/>
          <w:numId w:val="4"/>
        </w:numPr>
        <w:rPr>
          <w:sz w:val="20"/>
          <w:szCs w:val="20"/>
        </w:rPr>
      </w:pPr>
      <w:r>
        <w:rPr>
          <w:sz w:val="20"/>
          <w:szCs w:val="20"/>
        </w:rPr>
        <w:t>Th</w:t>
      </w:r>
      <w:r w:rsidR="00EB166A">
        <w:rPr>
          <w:sz w:val="20"/>
          <w:szCs w:val="20"/>
        </w:rPr>
        <w:t>e basis of property is its cost (§1012(a)), and the gain/loss from a transaction is calculated as the “amount realized” – “cost” - §1001(a) – (b)</w:t>
      </w:r>
    </w:p>
    <w:p w14:paraId="233162BD" w14:textId="50C07847" w:rsidR="00EB166A" w:rsidRDefault="00EB166A" w:rsidP="00A548E6">
      <w:pPr>
        <w:pStyle w:val="ListParagraph"/>
        <w:numPr>
          <w:ilvl w:val="1"/>
          <w:numId w:val="4"/>
        </w:numPr>
        <w:rPr>
          <w:sz w:val="20"/>
          <w:szCs w:val="20"/>
        </w:rPr>
      </w:pPr>
      <w:r>
        <w:rPr>
          <w:sz w:val="20"/>
          <w:szCs w:val="20"/>
        </w:rPr>
        <w:t>Amount realized is equal to cash received plus fair market value of any property received</w:t>
      </w:r>
    </w:p>
    <w:p w14:paraId="6A7C32AE" w14:textId="2F1CD7BD" w:rsidR="003B2A5B" w:rsidRDefault="003E4BFF" w:rsidP="00A548E6">
      <w:pPr>
        <w:pStyle w:val="ListParagraph"/>
        <w:numPr>
          <w:ilvl w:val="1"/>
          <w:numId w:val="4"/>
        </w:numPr>
        <w:rPr>
          <w:sz w:val="20"/>
          <w:szCs w:val="20"/>
        </w:rPr>
      </w:pPr>
      <w:r>
        <w:rPr>
          <w:sz w:val="20"/>
          <w:szCs w:val="20"/>
        </w:rPr>
        <w:t>FIFO governs cost basis of assets acquired at differ</w:t>
      </w:r>
      <w:r w:rsidR="00D64852">
        <w:rPr>
          <w:sz w:val="20"/>
          <w:szCs w:val="20"/>
        </w:rPr>
        <w:t>ent times</w:t>
      </w:r>
    </w:p>
    <w:p w14:paraId="008D4ABA" w14:textId="5617EA76" w:rsidR="00C419F2" w:rsidRDefault="00C419F2" w:rsidP="00A548E6">
      <w:pPr>
        <w:pStyle w:val="ListParagraph"/>
        <w:numPr>
          <w:ilvl w:val="1"/>
          <w:numId w:val="4"/>
        </w:numPr>
        <w:rPr>
          <w:sz w:val="20"/>
          <w:szCs w:val="20"/>
        </w:rPr>
      </w:pPr>
      <w:r>
        <w:rPr>
          <w:sz w:val="20"/>
          <w:szCs w:val="20"/>
        </w:rPr>
        <w:t>Basis must be allocated in a reasonable way (</w:t>
      </w:r>
      <w:r>
        <w:rPr>
          <w:i/>
          <w:sz w:val="20"/>
          <w:szCs w:val="20"/>
        </w:rPr>
        <w:t xml:space="preserve">Nixon </w:t>
      </w:r>
      <w:r>
        <w:rPr>
          <w:sz w:val="20"/>
          <w:szCs w:val="20"/>
        </w:rPr>
        <w:t>example – allocate basis across non-coastal and coastal land</w:t>
      </w:r>
      <w:r w:rsidR="00113C08">
        <w:rPr>
          <w:sz w:val="20"/>
          <w:szCs w:val="20"/>
        </w:rPr>
        <w:t>, since some of the land has an impliedly higher basis</w:t>
      </w:r>
      <w:r>
        <w:rPr>
          <w:sz w:val="20"/>
          <w:szCs w:val="20"/>
        </w:rPr>
        <w:t>)</w:t>
      </w:r>
    </w:p>
    <w:p w14:paraId="03BDA1A1" w14:textId="123844DE" w:rsidR="00536F03" w:rsidRDefault="00536F03" w:rsidP="00A548E6">
      <w:pPr>
        <w:pStyle w:val="ListParagraph"/>
        <w:numPr>
          <w:ilvl w:val="1"/>
          <w:numId w:val="4"/>
        </w:numPr>
        <w:rPr>
          <w:sz w:val="20"/>
          <w:szCs w:val="20"/>
        </w:rPr>
      </w:pPr>
      <w:r>
        <w:rPr>
          <w:sz w:val="20"/>
          <w:szCs w:val="20"/>
        </w:rPr>
        <w:t>Damage payments are analyzed under the replacement’s tax structure – if payment replaces lost profits, it is normal income. If it is recovery of capital, it is a taxable gain</w:t>
      </w:r>
    </w:p>
    <w:p w14:paraId="13B6C4B4" w14:textId="40B8AFE2" w:rsidR="00536F03" w:rsidRDefault="00536F03" w:rsidP="00A548E6">
      <w:pPr>
        <w:pStyle w:val="ListParagraph"/>
        <w:numPr>
          <w:ilvl w:val="2"/>
          <w:numId w:val="4"/>
        </w:numPr>
        <w:rPr>
          <w:sz w:val="20"/>
          <w:szCs w:val="20"/>
        </w:rPr>
      </w:pPr>
      <w:r>
        <w:rPr>
          <w:sz w:val="20"/>
          <w:szCs w:val="20"/>
        </w:rPr>
        <w:t>Business goodwill is present capital, not a future gain. However, there is a rebuttable presumption that goodwill has a basis of 0 (</w:t>
      </w:r>
      <w:proofErr w:type="spellStart"/>
      <w:r>
        <w:rPr>
          <w:i/>
          <w:sz w:val="20"/>
          <w:szCs w:val="20"/>
        </w:rPr>
        <w:t>Rayethon</w:t>
      </w:r>
      <w:proofErr w:type="spellEnd"/>
      <w:r>
        <w:rPr>
          <w:sz w:val="20"/>
          <w:szCs w:val="20"/>
        </w:rPr>
        <w:t xml:space="preserve"> – damage payments for antitrust violation is still taxable)</w:t>
      </w:r>
    </w:p>
    <w:p w14:paraId="08404BD8" w14:textId="006E6644" w:rsidR="007C4ABF" w:rsidRDefault="007C4ABF" w:rsidP="00A548E6">
      <w:pPr>
        <w:pStyle w:val="ListParagraph"/>
        <w:numPr>
          <w:ilvl w:val="2"/>
          <w:numId w:val="4"/>
        </w:numPr>
        <w:rPr>
          <w:sz w:val="20"/>
          <w:szCs w:val="20"/>
        </w:rPr>
      </w:pPr>
      <w:r>
        <w:rPr>
          <w:sz w:val="20"/>
          <w:szCs w:val="20"/>
        </w:rPr>
        <w:t>Consistent with §7491’s burden scheme</w:t>
      </w:r>
    </w:p>
    <w:p w14:paraId="33BD6A32" w14:textId="46A4B3D7" w:rsidR="004D32EF" w:rsidRPr="00C03260" w:rsidRDefault="004D32EF" w:rsidP="00C03260">
      <w:pPr>
        <w:pStyle w:val="ListParagraph"/>
        <w:numPr>
          <w:ilvl w:val="0"/>
          <w:numId w:val="4"/>
        </w:numPr>
        <w:rPr>
          <w:sz w:val="20"/>
          <w:szCs w:val="20"/>
        </w:rPr>
      </w:pPr>
      <w:r>
        <w:rPr>
          <w:sz w:val="20"/>
          <w:szCs w:val="20"/>
        </w:rPr>
        <w:t>There are three conceptualizations of the benefits of tax deferral: 1) Interest free loan (paying tax later instead of now), 2) Present value reduction of tax liability, and 3) Exemption equivalence (deferral is equivalent to th</w:t>
      </w:r>
      <w:r w:rsidR="00C03260">
        <w:rPr>
          <w:sz w:val="20"/>
          <w:szCs w:val="20"/>
        </w:rPr>
        <w:t xml:space="preserve">e exemption of interest income). Formula is </w:t>
      </w:r>
      <w:r w:rsidR="00C03260">
        <w:rPr>
          <w:sz w:val="20"/>
          <w:szCs w:val="20"/>
        </w:rPr>
        <w:t>PV = FV / (1+</w:t>
      </w:r>
      <w:proofErr w:type="gramStart"/>
      <w:r w:rsidR="00C03260">
        <w:rPr>
          <w:sz w:val="20"/>
          <w:szCs w:val="20"/>
        </w:rPr>
        <w:t>r)</w:t>
      </w:r>
      <w:r w:rsidR="00C03260">
        <w:rPr>
          <w:sz w:val="20"/>
          <w:szCs w:val="20"/>
          <w:vertAlign w:val="superscript"/>
        </w:rPr>
        <w:t>n</w:t>
      </w:r>
      <w:proofErr w:type="gramEnd"/>
    </w:p>
    <w:p w14:paraId="042834E8" w14:textId="0CC6F3B9" w:rsidR="006B044C" w:rsidRDefault="006B044C" w:rsidP="006B044C">
      <w:pPr>
        <w:pStyle w:val="ListParagraph"/>
        <w:numPr>
          <w:ilvl w:val="1"/>
          <w:numId w:val="4"/>
        </w:numPr>
        <w:rPr>
          <w:sz w:val="20"/>
          <w:szCs w:val="20"/>
        </w:rPr>
      </w:pPr>
      <w:r>
        <w:rPr>
          <w:sz w:val="20"/>
          <w:szCs w:val="20"/>
        </w:rPr>
        <w:t xml:space="preserve">Three conditions for exemption equivalence to hold: </w:t>
      </w:r>
    </w:p>
    <w:p w14:paraId="4780BCE6" w14:textId="5C54723A" w:rsidR="006B044C" w:rsidRDefault="006B044C" w:rsidP="006B044C">
      <w:pPr>
        <w:pStyle w:val="ListParagraph"/>
        <w:numPr>
          <w:ilvl w:val="2"/>
          <w:numId w:val="4"/>
        </w:numPr>
        <w:rPr>
          <w:sz w:val="20"/>
          <w:szCs w:val="20"/>
        </w:rPr>
      </w:pPr>
      <w:r>
        <w:rPr>
          <w:sz w:val="20"/>
          <w:szCs w:val="20"/>
        </w:rPr>
        <w:t>Applicable tax rate remains constant</w:t>
      </w:r>
    </w:p>
    <w:p w14:paraId="2EAEF9DB" w14:textId="7A082774" w:rsidR="006B044C" w:rsidRDefault="006B044C" w:rsidP="006B044C">
      <w:pPr>
        <w:pStyle w:val="ListParagraph"/>
        <w:numPr>
          <w:ilvl w:val="2"/>
          <w:numId w:val="4"/>
        </w:numPr>
        <w:rPr>
          <w:sz w:val="20"/>
          <w:szCs w:val="20"/>
        </w:rPr>
      </w:pPr>
      <w:r>
        <w:rPr>
          <w:sz w:val="20"/>
          <w:szCs w:val="20"/>
        </w:rPr>
        <w:t>Deduction produces an immediate tax savings equal to the taxpayer’s marginal rate multiplied by the deduction</w:t>
      </w:r>
    </w:p>
    <w:p w14:paraId="25DE846E" w14:textId="4682FA83" w:rsidR="006B044C" w:rsidRDefault="006B044C" w:rsidP="006B044C">
      <w:pPr>
        <w:pStyle w:val="ListParagraph"/>
        <w:numPr>
          <w:ilvl w:val="2"/>
          <w:numId w:val="4"/>
        </w:numPr>
        <w:rPr>
          <w:sz w:val="20"/>
          <w:szCs w:val="20"/>
        </w:rPr>
      </w:pPr>
      <w:r>
        <w:rPr>
          <w:sz w:val="20"/>
          <w:szCs w:val="20"/>
        </w:rPr>
        <w:t>Tax savings can be invested at a return equal to the original investment</w:t>
      </w:r>
    </w:p>
    <w:p w14:paraId="2655F3D4" w14:textId="118EF0ED" w:rsidR="00B01799" w:rsidRDefault="009E5FD1" w:rsidP="00A548E6">
      <w:pPr>
        <w:pStyle w:val="ListParagraph"/>
        <w:numPr>
          <w:ilvl w:val="0"/>
          <w:numId w:val="4"/>
        </w:numPr>
        <w:rPr>
          <w:sz w:val="20"/>
          <w:szCs w:val="20"/>
        </w:rPr>
      </w:pPr>
      <w:r>
        <w:rPr>
          <w:sz w:val="20"/>
          <w:szCs w:val="20"/>
        </w:rPr>
        <w:t xml:space="preserve">Gross income includes any amount received as an annuity, but the principal is exempted from tax </w:t>
      </w:r>
      <w:r w:rsidR="004D32EF">
        <w:rPr>
          <w:sz w:val="20"/>
          <w:szCs w:val="20"/>
        </w:rPr>
        <w:t>under the exclusion ratio</w:t>
      </w:r>
      <w:r>
        <w:rPr>
          <w:sz w:val="20"/>
          <w:szCs w:val="20"/>
        </w:rPr>
        <w:t>- §72(b)(1)</w:t>
      </w:r>
    </w:p>
    <w:p w14:paraId="46321220" w14:textId="0027FB26" w:rsidR="009E5FD1" w:rsidRDefault="009E5FD1" w:rsidP="00A548E6">
      <w:pPr>
        <w:pStyle w:val="ListParagraph"/>
        <w:numPr>
          <w:ilvl w:val="1"/>
          <w:numId w:val="4"/>
        </w:numPr>
        <w:rPr>
          <w:sz w:val="20"/>
          <w:szCs w:val="20"/>
        </w:rPr>
      </w:pPr>
      <w:r>
        <w:rPr>
          <w:sz w:val="20"/>
          <w:szCs w:val="20"/>
        </w:rPr>
        <w:t>Annuities are taxed if life expectancy is exceeded, once principal is enti</w:t>
      </w:r>
      <w:r w:rsidR="00837187">
        <w:rPr>
          <w:sz w:val="20"/>
          <w:szCs w:val="20"/>
        </w:rPr>
        <w:t>rely recovered (taxable mortality gain)</w:t>
      </w:r>
    </w:p>
    <w:p w14:paraId="1725CAD0" w14:textId="09EACF22" w:rsidR="00EA23F9" w:rsidRPr="00E52907" w:rsidRDefault="00837187" w:rsidP="00EA23F9">
      <w:pPr>
        <w:pStyle w:val="ListParagraph"/>
        <w:numPr>
          <w:ilvl w:val="1"/>
          <w:numId w:val="4"/>
        </w:numPr>
        <w:rPr>
          <w:sz w:val="20"/>
          <w:szCs w:val="20"/>
        </w:rPr>
      </w:pPr>
      <w:r>
        <w:rPr>
          <w:sz w:val="20"/>
          <w:szCs w:val="20"/>
        </w:rPr>
        <w:t xml:space="preserve">If unrecovered principal remains at death, the unrecovered principal is deductible on a final tax return (deductible mortality loss) </w:t>
      </w:r>
    </w:p>
    <w:p w14:paraId="2DE34E11" w14:textId="7FD3840F" w:rsidR="00F46466" w:rsidRDefault="00F46466" w:rsidP="00A548E6">
      <w:pPr>
        <w:pStyle w:val="ListParagraph"/>
        <w:numPr>
          <w:ilvl w:val="0"/>
          <w:numId w:val="4"/>
        </w:numPr>
        <w:rPr>
          <w:sz w:val="20"/>
          <w:szCs w:val="20"/>
        </w:rPr>
      </w:pPr>
      <w:r>
        <w:rPr>
          <w:sz w:val="20"/>
          <w:szCs w:val="20"/>
        </w:rPr>
        <w:t>The basis of inherited property is fair market value at the time of decedent’s death - §1014(a)(1)</w:t>
      </w:r>
    </w:p>
    <w:p w14:paraId="707E3346" w14:textId="2992CCD0" w:rsidR="00CA5611" w:rsidRDefault="00CA5611" w:rsidP="00A548E6">
      <w:pPr>
        <w:pStyle w:val="ListParagraph"/>
        <w:numPr>
          <w:ilvl w:val="1"/>
          <w:numId w:val="4"/>
        </w:numPr>
        <w:rPr>
          <w:sz w:val="20"/>
          <w:szCs w:val="20"/>
        </w:rPr>
      </w:pPr>
      <w:r>
        <w:rPr>
          <w:sz w:val="20"/>
          <w:szCs w:val="20"/>
        </w:rPr>
        <w:t xml:space="preserve">Gains on property passed on through inheritance will </w:t>
      </w:r>
      <w:r>
        <w:rPr>
          <w:i/>
          <w:sz w:val="20"/>
          <w:szCs w:val="20"/>
        </w:rPr>
        <w:t xml:space="preserve">never </w:t>
      </w:r>
      <w:r>
        <w:rPr>
          <w:sz w:val="20"/>
          <w:szCs w:val="20"/>
        </w:rPr>
        <w:t>be taxed!</w:t>
      </w:r>
      <w:r w:rsidR="002E71F0">
        <w:rPr>
          <w:sz w:val="20"/>
          <w:szCs w:val="20"/>
        </w:rPr>
        <w:t xml:space="preserve"> Creates incentives to borrow against an appreciated asset, spend it, die, and leave children to pay off debt by selling asset (with its new basis at FMV!)</w:t>
      </w:r>
    </w:p>
    <w:p w14:paraId="7FC81DE0" w14:textId="12D14925" w:rsidR="00317A21" w:rsidRDefault="00317A21" w:rsidP="00A548E6">
      <w:pPr>
        <w:pStyle w:val="ListParagraph"/>
        <w:numPr>
          <w:ilvl w:val="1"/>
          <w:numId w:val="4"/>
        </w:numPr>
        <w:rPr>
          <w:sz w:val="20"/>
          <w:szCs w:val="20"/>
        </w:rPr>
      </w:pPr>
      <w:r>
        <w:rPr>
          <w:sz w:val="20"/>
          <w:szCs w:val="20"/>
        </w:rPr>
        <w:t xml:space="preserve">Exclusion of taxable income at death only applies to returns on capital – </w:t>
      </w:r>
      <w:r>
        <w:rPr>
          <w:i/>
          <w:sz w:val="20"/>
          <w:szCs w:val="20"/>
        </w:rPr>
        <w:t xml:space="preserve">not </w:t>
      </w:r>
      <w:r>
        <w:rPr>
          <w:sz w:val="20"/>
          <w:szCs w:val="20"/>
        </w:rPr>
        <w:t>labor - §691(a)</w:t>
      </w:r>
    </w:p>
    <w:p w14:paraId="52EA16C0" w14:textId="0AF118F7" w:rsidR="001C6588" w:rsidRDefault="001C6588" w:rsidP="001C6588">
      <w:pPr>
        <w:pStyle w:val="Heading4"/>
        <w:rPr>
          <w:sz w:val="20"/>
        </w:rPr>
      </w:pPr>
      <w:r w:rsidRPr="001C6588">
        <w:rPr>
          <w:sz w:val="20"/>
        </w:rPr>
        <w:t>Realization</w:t>
      </w:r>
    </w:p>
    <w:p w14:paraId="5E5766D0" w14:textId="6514E6D8" w:rsidR="001C6588" w:rsidRPr="00ED1A02" w:rsidRDefault="001C6588" w:rsidP="00A548E6">
      <w:pPr>
        <w:pStyle w:val="ListParagraph"/>
        <w:numPr>
          <w:ilvl w:val="0"/>
          <w:numId w:val="6"/>
        </w:numPr>
      </w:pPr>
      <w:r>
        <w:rPr>
          <w:sz w:val="20"/>
        </w:rPr>
        <w:t>The requirement that income must be realized before being taxable has three animating concerns: 1) Administrability, 2) Valuation p</w:t>
      </w:r>
      <w:r w:rsidR="00510842">
        <w:rPr>
          <w:sz w:val="20"/>
        </w:rPr>
        <w:t>roblems, and 3) Lack of liquidity</w:t>
      </w:r>
    </w:p>
    <w:p w14:paraId="6DE8E088" w14:textId="7DF2DA5C" w:rsidR="00ED1A02" w:rsidRPr="000B3871" w:rsidRDefault="00ED1A02" w:rsidP="00A548E6">
      <w:pPr>
        <w:pStyle w:val="ListParagraph"/>
        <w:numPr>
          <w:ilvl w:val="0"/>
          <w:numId w:val="6"/>
        </w:numPr>
      </w:pPr>
      <w:r>
        <w:rPr>
          <w:sz w:val="20"/>
        </w:rPr>
        <w:t xml:space="preserve">When a taxpayer displays intent to exercise complete dominion over unsolicited samples, the value of the samples is gross income – </w:t>
      </w:r>
      <w:proofErr w:type="spellStart"/>
      <w:r>
        <w:rPr>
          <w:i/>
          <w:sz w:val="20"/>
        </w:rPr>
        <w:t>Hav</w:t>
      </w:r>
      <w:r>
        <w:rPr>
          <w:i/>
          <w:sz w:val="21"/>
        </w:rPr>
        <w:t>erly</w:t>
      </w:r>
      <w:proofErr w:type="spellEnd"/>
      <w:r>
        <w:rPr>
          <w:sz w:val="21"/>
        </w:rPr>
        <w:t xml:space="preserve"> </w:t>
      </w:r>
      <w:r>
        <w:rPr>
          <w:sz w:val="20"/>
        </w:rPr>
        <w:t>(principal donates sample textbooks, claims charitable deduction)</w:t>
      </w:r>
    </w:p>
    <w:p w14:paraId="68B005F6" w14:textId="2843E93F" w:rsidR="000B3871" w:rsidRPr="000B3871" w:rsidRDefault="000B3871" w:rsidP="00A548E6">
      <w:pPr>
        <w:pStyle w:val="ListParagraph"/>
        <w:numPr>
          <w:ilvl w:val="1"/>
          <w:numId w:val="6"/>
        </w:numPr>
      </w:pPr>
      <w:r>
        <w:rPr>
          <w:sz w:val="20"/>
        </w:rPr>
        <w:t>Claiming the charitable deduction is the realization event in this case</w:t>
      </w:r>
    </w:p>
    <w:p w14:paraId="5057D4FA" w14:textId="6C492699" w:rsidR="000B3871" w:rsidRPr="000C6504" w:rsidRDefault="000B3871" w:rsidP="00A548E6">
      <w:pPr>
        <w:pStyle w:val="ListParagraph"/>
        <w:numPr>
          <w:ilvl w:val="1"/>
          <w:numId w:val="6"/>
        </w:numPr>
      </w:pPr>
      <w:r>
        <w:rPr>
          <w:sz w:val="20"/>
        </w:rPr>
        <w:lastRenderedPageBreak/>
        <w:t>Animated by double-dipping concerns – getting tax benefits without associated income increase</w:t>
      </w:r>
    </w:p>
    <w:p w14:paraId="40010432" w14:textId="7C69AFB0" w:rsidR="000C6504" w:rsidRPr="001C6588" w:rsidRDefault="0072606C" w:rsidP="00A548E6">
      <w:pPr>
        <w:pStyle w:val="ListParagraph"/>
        <w:numPr>
          <w:ilvl w:val="0"/>
          <w:numId w:val="6"/>
        </w:numPr>
      </w:pPr>
      <w:r>
        <w:rPr>
          <w:noProof/>
        </w:rPr>
        <mc:AlternateContent>
          <mc:Choice Requires="wps">
            <w:drawing>
              <wp:anchor distT="0" distB="0" distL="114300" distR="114300" simplePos="0" relativeHeight="251661312" behindDoc="0" locked="0" layoutInCell="1" allowOverlap="1" wp14:anchorId="53E8B3D3" wp14:editId="34553A93">
                <wp:simplePos x="0" y="0"/>
                <wp:positionH relativeFrom="column">
                  <wp:posOffset>2711450</wp:posOffset>
                </wp:positionH>
                <wp:positionV relativeFrom="paragraph">
                  <wp:posOffset>164465</wp:posOffset>
                </wp:positionV>
                <wp:extent cx="6350" cy="304800"/>
                <wp:effectExtent l="0" t="0" r="31750" b="19050"/>
                <wp:wrapNone/>
                <wp:docPr id="3" name="Straight Connector 3"/>
                <wp:cNvGraphicFramePr/>
                <a:graphic xmlns:a="http://schemas.openxmlformats.org/drawingml/2006/main">
                  <a:graphicData uri="http://schemas.microsoft.com/office/word/2010/wordprocessingShape">
                    <wps:wsp>
                      <wps:cNvCnPr/>
                      <wps:spPr>
                        <a:xfrm>
                          <a:off x="0" y="0"/>
                          <a:ext cx="6350" cy="3048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143C42"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5pt,12.95pt" to="214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" strokecolor="black [3200]" strokeweight="1.5pt">
                <v:stroke joinstyle="miter"/>
              </v:line>
            </w:pict>
          </mc:Fallback>
        </mc:AlternateContent>
      </w:r>
      <w:r w:rsidR="006B44B7">
        <w:rPr>
          <w:noProof/>
        </w:rPr>
        <mc:AlternateContent>
          <mc:Choice Requires="wps">
            <w:drawing>
              <wp:anchor distT="0" distB="0" distL="114300" distR="114300" simplePos="0" relativeHeight="251660288" behindDoc="1" locked="0" layoutInCell="1" allowOverlap="1" wp14:anchorId="0F3D3A5B" wp14:editId="3A1B1971">
                <wp:simplePos x="0" y="0"/>
                <wp:positionH relativeFrom="margin">
                  <wp:posOffset>-901700</wp:posOffset>
                </wp:positionH>
                <wp:positionV relativeFrom="paragraph">
                  <wp:posOffset>335915</wp:posOffset>
                </wp:positionV>
                <wp:extent cx="7747000" cy="260350"/>
                <wp:effectExtent l="0" t="0" r="0" b="6350"/>
                <wp:wrapTight wrapText="bothSides">
                  <wp:wrapPolygon edited="0">
                    <wp:start x="159" y="0"/>
                    <wp:lineTo x="159" y="20546"/>
                    <wp:lineTo x="21405" y="20546"/>
                    <wp:lineTo x="21405" y="0"/>
                    <wp:lineTo x="159" y="0"/>
                  </wp:wrapPolygon>
                </wp:wrapTight>
                <wp:docPr id="2" name="Text Box 2"/>
                <wp:cNvGraphicFramePr/>
                <a:graphic xmlns:a="http://schemas.openxmlformats.org/drawingml/2006/main">
                  <a:graphicData uri="http://schemas.microsoft.com/office/word/2010/wordprocessingShape">
                    <wps:wsp>
                      <wps:cNvSpPr txBox="1"/>
                      <wps:spPr>
                        <a:xfrm>
                          <a:off x="0" y="0"/>
                          <a:ext cx="7747000" cy="260350"/>
                        </a:xfrm>
                        <a:prstGeom prst="rect">
                          <a:avLst/>
                        </a:prstGeom>
                        <a:noFill/>
                        <a:ln w="6350">
                          <a:noFill/>
                        </a:ln>
                      </wps:spPr>
                      <wps:txbx>
                        <w:txbxContent>
                          <w:p w14:paraId="04E16023" w14:textId="2630DEFE" w:rsidR="003E0F22" w:rsidRDefault="003E0F22" w:rsidP="000C6504">
                            <w:pPr>
                              <w:jc w:val="center"/>
                              <w:rPr>
                                <w:sz w:val="20"/>
                                <w:szCs w:val="20"/>
                              </w:rPr>
                            </w:pPr>
                            <w:r w:rsidRPr="000C6504">
                              <w:rPr>
                                <w:sz w:val="20"/>
                                <w:szCs w:val="20"/>
                              </w:rPr>
                              <w:t>Value of company</w:t>
                            </w:r>
                            <w:r>
                              <w:rPr>
                                <w:sz w:val="20"/>
                                <w:szCs w:val="20"/>
                              </w:rPr>
                              <w:tab/>
                              <w:t>Stock dividend</w:t>
                            </w:r>
                            <w:r>
                              <w:rPr>
                                <w:sz w:val="20"/>
                                <w:szCs w:val="20"/>
                              </w:rPr>
                              <w:tab/>
                            </w:r>
                            <w:r>
                              <w:rPr>
                                <w:sz w:val="20"/>
                                <w:szCs w:val="20"/>
                              </w:rPr>
                              <w:tab/>
                              <w:t xml:space="preserve">Choice of cash &amp; stock dividend </w:t>
                            </w:r>
                            <w:r>
                              <w:rPr>
                                <w:sz w:val="20"/>
                                <w:szCs w:val="20"/>
                              </w:rPr>
                              <w:tab/>
                              <w:t>Cash dividend</w:t>
                            </w:r>
                          </w:p>
                          <w:p w14:paraId="3BE77464" w14:textId="59DE64B2" w:rsidR="003E0F22" w:rsidRDefault="003E0F22" w:rsidP="000C6504">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
                          <w:p w14:paraId="19A09A5A" w14:textId="77777777" w:rsidR="003E0F22" w:rsidRPr="000C6504" w:rsidRDefault="003E0F22" w:rsidP="000C6504">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3D3A5B" id="Text Box 2" o:spid="_x0000_s1030" type="#_x0000_t202" style="position:absolute;left:0;text-align:left;margin-left:-71pt;margin-top:26.45pt;width:610pt;height:20.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" filled="f" stroked="f" strokeweight=".5pt">
                <v:textbox>
                  <w:txbxContent>
                    <w:p w14:paraId="04E16023" w14:textId="2630DEFE" w:rsidR="003E0F22" w:rsidRDefault="003E0F22" w:rsidP="000C6504">
                      <w:pPr>
                        <w:jc w:val="center"/>
                        <w:rPr>
                          <w:sz w:val="20"/>
                          <w:szCs w:val="20"/>
                        </w:rPr>
                      </w:pPr>
                      <w:r w:rsidRPr="000C6504">
                        <w:rPr>
                          <w:sz w:val="20"/>
                          <w:szCs w:val="20"/>
                        </w:rPr>
                        <w:t>Value of company</w:t>
                      </w:r>
                      <w:r>
                        <w:rPr>
                          <w:sz w:val="20"/>
                          <w:szCs w:val="20"/>
                        </w:rPr>
                        <w:tab/>
                        <w:t>Stock dividend</w:t>
                      </w:r>
                      <w:r>
                        <w:rPr>
                          <w:sz w:val="20"/>
                          <w:szCs w:val="20"/>
                        </w:rPr>
                        <w:tab/>
                      </w:r>
                      <w:r>
                        <w:rPr>
                          <w:sz w:val="20"/>
                          <w:szCs w:val="20"/>
                        </w:rPr>
                        <w:tab/>
                        <w:t xml:space="preserve">Choice of cash &amp; stock dividend </w:t>
                      </w:r>
                      <w:r>
                        <w:rPr>
                          <w:sz w:val="20"/>
                          <w:szCs w:val="20"/>
                        </w:rPr>
                        <w:tab/>
                        <w:t>Cash dividend</w:t>
                      </w:r>
                    </w:p>
                    <w:p w14:paraId="3BE77464" w14:textId="59DE64B2" w:rsidR="003E0F22" w:rsidRDefault="003E0F22" w:rsidP="000C6504">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
                    <w:p w14:paraId="19A09A5A" w14:textId="77777777" w:rsidR="003E0F22" w:rsidRPr="000C6504" w:rsidRDefault="003E0F22" w:rsidP="000C6504">
                      <w:pPr>
                        <w:jc w:val="center"/>
                        <w:rPr>
                          <w:sz w:val="20"/>
                          <w:szCs w:val="20"/>
                        </w:rPr>
                      </w:pPr>
                    </w:p>
                  </w:txbxContent>
                </v:textbox>
                <w10:wrap type="tight" anchorx="margin"/>
              </v:shape>
            </w:pict>
          </mc:Fallback>
        </mc:AlternateContent>
      </w:r>
      <w:r w:rsidR="006B44B7">
        <w:rPr>
          <w:noProof/>
          <w:sz w:val="20"/>
        </w:rPr>
        <mc:AlternateContent>
          <mc:Choice Requires="wps">
            <w:drawing>
              <wp:anchor distT="0" distB="0" distL="114300" distR="114300" simplePos="0" relativeHeight="251660799" behindDoc="0" locked="0" layoutInCell="1" allowOverlap="1" wp14:anchorId="6CE8E7B9" wp14:editId="7D85ED84">
                <wp:simplePos x="0" y="0"/>
                <wp:positionH relativeFrom="column">
                  <wp:posOffset>2101850</wp:posOffset>
                </wp:positionH>
                <wp:positionV relativeFrom="paragraph">
                  <wp:posOffset>488315</wp:posOffset>
                </wp:positionV>
                <wp:extent cx="1390650" cy="2540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390650" cy="254000"/>
                        </a:xfrm>
                        <a:prstGeom prst="rect">
                          <a:avLst/>
                        </a:prstGeom>
                        <a:noFill/>
                        <a:ln w="6350">
                          <a:noFill/>
                        </a:ln>
                      </wps:spPr>
                      <wps:txbx>
                        <w:txbxContent>
                          <w:p w14:paraId="698DB1C0" w14:textId="3D98B5C2" w:rsidR="003E0F22" w:rsidRPr="006B44B7" w:rsidRDefault="003E0F22">
                            <w:pPr>
                              <w:rPr>
                                <w:b/>
                              </w:rPr>
                            </w:pPr>
                            <w:r w:rsidRPr="006B44B7">
                              <w:rPr>
                                <w:b/>
                                <w:sz w:val="20"/>
                                <w:szCs w:val="20"/>
                              </w:rPr>
                              <w:t>Constitutional 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E8E7B9" id="Text Box 4" o:spid="_x0000_s1031" type="#_x0000_t202" style="position:absolute;left:0;text-align:left;margin-left:165.5pt;margin-top:38.45pt;width:109.5pt;height:20pt;z-index:2516607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" filled="f" stroked="f" strokeweight=".5pt">
                <v:textbox>
                  <w:txbxContent>
                    <w:p w14:paraId="698DB1C0" w14:textId="3D98B5C2" w:rsidR="003E0F22" w:rsidRPr="006B44B7" w:rsidRDefault="003E0F22">
                      <w:pPr>
                        <w:rPr>
                          <w:b/>
                        </w:rPr>
                      </w:pPr>
                      <w:r w:rsidRPr="006B44B7">
                        <w:rPr>
                          <w:b/>
                          <w:sz w:val="20"/>
                          <w:szCs w:val="20"/>
                        </w:rPr>
                        <w:t>Constitutional Line</w:t>
                      </w:r>
                    </w:p>
                  </w:txbxContent>
                </v:textbox>
              </v:shape>
            </w:pict>
          </mc:Fallback>
        </mc:AlternateContent>
      </w:r>
      <w:r w:rsidR="000C6504">
        <w:rPr>
          <w:noProof/>
        </w:rPr>
        <mc:AlternateContent>
          <mc:Choice Requires="wps">
            <w:drawing>
              <wp:anchor distT="0" distB="0" distL="114300" distR="114300" simplePos="0" relativeHeight="251659264" behindDoc="0" locked="0" layoutInCell="1" allowOverlap="1" wp14:anchorId="38E524A9" wp14:editId="7EC3972D">
                <wp:simplePos x="0" y="0"/>
                <wp:positionH relativeFrom="margin">
                  <wp:posOffset>304800</wp:posOffset>
                </wp:positionH>
                <wp:positionV relativeFrom="paragraph">
                  <wp:posOffset>227330</wp:posOffset>
                </wp:positionV>
                <wp:extent cx="5370830" cy="45085"/>
                <wp:effectExtent l="38100" t="76200" r="1270" b="88265"/>
                <wp:wrapNone/>
                <wp:docPr id="1" name="Straight Arrow Connector 1"/>
                <wp:cNvGraphicFramePr/>
                <a:graphic xmlns:a="http://schemas.openxmlformats.org/drawingml/2006/main">
                  <a:graphicData uri="http://schemas.microsoft.com/office/word/2010/wordprocessingShape">
                    <wps:wsp>
                      <wps:cNvCnPr/>
                      <wps:spPr>
                        <a:xfrm flipV="1">
                          <a:off x="0" y="0"/>
                          <a:ext cx="5370830" cy="45085"/>
                        </a:xfrm>
                        <a:prstGeom prst="straightConnector1">
                          <a:avLst/>
                        </a:prstGeom>
                        <a:ln>
                          <a:headEnd type="triangle"/>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3DCCBAC" id="_x0000_t32" coordsize="21600,21600" o:spt="32" o:oned="t" path="m,l21600,21600e" filled="f">
                <v:path arrowok="t" fillok="f" o:connecttype="none"/>
                <o:lock v:ext="edit" shapetype="t"/>
              </v:shapetype>
              <v:shape id="Straight Arrow Connector 1" o:spid="_x0000_s1026" type="#_x0000_t32" style="position:absolute;margin-left:24pt;margin-top:17.9pt;width:422.9pt;height:3.55p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" strokecolor="black [3200]" strokeweight="1.5pt">
                <v:stroke startarrow="block" endarrow="block" joinstyle="miter"/>
                <w10:wrap anchorx="margin"/>
              </v:shape>
            </w:pict>
          </mc:Fallback>
        </mc:AlternateContent>
      </w:r>
      <w:r w:rsidR="000C6504">
        <w:rPr>
          <w:sz w:val="20"/>
        </w:rPr>
        <w:t xml:space="preserve">Under </w:t>
      </w:r>
      <w:r w:rsidR="000C6504">
        <w:rPr>
          <w:i/>
          <w:sz w:val="20"/>
        </w:rPr>
        <w:t xml:space="preserve">Eisner v. </w:t>
      </w:r>
      <w:proofErr w:type="spellStart"/>
      <w:r w:rsidR="000C6504">
        <w:rPr>
          <w:i/>
          <w:sz w:val="20"/>
        </w:rPr>
        <w:t>Macomber</w:t>
      </w:r>
      <w:proofErr w:type="spellEnd"/>
      <w:r w:rsidR="000C6504">
        <w:rPr>
          <w:sz w:val="20"/>
        </w:rPr>
        <w:t>, the severance of capital from income is the touchstone for income realization</w:t>
      </w:r>
      <w:r w:rsidR="000C6504">
        <w:rPr>
          <w:sz w:val="20"/>
        </w:rPr>
        <w:br/>
      </w:r>
    </w:p>
    <w:p w14:paraId="07536289" w14:textId="04C506A9" w:rsidR="002E71F0" w:rsidRPr="002E71F0" w:rsidRDefault="002E71F0" w:rsidP="002E71F0">
      <w:pPr>
        <w:pStyle w:val="ListParagraph"/>
        <w:numPr>
          <w:ilvl w:val="1"/>
          <w:numId w:val="6"/>
        </w:numPr>
      </w:pPr>
      <w:r>
        <w:rPr>
          <w:sz w:val="20"/>
        </w:rPr>
        <w:t>Defines income as “the gain derived from capital, or labor, or from both combined”</w:t>
      </w:r>
    </w:p>
    <w:p w14:paraId="72F3E29A" w14:textId="0DF4E720" w:rsidR="000C6504" w:rsidRPr="000C6504" w:rsidRDefault="000C6504" w:rsidP="00A548E6">
      <w:pPr>
        <w:pStyle w:val="ListParagraph"/>
        <w:numPr>
          <w:ilvl w:val="1"/>
          <w:numId w:val="6"/>
        </w:numPr>
      </w:pPr>
      <w:r>
        <w:rPr>
          <w:sz w:val="20"/>
        </w:rPr>
        <w:t>Only SCOTUS case holding 16</w:t>
      </w:r>
      <w:r w:rsidRPr="000C6504">
        <w:rPr>
          <w:sz w:val="20"/>
          <w:vertAlign w:val="superscript"/>
        </w:rPr>
        <w:t>th</w:t>
      </w:r>
      <w:r>
        <w:rPr>
          <w:sz w:val="20"/>
        </w:rPr>
        <w:t xml:space="preserve"> Amendment did not grant power to tax a type of income</w:t>
      </w:r>
    </w:p>
    <w:p w14:paraId="20EFAC8E" w14:textId="6955E9D7" w:rsidR="000C6504" w:rsidRPr="00E720EB" w:rsidRDefault="00C03260" w:rsidP="00A548E6">
      <w:pPr>
        <w:pStyle w:val="ListParagraph"/>
        <w:numPr>
          <w:ilvl w:val="1"/>
          <w:numId w:val="6"/>
        </w:numPr>
      </w:pPr>
      <w:r>
        <w:rPr>
          <w:sz w:val="20"/>
        </w:rPr>
        <w:t>Similarly, capital gains aren’</w:t>
      </w:r>
      <w:r w:rsidR="000C6504">
        <w:rPr>
          <w:sz w:val="20"/>
        </w:rPr>
        <w:t>t taxed until realize</w:t>
      </w:r>
      <w:r>
        <w:rPr>
          <w:sz w:val="20"/>
        </w:rPr>
        <w:t>d</w:t>
      </w:r>
      <w:r w:rsidR="000C6504">
        <w:rPr>
          <w:sz w:val="20"/>
        </w:rPr>
        <w:t xml:space="preserve"> because inc</w:t>
      </w:r>
      <w:r>
        <w:rPr>
          <w:sz w:val="20"/>
        </w:rPr>
        <w:t>ome isn’t severable from</w:t>
      </w:r>
      <w:r w:rsidR="000C6504">
        <w:rPr>
          <w:sz w:val="20"/>
        </w:rPr>
        <w:t xml:space="preserve"> investment</w:t>
      </w:r>
      <w:r w:rsidR="000C6504" w:rsidRPr="000C6504">
        <w:rPr>
          <w:sz w:val="20"/>
        </w:rPr>
        <w:t xml:space="preserve"> </w:t>
      </w:r>
    </w:p>
    <w:p w14:paraId="509F5F59" w14:textId="6461710C" w:rsidR="00E720EB" w:rsidRPr="00D67139" w:rsidRDefault="00C03260" w:rsidP="00A548E6">
      <w:pPr>
        <w:pStyle w:val="ListParagraph"/>
        <w:numPr>
          <w:ilvl w:val="1"/>
          <w:numId w:val="6"/>
        </w:numPr>
      </w:pPr>
      <w:r>
        <w:rPr>
          <w:sz w:val="20"/>
        </w:rPr>
        <w:t>Bright-</w:t>
      </w:r>
      <w:r w:rsidR="00E720EB">
        <w:rPr>
          <w:sz w:val="20"/>
        </w:rPr>
        <w:t xml:space="preserve">line principle of </w:t>
      </w:r>
      <w:r w:rsidR="00E720EB">
        <w:rPr>
          <w:i/>
          <w:sz w:val="20"/>
        </w:rPr>
        <w:t xml:space="preserve">Eisner </w:t>
      </w:r>
      <w:r>
        <w:rPr>
          <w:sz w:val="20"/>
        </w:rPr>
        <w:t>has slowly eroded</w:t>
      </w:r>
    </w:p>
    <w:p w14:paraId="73D9BBB7" w14:textId="5666CBD8" w:rsidR="00756381" w:rsidRPr="00756381" w:rsidRDefault="00756381" w:rsidP="00D67139">
      <w:pPr>
        <w:pStyle w:val="ListParagraph"/>
        <w:numPr>
          <w:ilvl w:val="2"/>
          <w:numId w:val="6"/>
        </w:numPr>
      </w:pPr>
      <w:r>
        <w:rPr>
          <w:i/>
          <w:sz w:val="20"/>
        </w:rPr>
        <w:t xml:space="preserve">Kirby Lumber </w:t>
      </w:r>
      <w:r>
        <w:rPr>
          <w:sz w:val="20"/>
        </w:rPr>
        <w:t>taxes on cancellation of indebtedness – doesn’</w:t>
      </w:r>
      <w:r w:rsidR="005A71A5">
        <w:rPr>
          <w:sz w:val="20"/>
        </w:rPr>
        <w:t>t fal</w:t>
      </w:r>
      <w:r w:rsidR="00E34FCE">
        <w:rPr>
          <w:sz w:val="20"/>
        </w:rPr>
        <w:t>l into labor or capital</w:t>
      </w:r>
    </w:p>
    <w:p w14:paraId="108F28A8" w14:textId="45E6E176" w:rsidR="00D67139" w:rsidRPr="003C2774" w:rsidRDefault="00D67139" w:rsidP="00D67139">
      <w:pPr>
        <w:pStyle w:val="ListParagraph"/>
        <w:numPr>
          <w:ilvl w:val="2"/>
          <w:numId w:val="6"/>
        </w:numPr>
      </w:pPr>
      <w:r>
        <w:rPr>
          <w:i/>
          <w:sz w:val="20"/>
        </w:rPr>
        <w:t xml:space="preserve">Glenshaw Glass </w:t>
      </w:r>
      <w:r>
        <w:rPr>
          <w:sz w:val="20"/>
        </w:rPr>
        <w:t>redefines income as “all gains except those specifically exempted”</w:t>
      </w:r>
    </w:p>
    <w:p w14:paraId="4564573D" w14:textId="2B44DE85" w:rsidR="003C2774" w:rsidRPr="00427BC1" w:rsidRDefault="003C2774" w:rsidP="00D67139">
      <w:pPr>
        <w:pStyle w:val="ListParagraph"/>
        <w:numPr>
          <w:ilvl w:val="2"/>
          <w:numId w:val="6"/>
        </w:numPr>
      </w:pPr>
      <w:r>
        <w:rPr>
          <w:i/>
          <w:sz w:val="20"/>
        </w:rPr>
        <w:t xml:space="preserve">James </w:t>
      </w:r>
      <w:r>
        <w:rPr>
          <w:sz w:val="20"/>
        </w:rPr>
        <w:t>held that all unlawful gains are taxable</w:t>
      </w:r>
    </w:p>
    <w:p w14:paraId="66A143F9" w14:textId="363404AF" w:rsidR="00427BC1" w:rsidRPr="00427BC1" w:rsidRDefault="00427BC1" w:rsidP="00427BC1">
      <w:pPr>
        <w:pStyle w:val="ListParagraph"/>
        <w:numPr>
          <w:ilvl w:val="0"/>
          <w:numId w:val="6"/>
        </w:numPr>
      </w:pPr>
      <w:r>
        <w:rPr>
          <w:sz w:val="20"/>
        </w:rPr>
        <w:t>An exchange of property gives rise to a realization event only if the properties are “materially different” –</w:t>
      </w:r>
      <w:r>
        <w:rPr>
          <w:i/>
          <w:sz w:val="20"/>
        </w:rPr>
        <w:t xml:space="preserve"> Cottage Savings </w:t>
      </w:r>
      <w:r>
        <w:rPr>
          <w:sz w:val="20"/>
        </w:rPr>
        <w:t>(exchange of bundled mortgage securities gave rise to recognizable losses)</w:t>
      </w:r>
      <w:r>
        <w:rPr>
          <w:i/>
          <w:sz w:val="20"/>
        </w:rPr>
        <w:t xml:space="preserve"> </w:t>
      </w:r>
    </w:p>
    <w:p w14:paraId="416A0A9C" w14:textId="22A31C44" w:rsidR="00427BC1" w:rsidRPr="00AD1718" w:rsidRDefault="00427BC1" w:rsidP="00427BC1">
      <w:pPr>
        <w:pStyle w:val="ListParagraph"/>
        <w:numPr>
          <w:ilvl w:val="1"/>
          <w:numId w:val="6"/>
        </w:numPr>
      </w:pPr>
      <w:r>
        <w:rPr>
          <w:sz w:val="20"/>
        </w:rPr>
        <w:t>M</w:t>
      </w:r>
      <w:r w:rsidR="00C03260">
        <w:rPr>
          <w:sz w:val="20"/>
        </w:rPr>
        <w:t>aterial difference mean that property gives owner different</w:t>
      </w:r>
      <w:r>
        <w:rPr>
          <w:sz w:val="20"/>
        </w:rPr>
        <w:t xml:space="preserve"> legal e</w:t>
      </w:r>
      <w:r w:rsidR="00C03260">
        <w:rPr>
          <w:sz w:val="20"/>
        </w:rPr>
        <w:t>ntitlements than they</w:t>
      </w:r>
      <w:r>
        <w:rPr>
          <w:sz w:val="20"/>
        </w:rPr>
        <w:t xml:space="preserve"> had</w:t>
      </w:r>
    </w:p>
    <w:p w14:paraId="50978379" w14:textId="189C95FE" w:rsidR="00AD1718" w:rsidRPr="00E84E7D" w:rsidRDefault="00C03260" w:rsidP="00AD1718">
      <w:pPr>
        <w:pStyle w:val="ListParagraph"/>
        <w:numPr>
          <w:ilvl w:val="0"/>
          <w:numId w:val="6"/>
        </w:numPr>
      </w:pPr>
      <w:r>
        <w:rPr>
          <w:sz w:val="20"/>
        </w:rPr>
        <w:t>I</w:t>
      </w:r>
      <w:r w:rsidR="00AD1718">
        <w:rPr>
          <w:sz w:val="20"/>
        </w:rPr>
        <w:t xml:space="preserve">ncome </w:t>
      </w:r>
      <w:r w:rsidR="00AD1718">
        <w:rPr>
          <w:b/>
          <w:sz w:val="20"/>
        </w:rPr>
        <w:t xml:space="preserve">includes </w:t>
      </w:r>
      <w:r>
        <w:rPr>
          <w:sz w:val="20"/>
        </w:rPr>
        <w:t>Original Issue Discount (OID)</w:t>
      </w:r>
      <w:r w:rsidR="00AD1718">
        <w:rPr>
          <w:sz w:val="20"/>
        </w:rPr>
        <w:t xml:space="preserve"> </w:t>
      </w:r>
      <w:r>
        <w:rPr>
          <w:sz w:val="20"/>
        </w:rPr>
        <w:t>(excess of</w:t>
      </w:r>
      <w:r w:rsidR="00AD1718">
        <w:rPr>
          <w:sz w:val="20"/>
        </w:rPr>
        <w:t xml:space="preserve"> bond’s redempt</w:t>
      </w:r>
      <w:r>
        <w:rPr>
          <w:sz w:val="20"/>
        </w:rPr>
        <w:t>ion value over issue price)</w:t>
      </w:r>
      <w:r w:rsidR="00AD1718">
        <w:rPr>
          <w:sz w:val="20"/>
        </w:rPr>
        <w:t xml:space="preserve"> §1272</w:t>
      </w:r>
    </w:p>
    <w:p w14:paraId="13B1711F" w14:textId="4F207101" w:rsidR="00E84E7D" w:rsidRPr="00E57497" w:rsidRDefault="00E84E7D" w:rsidP="00E84E7D">
      <w:pPr>
        <w:pStyle w:val="ListParagraph"/>
        <w:numPr>
          <w:ilvl w:val="1"/>
          <w:numId w:val="6"/>
        </w:numPr>
      </w:pPr>
      <w:r>
        <w:rPr>
          <w:sz w:val="20"/>
        </w:rPr>
        <w:t xml:space="preserve">Is taxability of OID constitutional under Eisner? </w:t>
      </w:r>
      <w:r w:rsidR="00AE6D89">
        <w:rPr>
          <w:sz w:val="20"/>
        </w:rPr>
        <w:t xml:space="preserve">Where is the severability/realization? </w:t>
      </w:r>
    </w:p>
    <w:p w14:paraId="2A9C0137" w14:textId="1A77C831" w:rsidR="00E57497" w:rsidRPr="00E84E7D" w:rsidRDefault="00C03260" w:rsidP="00E57497">
      <w:pPr>
        <w:pStyle w:val="ListParagraph"/>
        <w:numPr>
          <w:ilvl w:val="2"/>
          <w:numId w:val="6"/>
        </w:numPr>
      </w:pPr>
      <w:r>
        <w:rPr>
          <w:sz w:val="20"/>
        </w:rPr>
        <w:t>M</w:t>
      </w:r>
      <w:r w:rsidR="00E57497">
        <w:rPr>
          <w:sz w:val="20"/>
        </w:rPr>
        <w:t>ight be due to guarantee of e</w:t>
      </w:r>
      <w:r>
        <w:rPr>
          <w:sz w:val="20"/>
        </w:rPr>
        <w:t>ventual payment – it is a</w:t>
      </w:r>
      <w:r w:rsidR="00E34FCE">
        <w:rPr>
          <w:sz w:val="20"/>
        </w:rPr>
        <w:t xml:space="preserve"> </w:t>
      </w:r>
      <w:proofErr w:type="gramStart"/>
      <w:r w:rsidR="00AE6A9C">
        <w:rPr>
          <w:sz w:val="20"/>
        </w:rPr>
        <w:t>more sure</w:t>
      </w:r>
      <w:proofErr w:type="gramEnd"/>
      <w:r w:rsidR="00AE6A9C">
        <w:rPr>
          <w:sz w:val="20"/>
        </w:rPr>
        <w:t xml:space="preserve"> </w:t>
      </w:r>
      <w:r w:rsidR="00E57497">
        <w:rPr>
          <w:sz w:val="20"/>
        </w:rPr>
        <w:t>thing than equities</w:t>
      </w:r>
    </w:p>
    <w:p w14:paraId="68BA0CCE" w14:textId="601D787E" w:rsidR="002E0A27" w:rsidRPr="002E0A27" w:rsidRDefault="00E84E7D" w:rsidP="00E84E7D">
      <w:pPr>
        <w:pStyle w:val="ListParagraph"/>
        <w:numPr>
          <w:ilvl w:val="1"/>
          <w:numId w:val="6"/>
        </w:numPr>
      </w:pPr>
      <w:r>
        <w:rPr>
          <w:sz w:val="20"/>
        </w:rPr>
        <w:t xml:space="preserve">Getting the calibration is important here, due to the presence of nontaxable entities. </w:t>
      </w:r>
      <w:r w:rsidR="00F65CF2">
        <w:rPr>
          <w:sz w:val="20"/>
        </w:rPr>
        <w:t xml:space="preserve">If OID is taxed on realization, lenders have an advantage. If taxed on total gain pro rata, </w:t>
      </w:r>
      <w:r w:rsidR="00AE6D89">
        <w:rPr>
          <w:sz w:val="20"/>
        </w:rPr>
        <w:t xml:space="preserve">tax payments are accelerated, and lenders have a disadvantage. In either case, </w:t>
      </w:r>
      <w:proofErr w:type="spellStart"/>
      <w:r w:rsidR="00AE6D89">
        <w:rPr>
          <w:sz w:val="20"/>
        </w:rPr>
        <w:t>nontaxables</w:t>
      </w:r>
      <w:proofErr w:type="spellEnd"/>
      <w:r w:rsidR="00AE6D89">
        <w:rPr>
          <w:sz w:val="20"/>
        </w:rPr>
        <w:t xml:space="preserve"> can </w:t>
      </w:r>
      <w:r w:rsidR="002E0A27">
        <w:rPr>
          <w:sz w:val="20"/>
        </w:rPr>
        <w:t>fill the gap</w:t>
      </w:r>
    </w:p>
    <w:p w14:paraId="238AAC15" w14:textId="77777777" w:rsidR="00D828C9" w:rsidRPr="00D828C9" w:rsidRDefault="002E0A27" w:rsidP="00E84E7D">
      <w:pPr>
        <w:pStyle w:val="ListParagraph"/>
        <w:numPr>
          <w:ilvl w:val="1"/>
          <w:numId w:val="6"/>
        </w:numPr>
      </w:pPr>
      <w:r>
        <w:rPr>
          <w:sz w:val="20"/>
        </w:rPr>
        <w:t xml:space="preserve">Gain realized by repurchasing bonds at less than par value is taxable income – </w:t>
      </w:r>
      <w:r>
        <w:rPr>
          <w:i/>
          <w:sz w:val="20"/>
        </w:rPr>
        <w:t>Kirby Lumber</w:t>
      </w:r>
    </w:p>
    <w:p w14:paraId="18565C82" w14:textId="77777777" w:rsidR="00D828C9" w:rsidRPr="00D828C9" w:rsidRDefault="00D828C9" w:rsidP="00D828C9">
      <w:pPr>
        <w:pStyle w:val="ListParagraph"/>
        <w:numPr>
          <w:ilvl w:val="2"/>
          <w:numId w:val="6"/>
        </w:numPr>
      </w:pPr>
      <w:r>
        <w:rPr>
          <w:sz w:val="20"/>
        </w:rPr>
        <w:t xml:space="preserve">Income is </w:t>
      </w:r>
      <w:r>
        <w:rPr>
          <w:i/>
          <w:sz w:val="20"/>
        </w:rPr>
        <w:t xml:space="preserve">more </w:t>
      </w:r>
      <w:r>
        <w:rPr>
          <w:sz w:val="20"/>
        </w:rPr>
        <w:t>than gain from capital or labor</w:t>
      </w:r>
    </w:p>
    <w:p w14:paraId="11C623E5" w14:textId="640AB896" w:rsidR="00E84E7D" w:rsidRPr="002E71F0" w:rsidRDefault="00AE6A9C" w:rsidP="00D828C9">
      <w:pPr>
        <w:pStyle w:val="ListParagraph"/>
        <w:numPr>
          <w:ilvl w:val="2"/>
          <w:numId w:val="6"/>
        </w:numPr>
      </w:pPr>
      <w:r>
        <w:rPr>
          <w:sz w:val="20"/>
        </w:rPr>
        <w:t>Reverse</w:t>
      </w:r>
      <w:r w:rsidR="00D828C9">
        <w:rPr>
          <w:sz w:val="20"/>
        </w:rPr>
        <w:t xml:space="preserve"> method of calculating gain – amount borrowed must be a “liability basis”</w:t>
      </w:r>
      <w:r w:rsidR="00F65CF2">
        <w:rPr>
          <w:sz w:val="20"/>
        </w:rPr>
        <w:t xml:space="preserve"> </w:t>
      </w:r>
    </w:p>
    <w:p w14:paraId="4DE5740E" w14:textId="4F975663" w:rsidR="002E71F0" w:rsidRDefault="0072606C" w:rsidP="002E71F0">
      <w:pPr>
        <w:pStyle w:val="Heading4"/>
        <w:rPr>
          <w:sz w:val="20"/>
        </w:rPr>
      </w:pPr>
      <w:r>
        <w:rPr>
          <w:sz w:val="20"/>
        </w:rPr>
        <w:t>Atypical</w:t>
      </w:r>
      <w:r w:rsidR="002E71F0" w:rsidRPr="002E71F0">
        <w:rPr>
          <w:sz w:val="20"/>
        </w:rPr>
        <w:t xml:space="preserve"> Income</w:t>
      </w:r>
      <w:r w:rsidR="002E71F0">
        <w:rPr>
          <w:sz w:val="20"/>
        </w:rPr>
        <w:t xml:space="preserve"> (Gifts, Prizes, </w:t>
      </w:r>
      <w:r>
        <w:rPr>
          <w:sz w:val="20"/>
        </w:rPr>
        <w:t>Scholarships, Discharge of Indebtedness, Illegal Income</w:t>
      </w:r>
      <w:r w:rsidR="002E71F0">
        <w:rPr>
          <w:sz w:val="20"/>
        </w:rPr>
        <w:t>)</w:t>
      </w:r>
    </w:p>
    <w:p w14:paraId="348F202A" w14:textId="310F37E1" w:rsidR="002E71F0" w:rsidRPr="0002366D" w:rsidRDefault="00BF0AF2" w:rsidP="002E71F0">
      <w:pPr>
        <w:pStyle w:val="ListParagraph"/>
        <w:numPr>
          <w:ilvl w:val="0"/>
          <w:numId w:val="7"/>
        </w:numPr>
      </w:pPr>
      <w:r>
        <w:rPr>
          <w:sz w:val="20"/>
        </w:rPr>
        <w:t xml:space="preserve">Gross income </w:t>
      </w:r>
      <w:r>
        <w:rPr>
          <w:b/>
          <w:sz w:val="20"/>
        </w:rPr>
        <w:t xml:space="preserve">does not </w:t>
      </w:r>
      <w:r>
        <w:rPr>
          <w:sz w:val="20"/>
        </w:rPr>
        <w:t>include the value of property inherited by gift or inheritance - §102(a)</w:t>
      </w:r>
    </w:p>
    <w:p w14:paraId="2FDF847D" w14:textId="4F34892A" w:rsidR="0002366D" w:rsidRDefault="00AE6A9C" w:rsidP="0002366D">
      <w:pPr>
        <w:pStyle w:val="ListParagraph"/>
        <w:numPr>
          <w:ilvl w:val="1"/>
          <w:numId w:val="7"/>
        </w:numPr>
        <w:rPr>
          <w:sz w:val="20"/>
          <w:szCs w:val="20"/>
        </w:rPr>
      </w:pPr>
      <w:r>
        <w:rPr>
          <w:sz w:val="20"/>
          <w:szCs w:val="20"/>
        </w:rPr>
        <w:t xml:space="preserve">However, </w:t>
      </w:r>
      <w:r w:rsidR="0002366D" w:rsidRPr="0002366D">
        <w:rPr>
          <w:sz w:val="20"/>
          <w:szCs w:val="20"/>
        </w:rPr>
        <w:t xml:space="preserve">income from property received by gift (or where the gift is such income) </w:t>
      </w:r>
      <w:r w:rsidR="0002366D" w:rsidRPr="0002366D">
        <w:rPr>
          <w:b/>
          <w:sz w:val="20"/>
          <w:szCs w:val="20"/>
        </w:rPr>
        <w:t xml:space="preserve">is </w:t>
      </w:r>
      <w:r w:rsidR="0002366D" w:rsidRPr="0002366D">
        <w:rPr>
          <w:sz w:val="20"/>
          <w:szCs w:val="20"/>
        </w:rPr>
        <w:t>included in gross income</w:t>
      </w:r>
      <w:r w:rsidR="0002366D">
        <w:rPr>
          <w:sz w:val="20"/>
          <w:szCs w:val="20"/>
        </w:rPr>
        <w:t xml:space="preserve"> - §102(b)</w:t>
      </w:r>
    </w:p>
    <w:p w14:paraId="70E988EF" w14:textId="761F8445" w:rsidR="001F44DA" w:rsidRDefault="001F44DA" w:rsidP="001F44DA">
      <w:pPr>
        <w:pStyle w:val="ListParagraph"/>
        <w:numPr>
          <w:ilvl w:val="2"/>
          <w:numId w:val="7"/>
        </w:numPr>
        <w:rPr>
          <w:sz w:val="20"/>
          <w:szCs w:val="20"/>
        </w:rPr>
      </w:pPr>
      <w:r>
        <w:rPr>
          <w:sz w:val="20"/>
          <w:szCs w:val="20"/>
        </w:rPr>
        <w:t>A gift of interest income is taxable</w:t>
      </w:r>
      <w:r w:rsidR="008A1EE7">
        <w:rPr>
          <w:sz w:val="20"/>
          <w:szCs w:val="20"/>
        </w:rPr>
        <w:t xml:space="preserve"> to recipient</w:t>
      </w:r>
      <w:r>
        <w:rPr>
          <w:sz w:val="20"/>
          <w:szCs w:val="20"/>
        </w:rPr>
        <w:t xml:space="preserve">, since the interest itself would be taxable if it were not gifted – </w:t>
      </w:r>
      <w:r>
        <w:rPr>
          <w:i/>
          <w:sz w:val="20"/>
          <w:szCs w:val="20"/>
        </w:rPr>
        <w:t xml:space="preserve">Irwin v. </w:t>
      </w:r>
      <w:proofErr w:type="spellStart"/>
      <w:r>
        <w:rPr>
          <w:i/>
          <w:sz w:val="20"/>
          <w:szCs w:val="20"/>
        </w:rPr>
        <w:t>Gavit</w:t>
      </w:r>
      <w:proofErr w:type="spellEnd"/>
    </w:p>
    <w:p w14:paraId="588E036D" w14:textId="6112C039" w:rsidR="001F44DA" w:rsidRDefault="001F44DA" w:rsidP="001F44DA">
      <w:pPr>
        <w:pStyle w:val="ListParagraph"/>
        <w:numPr>
          <w:ilvl w:val="3"/>
          <w:numId w:val="7"/>
        </w:numPr>
        <w:rPr>
          <w:sz w:val="20"/>
          <w:szCs w:val="20"/>
        </w:rPr>
      </w:pPr>
      <w:r>
        <w:rPr>
          <w:sz w:val="20"/>
          <w:szCs w:val="20"/>
        </w:rPr>
        <w:t>SCOTUS realizes temporal division is a way to defer tax liability and disguise income as capital appreciation</w:t>
      </w:r>
    </w:p>
    <w:p w14:paraId="59E0B3BF" w14:textId="0C92B0F0" w:rsidR="00EA23F9" w:rsidRPr="00E52907" w:rsidRDefault="00951C4B" w:rsidP="00EA23F9">
      <w:pPr>
        <w:pStyle w:val="ListParagraph"/>
        <w:numPr>
          <w:ilvl w:val="1"/>
          <w:numId w:val="7"/>
        </w:numPr>
        <w:rPr>
          <w:sz w:val="20"/>
          <w:szCs w:val="20"/>
        </w:rPr>
      </w:pPr>
      <w:r>
        <w:rPr>
          <w:sz w:val="20"/>
          <w:szCs w:val="20"/>
        </w:rPr>
        <w:t>Reflects a choice to tax the donor rather than the donee, largely for administrability reasons</w:t>
      </w:r>
    </w:p>
    <w:p w14:paraId="0894BE05" w14:textId="3E66340F" w:rsidR="0002366D" w:rsidRDefault="0002366D" w:rsidP="0002366D">
      <w:pPr>
        <w:pStyle w:val="ListParagraph"/>
        <w:numPr>
          <w:ilvl w:val="1"/>
          <w:numId w:val="7"/>
        </w:numPr>
        <w:rPr>
          <w:sz w:val="20"/>
          <w:szCs w:val="20"/>
        </w:rPr>
      </w:pPr>
      <w:r>
        <w:rPr>
          <w:sz w:val="20"/>
          <w:szCs w:val="20"/>
        </w:rPr>
        <w:t xml:space="preserve">Employers cannot give gifts to employees </w:t>
      </w:r>
      <w:r w:rsidR="00F12A2F">
        <w:rPr>
          <w:sz w:val="20"/>
          <w:szCs w:val="20"/>
        </w:rPr>
        <w:t xml:space="preserve">and have gifts be non-taxable </w:t>
      </w:r>
      <w:r>
        <w:rPr>
          <w:sz w:val="20"/>
          <w:szCs w:val="20"/>
        </w:rPr>
        <w:t>- §102(c)</w:t>
      </w:r>
    </w:p>
    <w:p w14:paraId="71E807C7" w14:textId="6B5ADE0E" w:rsidR="00F12A2F" w:rsidRDefault="006F3F0F" w:rsidP="00F12A2F">
      <w:pPr>
        <w:pStyle w:val="ListParagraph"/>
        <w:numPr>
          <w:ilvl w:val="2"/>
          <w:numId w:val="7"/>
        </w:numPr>
        <w:rPr>
          <w:sz w:val="20"/>
          <w:szCs w:val="20"/>
        </w:rPr>
      </w:pPr>
      <w:r>
        <w:rPr>
          <w:sz w:val="20"/>
          <w:szCs w:val="20"/>
        </w:rPr>
        <w:t>However, i</w:t>
      </w:r>
      <w:r w:rsidR="00F12A2F">
        <w:rPr>
          <w:sz w:val="20"/>
          <w:szCs w:val="20"/>
        </w:rPr>
        <w:t>f a gift is taxable under §102(c), it is deductible for the employer under §274(b)!</w:t>
      </w:r>
      <w:r w:rsidR="00752D4E">
        <w:rPr>
          <w:sz w:val="20"/>
          <w:szCs w:val="20"/>
        </w:rPr>
        <w:t xml:space="preserve"> Only </w:t>
      </w:r>
      <w:r w:rsidR="00752D4E">
        <w:rPr>
          <w:i/>
          <w:sz w:val="20"/>
          <w:szCs w:val="20"/>
        </w:rPr>
        <w:t xml:space="preserve">one </w:t>
      </w:r>
      <w:r w:rsidR="00752D4E">
        <w:rPr>
          <w:sz w:val="20"/>
          <w:szCs w:val="20"/>
        </w:rPr>
        <w:t>person will be taxed for the gift</w:t>
      </w:r>
    </w:p>
    <w:p w14:paraId="1805BF71" w14:textId="2BC07CA9" w:rsidR="00374CFD" w:rsidRDefault="00374CFD" w:rsidP="00F12A2F">
      <w:pPr>
        <w:pStyle w:val="ListParagraph"/>
        <w:numPr>
          <w:ilvl w:val="2"/>
          <w:numId w:val="7"/>
        </w:numPr>
        <w:rPr>
          <w:sz w:val="20"/>
          <w:szCs w:val="20"/>
        </w:rPr>
      </w:pPr>
      <w:r>
        <w:rPr>
          <w:sz w:val="20"/>
          <w:szCs w:val="20"/>
        </w:rPr>
        <w:t xml:space="preserve">The “gift” might still be excludable under some other provision, </w:t>
      </w:r>
      <w:r>
        <w:rPr>
          <w:i/>
          <w:sz w:val="20"/>
          <w:szCs w:val="20"/>
        </w:rPr>
        <w:t xml:space="preserve">and </w:t>
      </w:r>
      <w:r>
        <w:rPr>
          <w:sz w:val="20"/>
          <w:szCs w:val="20"/>
        </w:rPr>
        <w:t>still be deductible by the donating corporation!</w:t>
      </w:r>
    </w:p>
    <w:p w14:paraId="4CAE9E14" w14:textId="643E030E" w:rsidR="0000550B" w:rsidRDefault="0000550B" w:rsidP="0000550B">
      <w:pPr>
        <w:pStyle w:val="ListParagraph"/>
        <w:numPr>
          <w:ilvl w:val="1"/>
          <w:numId w:val="7"/>
        </w:numPr>
        <w:rPr>
          <w:sz w:val="20"/>
          <w:szCs w:val="20"/>
        </w:rPr>
      </w:pPr>
      <w:r>
        <w:rPr>
          <w:sz w:val="20"/>
          <w:szCs w:val="20"/>
        </w:rPr>
        <w:t xml:space="preserve">Can Treasury’s proposal to reform inheritance tax be constitutional under </w:t>
      </w:r>
      <w:r>
        <w:rPr>
          <w:i/>
          <w:sz w:val="20"/>
          <w:szCs w:val="20"/>
        </w:rPr>
        <w:t>Eisner</w:t>
      </w:r>
      <w:r>
        <w:rPr>
          <w:sz w:val="20"/>
          <w:szCs w:val="20"/>
        </w:rPr>
        <w:t xml:space="preserve">? Doesn’t it impose a tax without a realization event or severance of capital and income? </w:t>
      </w:r>
    </w:p>
    <w:p w14:paraId="3AEECFB1" w14:textId="41E18E6C" w:rsidR="006F3F0F" w:rsidRDefault="006F3F0F" w:rsidP="006F3F0F">
      <w:pPr>
        <w:pStyle w:val="ListParagraph"/>
        <w:numPr>
          <w:ilvl w:val="0"/>
          <w:numId w:val="7"/>
        </w:numPr>
        <w:rPr>
          <w:sz w:val="20"/>
          <w:szCs w:val="20"/>
        </w:rPr>
      </w:pPr>
      <w:r>
        <w:rPr>
          <w:sz w:val="20"/>
          <w:szCs w:val="20"/>
        </w:rPr>
        <w:t>The definition of a gi</w:t>
      </w:r>
      <w:r w:rsidR="00B67A09">
        <w:rPr>
          <w:sz w:val="20"/>
          <w:szCs w:val="20"/>
        </w:rPr>
        <w:t xml:space="preserve">ft </w:t>
      </w:r>
      <w:r>
        <w:rPr>
          <w:sz w:val="20"/>
          <w:szCs w:val="20"/>
        </w:rPr>
        <w:t xml:space="preserve">is a fact sensitive inquiry – </w:t>
      </w:r>
      <w:r>
        <w:rPr>
          <w:i/>
          <w:sz w:val="20"/>
          <w:szCs w:val="20"/>
        </w:rPr>
        <w:t>Duberstein</w:t>
      </w:r>
      <w:r>
        <w:rPr>
          <w:sz w:val="20"/>
          <w:szCs w:val="20"/>
        </w:rPr>
        <w:t xml:space="preserve"> (gifted Cadillac to acquaintance that frequently referred business to car dealer) </w:t>
      </w:r>
    </w:p>
    <w:p w14:paraId="1B01EE6E" w14:textId="4866E1D0" w:rsidR="00362E4A" w:rsidRDefault="00627393" w:rsidP="00362E4A">
      <w:pPr>
        <w:pStyle w:val="ListParagraph"/>
        <w:numPr>
          <w:ilvl w:val="1"/>
          <w:numId w:val="7"/>
        </w:numPr>
        <w:rPr>
          <w:sz w:val="20"/>
          <w:szCs w:val="20"/>
        </w:rPr>
      </w:pPr>
      <w:r>
        <w:rPr>
          <w:sz w:val="20"/>
          <w:szCs w:val="20"/>
        </w:rPr>
        <w:t>Transferor’s intent is most critical</w:t>
      </w:r>
      <w:r w:rsidR="00362E4A">
        <w:rPr>
          <w:sz w:val="20"/>
          <w:szCs w:val="20"/>
        </w:rPr>
        <w:t xml:space="preserve"> inquiry</w:t>
      </w:r>
      <w:r w:rsidR="00B67A09">
        <w:rPr>
          <w:sz w:val="20"/>
          <w:szCs w:val="20"/>
        </w:rPr>
        <w:t>, but objective determination of gift is also necessary</w:t>
      </w:r>
    </w:p>
    <w:p w14:paraId="0E7628E9" w14:textId="7696805B" w:rsidR="00B67A09" w:rsidRDefault="00627393" w:rsidP="00B67A09">
      <w:pPr>
        <w:pStyle w:val="ListParagraph"/>
        <w:numPr>
          <w:ilvl w:val="2"/>
          <w:numId w:val="7"/>
        </w:numPr>
        <w:rPr>
          <w:sz w:val="20"/>
          <w:szCs w:val="20"/>
        </w:rPr>
      </w:pPr>
      <w:r>
        <w:rPr>
          <w:sz w:val="20"/>
          <w:szCs w:val="20"/>
        </w:rPr>
        <w:t xml:space="preserve">Congress rejects the </w:t>
      </w:r>
      <w:r w:rsidR="00B67A09">
        <w:rPr>
          <w:sz w:val="20"/>
          <w:szCs w:val="20"/>
        </w:rPr>
        <w:t xml:space="preserve">result and passes §102(c) and §274(b), but these provisions only apply in employer-employee relationships. </w:t>
      </w:r>
      <w:r w:rsidR="00B67A09">
        <w:rPr>
          <w:i/>
          <w:sz w:val="20"/>
          <w:szCs w:val="20"/>
        </w:rPr>
        <w:t xml:space="preserve">Duberstein </w:t>
      </w:r>
      <w:r w:rsidR="00B67A09">
        <w:rPr>
          <w:sz w:val="20"/>
          <w:szCs w:val="20"/>
        </w:rPr>
        <w:t xml:space="preserve">is still good law for </w:t>
      </w:r>
      <w:r w:rsidR="00752D4E">
        <w:rPr>
          <w:sz w:val="20"/>
          <w:szCs w:val="20"/>
        </w:rPr>
        <w:t xml:space="preserve">gifts from </w:t>
      </w:r>
      <w:r w:rsidR="00B67A09">
        <w:rPr>
          <w:sz w:val="20"/>
          <w:szCs w:val="20"/>
        </w:rPr>
        <w:t>co</w:t>
      </w:r>
      <w:r w:rsidR="00752D4E">
        <w:rPr>
          <w:sz w:val="20"/>
          <w:szCs w:val="20"/>
        </w:rPr>
        <w:t xml:space="preserve">mpanies to </w:t>
      </w:r>
      <w:r w:rsidR="00B67A09">
        <w:rPr>
          <w:sz w:val="20"/>
          <w:szCs w:val="20"/>
        </w:rPr>
        <w:t>non-employees</w:t>
      </w:r>
    </w:p>
    <w:p w14:paraId="68069776" w14:textId="74D77AFC" w:rsidR="00D577ED" w:rsidRDefault="00D577ED" w:rsidP="006F3F0F">
      <w:pPr>
        <w:pStyle w:val="ListParagraph"/>
        <w:numPr>
          <w:ilvl w:val="0"/>
          <w:numId w:val="7"/>
        </w:numPr>
        <w:rPr>
          <w:sz w:val="20"/>
          <w:szCs w:val="20"/>
        </w:rPr>
      </w:pPr>
      <w:r>
        <w:rPr>
          <w:sz w:val="20"/>
          <w:szCs w:val="20"/>
        </w:rPr>
        <w:t>The basis of property acquired by gift is the basis it had under the last non-donative owner</w:t>
      </w:r>
    </w:p>
    <w:p w14:paraId="09960C76" w14:textId="47C804CD" w:rsidR="00D577ED" w:rsidRDefault="00951C4B" w:rsidP="006F3F0F">
      <w:pPr>
        <w:pStyle w:val="ListParagraph"/>
        <w:numPr>
          <w:ilvl w:val="1"/>
          <w:numId w:val="7"/>
        </w:numPr>
        <w:rPr>
          <w:sz w:val="20"/>
          <w:szCs w:val="20"/>
        </w:rPr>
      </w:pPr>
      <w:r>
        <w:rPr>
          <w:sz w:val="20"/>
          <w:szCs w:val="20"/>
        </w:rPr>
        <w:lastRenderedPageBreak/>
        <w:t xml:space="preserve">However, if </w:t>
      </w:r>
      <w:r w:rsidR="00627393">
        <w:rPr>
          <w:sz w:val="20"/>
          <w:szCs w:val="20"/>
        </w:rPr>
        <w:t>basis is greater than FMV at</w:t>
      </w:r>
      <w:r w:rsidR="00D577ED">
        <w:rPr>
          <w:sz w:val="20"/>
          <w:szCs w:val="20"/>
        </w:rPr>
        <w:t xml:space="preserve"> time of the gift, then for the purpose of det</w:t>
      </w:r>
      <w:r w:rsidR="00627393">
        <w:rPr>
          <w:sz w:val="20"/>
          <w:szCs w:val="20"/>
        </w:rPr>
        <w:t>ermining loss the basis is</w:t>
      </w:r>
      <w:r w:rsidR="00D577ED">
        <w:rPr>
          <w:sz w:val="20"/>
          <w:szCs w:val="20"/>
        </w:rPr>
        <w:t xml:space="preserve"> FMV - §1015(a)</w:t>
      </w:r>
    </w:p>
    <w:p w14:paraId="21CD8BE3" w14:textId="4261B2F0" w:rsidR="00F12A2F" w:rsidRDefault="00627393" w:rsidP="006F3F0F">
      <w:pPr>
        <w:pStyle w:val="ListParagraph"/>
        <w:numPr>
          <w:ilvl w:val="2"/>
          <w:numId w:val="7"/>
        </w:numPr>
        <w:rPr>
          <w:sz w:val="20"/>
          <w:szCs w:val="20"/>
        </w:rPr>
      </w:pPr>
      <w:r>
        <w:rPr>
          <w:sz w:val="20"/>
          <w:szCs w:val="20"/>
        </w:rPr>
        <w:t>Prevents donor from gifting tax loss to</w:t>
      </w:r>
      <w:r w:rsidR="00F12A2F">
        <w:rPr>
          <w:sz w:val="20"/>
          <w:szCs w:val="20"/>
        </w:rPr>
        <w:t xml:space="preserve"> donee – gains m</w:t>
      </w:r>
      <w:r w:rsidR="00DB1982">
        <w:rPr>
          <w:sz w:val="20"/>
          <w:szCs w:val="20"/>
        </w:rPr>
        <w:t>ay be shifted, but losses may not</w:t>
      </w:r>
    </w:p>
    <w:p w14:paraId="7125B0AD" w14:textId="144C1330" w:rsidR="00992E62" w:rsidRDefault="00992E62" w:rsidP="006F3F0F">
      <w:pPr>
        <w:pStyle w:val="ListParagraph"/>
        <w:numPr>
          <w:ilvl w:val="1"/>
          <w:numId w:val="7"/>
        </w:numPr>
        <w:rPr>
          <w:sz w:val="20"/>
          <w:szCs w:val="20"/>
        </w:rPr>
      </w:pPr>
      <w:r>
        <w:rPr>
          <w:sz w:val="20"/>
          <w:szCs w:val="20"/>
        </w:rPr>
        <w:t>When a transfer of property is partl</w:t>
      </w:r>
      <w:r w:rsidR="00627393">
        <w:rPr>
          <w:sz w:val="20"/>
          <w:szCs w:val="20"/>
        </w:rPr>
        <w:t xml:space="preserve">y a sale and partly a gift, </w:t>
      </w:r>
      <w:r>
        <w:rPr>
          <w:sz w:val="20"/>
          <w:szCs w:val="20"/>
        </w:rPr>
        <w:t>transferor has a gain to the extent that his amount realized is greater than his adjusted basis; no loss is possible</w:t>
      </w:r>
      <w:r w:rsidR="00E52268">
        <w:rPr>
          <w:sz w:val="20"/>
          <w:szCs w:val="20"/>
        </w:rPr>
        <w:t xml:space="preserve"> – Reg. §1.1001-1(e)</w:t>
      </w:r>
    </w:p>
    <w:p w14:paraId="0A85EAAB" w14:textId="1348098A" w:rsidR="001F44DA" w:rsidRDefault="00F12A2F" w:rsidP="001F44DA">
      <w:pPr>
        <w:pStyle w:val="ListParagraph"/>
        <w:numPr>
          <w:ilvl w:val="2"/>
          <w:numId w:val="7"/>
        </w:numPr>
        <w:rPr>
          <w:sz w:val="20"/>
          <w:szCs w:val="20"/>
        </w:rPr>
      </w:pPr>
      <w:r>
        <w:rPr>
          <w:sz w:val="20"/>
          <w:szCs w:val="20"/>
        </w:rPr>
        <w:t>However, if the transfer is to a nontaxable entity, ratio of amount realized to FMV determines new adjusted basis</w:t>
      </w:r>
      <w:r w:rsidR="00362E4A">
        <w:rPr>
          <w:sz w:val="20"/>
          <w:szCs w:val="20"/>
        </w:rPr>
        <w:t xml:space="preserve"> – sale for 50% of FMV leads to a 50% reduction of basis</w:t>
      </w:r>
    </w:p>
    <w:p w14:paraId="4DA2C0FC" w14:textId="45E7CDB2" w:rsidR="0000550B" w:rsidRDefault="0000550B" w:rsidP="0000550B">
      <w:pPr>
        <w:pStyle w:val="ListParagraph"/>
        <w:numPr>
          <w:ilvl w:val="0"/>
          <w:numId w:val="7"/>
        </w:numPr>
        <w:rPr>
          <w:sz w:val="20"/>
          <w:szCs w:val="20"/>
        </w:rPr>
      </w:pPr>
      <w:r>
        <w:rPr>
          <w:sz w:val="20"/>
          <w:szCs w:val="20"/>
        </w:rPr>
        <w:t xml:space="preserve">Gross income </w:t>
      </w:r>
      <w:r>
        <w:rPr>
          <w:b/>
          <w:sz w:val="20"/>
          <w:szCs w:val="20"/>
        </w:rPr>
        <w:t xml:space="preserve">includes </w:t>
      </w:r>
      <w:r>
        <w:rPr>
          <w:sz w:val="20"/>
          <w:szCs w:val="20"/>
        </w:rPr>
        <w:t xml:space="preserve">prizes and awards </w:t>
      </w:r>
      <w:r>
        <w:rPr>
          <w:b/>
          <w:sz w:val="20"/>
          <w:szCs w:val="20"/>
        </w:rPr>
        <w:t>unless</w:t>
      </w:r>
      <w:r>
        <w:rPr>
          <w:sz w:val="20"/>
          <w:szCs w:val="20"/>
        </w:rPr>
        <w:t>: §74(a)</w:t>
      </w:r>
    </w:p>
    <w:p w14:paraId="56009FC9" w14:textId="77777777" w:rsidR="0000550B" w:rsidRDefault="0000550B" w:rsidP="0000550B">
      <w:pPr>
        <w:pStyle w:val="ListParagraph"/>
        <w:numPr>
          <w:ilvl w:val="1"/>
          <w:numId w:val="7"/>
        </w:numPr>
        <w:rPr>
          <w:sz w:val="20"/>
          <w:szCs w:val="20"/>
        </w:rPr>
      </w:pPr>
      <w:r>
        <w:rPr>
          <w:sz w:val="20"/>
          <w:szCs w:val="20"/>
        </w:rPr>
        <w:t>Prize is for religious, charitable, scientific, educational, artistic, literary or civic achievement;</w:t>
      </w:r>
    </w:p>
    <w:p w14:paraId="6495F963" w14:textId="77777777" w:rsidR="0000550B" w:rsidRDefault="0000550B" w:rsidP="0000550B">
      <w:pPr>
        <w:pStyle w:val="ListParagraph"/>
        <w:numPr>
          <w:ilvl w:val="1"/>
          <w:numId w:val="7"/>
        </w:numPr>
        <w:rPr>
          <w:sz w:val="20"/>
          <w:szCs w:val="20"/>
        </w:rPr>
      </w:pPr>
      <w:r>
        <w:rPr>
          <w:sz w:val="20"/>
          <w:szCs w:val="20"/>
        </w:rPr>
        <w:t>Recipient was selected without any action to “enter”</w:t>
      </w:r>
    </w:p>
    <w:p w14:paraId="68CAF157" w14:textId="7AD1F9F7" w:rsidR="0000550B" w:rsidRDefault="0000550B" w:rsidP="0000550B">
      <w:pPr>
        <w:pStyle w:val="ListParagraph"/>
        <w:numPr>
          <w:ilvl w:val="1"/>
          <w:numId w:val="7"/>
        </w:numPr>
        <w:rPr>
          <w:sz w:val="20"/>
          <w:szCs w:val="20"/>
        </w:rPr>
      </w:pPr>
      <w:r>
        <w:rPr>
          <w:sz w:val="20"/>
          <w:szCs w:val="20"/>
        </w:rPr>
        <w:t>Recipient is not required to render substantial future service as a condition to receiving the prize</w:t>
      </w:r>
    </w:p>
    <w:p w14:paraId="646F72A3" w14:textId="16FCC3AC" w:rsidR="0000550B" w:rsidRDefault="0000550B" w:rsidP="0000550B">
      <w:pPr>
        <w:pStyle w:val="ListParagraph"/>
        <w:numPr>
          <w:ilvl w:val="1"/>
          <w:numId w:val="7"/>
        </w:numPr>
        <w:rPr>
          <w:sz w:val="20"/>
          <w:szCs w:val="20"/>
        </w:rPr>
      </w:pPr>
      <w:r>
        <w:rPr>
          <w:sz w:val="20"/>
          <w:szCs w:val="20"/>
        </w:rPr>
        <w:t>Prize is donated to a governmental unit or charitable organization</w:t>
      </w:r>
    </w:p>
    <w:p w14:paraId="7559D221" w14:textId="5EE9AD25" w:rsidR="00374CFD" w:rsidRDefault="00374CFD" w:rsidP="00627393">
      <w:pPr>
        <w:pStyle w:val="ListParagraph"/>
        <w:numPr>
          <w:ilvl w:val="2"/>
          <w:numId w:val="7"/>
        </w:numPr>
        <w:rPr>
          <w:sz w:val="20"/>
          <w:szCs w:val="20"/>
        </w:rPr>
      </w:pPr>
      <w:r>
        <w:rPr>
          <w:sz w:val="20"/>
          <w:szCs w:val="20"/>
        </w:rPr>
        <w:t>This l</w:t>
      </w:r>
      <w:r w:rsidR="00627393">
        <w:rPr>
          <w:sz w:val="20"/>
          <w:szCs w:val="20"/>
        </w:rPr>
        <w:t>oophole can be used to avoid</w:t>
      </w:r>
      <w:r>
        <w:rPr>
          <w:sz w:val="20"/>
          <w:szCs w:val="20"/>
        </w:rPr>
        <w:t xml:space="preserve"> limits on cha</w:t>
      </w:r>
      <w:r w:rsidR="00627393">
        <w:rPr>
          <w:sz w:val="20"/>
          <w:szCs w:val="20"/>
        </w:rPr>
        <w:t>ritable deductions by getting it</w:t>
      </w:r>
      <w:r>
        <w:rPr>
          <w:sz w:val="20"/>
          <w:szCs w:val="20"/>
        </w:rPr>
        <w:t xml:space="preserve"> excluded from income in the first place</w:t>
      </w:r>
    </w:p>
    <w:p w14:paraId="1CB8FF7D" w14:textId="79640CBF" w:rsidR="0099194D" w:rsidRDefault="0099194D" w:rsidP="0099194D">
      <w:pPr>
        <w:pStyle w:val="ListParagraph"/>
        <w:numPr>
          <w:ilvl w:val="0"/>
          <w:numId w:val="7"/>
        </w:numPr>
        <w:rPr>
          <w:sz w:val="20"/>
          <w:szCs w:val="20"/>
        </w:rPr>
      </w:pPr>
      <w:r>
        <w:rPr>
          <w:sz w:val="20"/>
          <w:szCs w:val="20"/>
        </w:rPr>
        <w:t xml:space="preserve">Gross income </w:t>
      </w:r>
      <w:r>
        <w:rPr>
          <w:b/>
          <w:sz w:val="20"/>
          <w:szCs w:val="20"/>
        </w:rPr>
        <w:t xml:space="preserve">does not </w:t>
      </w:r>
      <w:r>
        <w:rPr>
          <w:sz w:val="20"/>
          <w:szCs w:val="20"/>
        </w:rPr>
        <w:t xml:space="preserve">include qualified scholarships - §117(a) </w:t>
      </w:r>
    </w:p>
    <w:p w14:paraId="0E49E8EF" w14:textId="48489419" w:rsidR="0099194D" w:rsidRDefault="00627393" w:rsidP="0099194D">
      <w:pPr>
        <w:pStyle w:val="ListParagraph"/>
        <w:numPr>
          <w:ilvl w:val="1"/>
          <w:numId w:val="7"/>
        </w:numPr>
        <w:rPr>
          <w:sz w:val="20"/>
          <w:szCs w:val="20"/>
        </w:rPr>
      </w:pPr>
      <w:r>
        <w:rPr>
          <w:sz w:val="20"/>
          <w:szCs w:val="20"/>
        </w:rPr>
        <w:t xml:space="preserve">Employers may </w:t>
      </w:r>
      <w:r w:rsidR="0099194D">
        <w:rPr>
          <w:sz w:val="20"/>
          <w:szCs w:val="20"/>
        </w:rPr>
        <w:t>provide educational</w:t>
      </w:r>
      <w:r>
        <w:rPr>
          <w:sz w:val="20"/>
          <w:szCs w:val="20"/>
        </w:rPr>
        <w:t xml:space="preserve"> assistance up to $5,250 </w:t>
      </w:r>
      <w:r w:rsidR="0099194D">
        <w:rPr>
          <w:b/>
          <w:sz w:val="20"/>
          <w:szCs w:val="20"/>
        </w:rPr>
        <w:t xml:space="preserve">not included </w:t>
      </w:r>
      <w:r>
        <w:rPr>
          <w:sz w:val="20"/>
          <w:szCs w:val="20"/>
        </w:rPr>
        <w:t xml:space="preserve">in </w:t>
      </w:r>
      <w:r w:rsidR="0099194D">
        <w:rPr>
          <w:sz w:val="20"/>
          <w:szCs w:val="20"/>
        </w:rPr>
        <w:t>income - §127(a)</w:t>
      </w:r>
    </w:p>
    <w:p w14:paraId="76194698" w14:textId="2E35275D" w:rsidR="00C92465" w:rsidRDefault="00C92465" w:rsidP="00C92465">
      <w:pPr>
        <w:pStyle w:val="ListParagraph"/>
        <w:numPr>
          <w:ilvl w:val="2"/>
          <w:numId w:val="7"/>
        </w:numPr>
        <w:rPr>
          <w:sz w:val="20"/>
          <w:szCs w:val="20"/>
        </w:rPr>
      </w:pPr>
      <w:r>
        <w:rPr>
          <w:sz w:val="20"/>
          <w:szCs w:val="20"/>
        </w:rPr>
        <w:t xml:space="preserve">Is this fair? Borrowers and working students pay tuition out of after-tax dollars…why are scholarships given preferential treatment? </w:t>
      </w:r>
    </w:p>
    <w:p w14:paraId="4833DF1F" w14:textId="14D61305" w:rsidR="00C92465" w:rsidRDefault="00C92465" w:rsidP="00C92465">
      <w:pPr>
        <w:pStyle w:val="ListParagraph"/>
        <w:numPr>
          <w:ilvl w:val="3"/>
          <w:numId w:val="7"/>
        </w:numPr>
        <w:rPr>
          <w:sz w:val="20"/>
          <w:szCs w:val="20"/>
        </w:rPr>
      </w:pPr>
      <w:r>
        <w:rPr>
          <w:sz w:val="20"/>
          <w:szCs w:val="20"/>
        </w:rPr>
        <w:t>Possible solution is increasing basis for borrowers and working students</w:t>
      </w:r>
    </w:p>
    <w:p w14:paraId="658FBF65" w14:textId="7463DEF5" w:rsidR="00C92465" w:rsidRDefault="00C92465" w:rsidP="002E0A27">
      <w:pPr>
        <w:pStyle w:val="ListParagraph"/>
        <w:numPr>
          <w:ilvl w:val="2"/>
          <w:numId w:val="7"/>
        </w:numPr>
        <w:rPr>
          <w:sz w:val="20"/>
          <w:szCs w:val="20"/>
        </w:rPr>
      </w:pPr>
      <w:r>
        <w:rPr>
          <w:sz w:val="20"/>
          <w:szCs w:val="20"/>
        </w:rPr>
        <w:t>Example of social interference through tax policy – incenti</w:t>
      </w:r>
      <w:r w:rsidR="00627393">
        <w:rPr>
          <w:sz w:val="20"/>
          <w:szCs w:val="20"/>
        </w:rPr>
        <w:t xml:space="preserve">vize “beneficial” </w:t>
      </w:r>
      <w:proofErr w:type="spellStart"/>
      <w:r w:rsidR="00627393">
        <w:rPr>
          <w:sz w:val="20"/>
          <w:szCs w:val="20"/>
        </w:rPr>
        <w:t>activites</w:t>
      </w:r>
      <w:proofErr w:type="spellEnd"/>
      <w:r>
        <w:rPr>
          <w:sz w:val="20"/>
          <w:szCs w:val="20"/>
        </w:rPr>
        <w:t xml:space="preserve"> </w:t>
      </w:r>
    </w:p>
    <w:p w14:paraId="65AC490F" w14:textId="46F255DF" w:rsidR="00E720EB" w:rsidRPr="005A0B98" w:rsidRDefault="00552CEF" w:rsidP="00C92465">
      <w:pPr>
        <w:pStyle w:val="ListParagraph"/>
        <w:numPr>
          <w:ilvl w:val="0"/>
          <w:numId w:val="7"/>
        </w:numPr>
        <w:rPr>
          <w:sz w:val="20"/>
          <w:szCs w:val="20"/>
        </w:rPr>
      </w:pPr>
      <w:r>
        <w:rPr>
          <w:sz w:val="20"/>
          <w:szCs w:val="20"/>
        </w:rPr>
        <w:t xml:space="preserve">Note what SCOTUS did in </w:t>
      </w:r>
      <w:r>
        <w:rPr>
          <w:i/>
          <w:sz w:val="20"/>
          <w:szCs w:val="20"/>
        </w:rPr>
        <w:t>Kirby Lumber</w:t>
      </w:r>
      <w:r>
        <w:t xml:space="preserve"> –</w:t>
      </w:r>
      <w:r>
        <w:rPr>
          <w:sz w:val="20"/>
        </w:rPr>
        <w:t xml:space="preserve"> Amount Realized –</w:t>
      </w:r>
      <w:r w:rsidR="00092A69">
        <w:rPr>
          <w:sz w:val="20"/>
        </w:rPr>
        <w:t xml:space="preserve"> Liability Basis</w:t>
      </w:r>
      <w:r>
        <w:rPr>
          <w:sz w:val="20"/>
        </w:rPr>
        <w:t xml:space="preserve"> = Taxable Income</w:t>
      </w:r>
    </w:p>
    <w:p w14:paraId="7187D22E" w14:textId="0B7974F1" w:rsidR="006E0CCE" w:rsidRPr="006E0CCE" w:rsidRDefault="006E0CCE" w:rsidP="006E0CCE">
      <w:pPr>
        <w:pStyle w:val="ListParagraph"/>
        <w:numPr>
          <w:ilvl w:val="1"/>
          <w:numId w:val="7"/>
        </w:numPr>
        <w:rPr>
          <w:sz w:val="20"/>
          <w:szCs w:val="20"/>
        </w:rPr>
      </w:pPr>
      <w:r>
        <w:rPr>
          <w:sz w:val="20"/>
          <w:szCs w:val="20"/>
        </w:rPr>
        <w:t xml:space="preserve">Discharge of indebtedness is only taxable if there is a net gain – </w:t>
      </w:r>
      <w:r>
        <w:rPr>
          <w:i/>
          <w:sz w:val="20"/>
          <w:szCs w:val="20"/>
        </w:rPr>
        <w:t xml:space="preserve">Deadbeat Dad </w:t>
      </w:r>
      <w:r>
        <w:rPr>
          <w:sz w:val="20"/>
          <w:szCs w:val="20"/>
        </w:rPr>
        <w:t>hypo (immediately after child support order, net worth decreases by $100k – immediately after statute of limitations, net worth goes back to original amount, so no taxable gain)</w:t>
      </w:r>
    </w:p>
    <w:p w14:paraId="6E985C28" w14:textId="5559CFDA" w:rsidR="00173026" w:rsidRDefault="005A0B98" w:rsidP="00173026">
      <w:pPr>
        <w:pStyle w:val="ListParagraph"/>
        <w:numPr>
          <w:ilvl w:val="1"/>
          <w:numId w:val="7"/>
        </w:numPr>
        <w:rPr>
          <w:sz w:val="20"/>
          <w:szCs w:val="20"/>
        </w:rPr>
      </w:pPr>
      <w:r>
        <w:rPr>
          <w:sz w:val="20"/>
        </w:rPr>
        <w:t xml:space="preserve">A number of exceptions to the </w:t>
      </w:r>
      <w:r>
        <w:rPr>
          <w:i/>
          <w:sz w:val="20"/>
        </w:rPr>
        <w:t xml:space="preserve">Kirby Lumber </w:t>
      </w:r>
      <w:r>
        <w:rPr>
          <w:sz w:val="20"/>
        </w:rPr>
        <w:t>rule in §</w:t>
      </w:r>
      <w:r>
        <w:rPr>
          <w:sz w:val="20"/>
          <w:szCs w:val="20"/>
        </w:rPr>
        <w:t>108</w:t>
      </w:r>
      <w:r w:rsidR="00173026">
        <w:rPr>
          <w:sz w:val="20"/>
          <w:szCs w:val="20"/>
        </w:rPr>
        <w:t xml:space="preserve"> – most notably, government simply prepares to take tax later by decreasing basis </w:t>
      </w:r>
      <w:r w:rsidR="00DA4FD4">
        <w:rPr>
          <w:sz w:val="20"/>
          <w:szCs w:val="20"/>
        </w:rPr>
        <w:t xml:space="preserve">(not below 0) </w:t>
      </w:r>
      <w:r w:rsidR="00173026">
        <w:rPr>
          <w:sz w:val="20"/>
          <w:szCs w:val="20"/>
        </w:rPr>
        <w:t>in taxpayer’s remaining property</w:t>
      </w:r>
    </w:p>
    <w:p w14:paraId="4B935106" w14:textId="33855A4C" w:rsidR="00A05CE6" w:rsidRDefault="00A05CE6" w:rsidP="00A05CE6">
      <w:pPr>
        <w:pStyle w:val="ListParagraph"/>
        <w:numPr>
          <w:ilvl w:val="2"/>
          <w:numId w:val="7"/>
        </w:numPr>
        <w:rPr>
          <w:sz w:val="20"/>
          <w:szCs w:val="20"/>
        </w:rPr>
      </w:pPr>
      <w:r>
        <w:rPr>
          <w:sz w:val="20"/>
          <w:szCs w:val="20"/>
        </w:rPr>
        <w:t>Any discharge in excess of amount of insolvency is taxed - §108(a)(3)</w:t>
      </w:r>
    </w:p>
    <w:p w14:paraId="22A3ACD2" w14:textId="719871C4" w:rsidR="00173026" w:rsidRDefault="00173026" w:rsidP="00173026">
      <w:pPr>
        <w:pStyle w:val="ListParagraph"/>
        <w:numPr>
          <w:ilvl w:val="2"/>
          <w:numId w:val="7"/>
        </w:numPr>
        <w:rPr>
          <w:sz w:val="20"/>
          <w:szCs w:val="20"/>
        </w:rPr>
      </w:pPr>
      <w:r>
        <w:rPr>
          <w:sz w:val="20"/>
          <w:szCs w:val="20"/>
        </w:rPr>
        <w:t>Basis reduction occurs in the year after the year in which discharge occurs - §1017(a)</w:t>
      </w:r>
    </w:p>
    <w:p w14:paraId="64476980" w14:textId="4EED28B3" w:rsidR="00590F82" w:rsidRDefault="00590F82" w:rsidP="00590F82">
      <w:pPr>
        <w:pStyle w:val="ListParagraph"/>
        <w:numPr>
          <w:ilvl w:val="1"/>
          <w:numId w:val="7"/>
        </w:numPr>
        <w:rPr>
          <w:sz w:val="20"/>
          <w:szCs w:val="20"/>
        </w:rPr>
      </w:pPr>
      <w:r>
        <w:rPr>
          <w:sz w:val="20"/>
          <w:szCs w:val="20"/>
        </w:rPr>
        <w:t xml:space="preserve">Gross income </w:t>
      </w:r>
      <w:r>
        <w:rPr>
          <w:b/>
          <w:sz w:val="20"/>
          <w:szCs w:val="20"/>
        </w:rPr>
        <w:t xml:space="preserve">does not </w:t>
      </w:r>
      <w:r>
        <w:rPr>
          <w:sz w:val="20"/>
          <w:szCs w:val="20"/>
        </w:rPr>
        <w:t>include any amount of student debt that is forgiven by reason of participation in an educational institution’s program to encourage students to take jobs within a governmental unit or a charitable organization</w:t>
      </w:r>
      <w:r w:rsidR="00E10C2B">
        <w:rPr>
          <w:sz w:val="20"/>
          <w:szCs w:val="20"/>
        </w:rPr>
        <w:t xml:space="preserve"> - §108(f)</w:t>
      </w:r>
    </w:p>
    <w:p w14:paraId="5E792FAB" w14:textId="33482AF4" w:rsidR="00590F82" w:rsidRDefault="00590F82" w:rsidP="00590F82">
      <w:pPr>
        <w:pStyle w:val="ListParagraph"/>
        <w:numPr>
          <w:ilvl w:val="2"/>
          <w:numId w:val="7"/>
        </w:numPr>
        <w:rPr>
          <w:sz w:val="20"/>
          <w:szCs w:val="20"/>
        </w:rPr>
      </w:pPr>
      <w:r>
        <w:rPr>
          <w:sz w:val="20"/>
          <w:szCs w:val="20"/>
        </w:rPr>
        <w:t>LIPP does not fall into this definition, since it provides compensation for low-paying private sector jobs! HLS must therefore create two programs – one where indebtedness discharge is not taxed, and another where HLS grosses up to help graduates pay for the taxes they will incur because of their debt forgiveness</w:t>
      </w:r>
    </w:p>
    <w:p w14:paraId="72A4A8E1" w14:textId="4856C4E5" w:rsidR="003D0661" w:rsidRDefault="003D0661" w:rsidP="003D0661">
      <w:pPr>
        <w:pStyle w:val="ListParagraph"/>
        <w:numPr>
          <w:ilvl w:val="0"/>
          <w:numId w:val="7"/>
        </w:numPr>
        <w:rPr>
          <w:sz w:val="20"/>
          <w:szCs w:val="20"/>
        </w:rPr>
      </w:pPr>
      <w:r>
        <w:rPr>
          <w:sz w:val="20"/>
          <w:szCs w:val="20"/>
        </w:rPr>
        <w:t>Gambli</w:t>
      </w:r>
      <w:r w:rsidR="002D1C38">
        <w:rPr>
          <w:sz w:val="20"/>
          <w:szCs w:val="20"/>
        </w:rPr>
        <w:t xml:space="preserve">ng loans are income – credit is </w:t>
      </w:r>
      <w:r>
        <w:rPr>
          <w:sz w:val="20"/>
          <w:szCs w:val="20"/>
        </w:rPr>
        <w:t>exten</w:t>
      </w:r>
      <w:r w:rsidR="002D1C38">
        <w:rPr>
          <w:sz w:val="20"/>
          <w:szCs w:val="20"/>
        </w:rPr>
        <w:t>ded to provide “opportunity to gamble” –</w:t>
      </w:r>
      <w:r>
        <w:rPr>
          <w:sz w:val="20"/>
          <w:szCs w:val="20"/>
        </w:rPr>
        <w:t xml:space="preserve"> a valuable asset</w:t>
      </w:r>
    </w:p>
    <w:p w14:paraId="2A2DBAE9" w14:textId="2167E2FE" w:rsidR="00DA5C23" w:rsidRDefault="002D1C38" w:rsidP="00DA5C23">
      <w:pPr>
        <w:pStyle w:val="ListParagraph"/>
        <w:numPr>
          <w:ilvl w:val="1"/>
          <w:numId w:val="7"/>
        </w:numPr>
        <w:rPr>
          <w:sz w:val="20"/>
          <w:szCs w:val="20"/>
        </w:rPr>
      </w:pPr>
      <w:r>
        <w:rPr>
          <w:sz w:val="20"/>
          <w:szCs w:val="20"/>
        </w:rPr>
        <w:t xml:space="preserve">However, </w:t>
      </w:r>
      <w:r w:rsidR="00DA5C23">
        <w:rPr>
          <w:sz w:val="20"/>
          <w:szCs w:val="20"/>
        </w:rPr>
        <w:t xml:space="preserve">opportunity to gamble is </w:t>
      </w:r>
      <w:r w:rsidR="00DA5C23">
        <w:rPr>
          <w:i/>
          <w:sz w:val="20"/>
          <w:szCs w:val="20"/>
        </w:rPr>
        <w:t xml:space="preserve">not </w:t>
      </w:r>
      <w:r>
        <w:rPr>
          <w:sz w:val="20"/>
          <w:szCs w:val="20"/>
        </w:rPr>
        <w:t>property for</w:t>
      </w:r>
      <w:r w:rsidR="00DA5C23">
        <w:rPr>
          <w:sz w:val="20"/>
          <w:szCs w:val="20"/>
        </w:rPr>
        <w:t xml:space="preserve"> purchase price reduction </w:t>
      </w:r>
      <w:r>
        <w:rPr>
          <w:sz w:val="20"/>
          <w:szCs w:val="20"/>
        </w:rPr>
        <w:t>of</w:t>
      </w:r>
      <w:r w:rsidR="00DA5C23">
        <w:rPr>
          <w:sz w:val="20"/>
          <w:szCs w:val="20"/>
        </w:rPr>
        <w:t xml:space="preserve"> §108(e)(5)</w:t>
      </w:r>
    </w:p>
    <w:p w14:paraId="7AC048EC" w14:textId="2C901113" w:rsidR="003D0661" w:rsidRDefault="003D0661" w:rsidP="003D0661">
      <w:pPr>
        <w:pStyle w:val="ListParagraph"/>
        <w:numPr>
          <w:ilvl w:val="1"/>
          <w:numId w:val="7"/>
        </w:numPr>
        <w:rPr>
          <w:sz w:val="20"/>
          <w:szCs w:val="20"/>
        </w:rPr>
      </w:pPr>
      <w:r>
        <w:rPr>
          <w:sz w:val="20"/>
          <w:szCs w:val="20"/>
        </w:rPr>
        <w:t>Legal enforceability of an obligation to repay is not determinative of taxability</w:t>
      </w:r>
      <w:r w:rsidR="00AF17DC">
        <w:rPr>
          <w:sz w:val="20"/>
          <w:szCs w:val="20"/>
        </w:rPr>
        <w:t xml:space="preserve"> – receipt of valuable consideration is</w:t>
      </w:r>
    </w:p>
    <w:p w14:paraId="01545CB8" w14:textId="2A277262" w:rsidR="003D0661" w:rsidRDefault="003D0661" w:rsidP="003D0661">
      <w:pPr>
        <w:pStyle w:val="ListParagraph"/>
        <w:numPr>
          <w:ilvl w:val="2"/>
          <w:numId w:val="7"/>
        </w:numPr>
        <w:rPr>
          <w:sz w:val="20"/>
          <w:szCs w:val="20"/>
        </w:rPr>
      </w:pPr>
      <w:r>
        <w:rPr>
          <w:sz w:val="20"/>
          <w:szCs w:val="20"/>
        </w:rPr>
        <w:t>However, under contested liability doctrine, the settlement amount becomes the assumed amount of the disputed debt</w:t>
      </w:r>
    </w:p>
    <w:p w14:paraId="465BDDF0" w14:textId="4ECDC9C6" w:rsidR="00761A25" w:rsidRDefault="00A86515" w:rsidP="00761A25">
      <w:pPr>
        <w:pStyle w:val="ListParagraph"/>
        <w:numPr>
          <w:ilvl w:val="1"/>
          <w:numId w:val="7"/>
        </w:numPr>
        <w:rPr>
          <w:sz w:val="20"/>
          <w:szCs w:val="20"/>
        </w:rPr>
      </w:pPr>
      <w:r>
        <w:rPr>
          <w:sz w:val="20"/>
          <w:szCs w:val="20"/>
        </w:rPr>
        <w:t>Gambling losses are only deductible to the extent of gains from gambling transactions - §165(d)</w:t>
      </w:r>
    </w:p>
    <w:p w14:paraId="47C27FC1" w14:textId="11153605" w:rsidR="00A86515" w:rsidRDefault="00A86515" w:rsidP="00A86515">
      <w:pPr>
        <w:pStyle w:val="ListParagraph"/>
        <w:numPr>
          <w:ilvl w:val="2"/>
          <w:numId w:val="7"/>
        </w:numPr>
        <w:rPr>
          <w:sz w:val="20"/>
          <w:szCs w:val="20"/>
        </w:rPr>
      </w:pPr>
      <w:r>
        <w:rPr>
          <w:sz w:val="20"/>
          <w:szCs w:val="20"/>
        </w:rPr>
        <w:t>Winnings might not be the only way to obtain taxable “gains?”</w:t>
      </w:r>
    </w:p>
    <w:p w14:paraId="75C62239" w14:textId="24D9A96E" w:rsidR="0063615F" w:rsidRDefault="0063615F" w:rsidP="00A86515">
      <w:pPr>
        <w:pStyle w:val="ListParagraph"/>
        <w:numPr>
          <w:ilvl w:val="2"/>
          <w:numId w:val="7"/>
        </w:numPr>
        <w:rPr>
          <w:sz w:val="20"/>
          <w:szCs w:val="20"/>
        </w:rPr>
      </w:pPr>
      <w:r>
        <w:rPr>
          <w:sz w:val="20"/>
          <w:szCs w:val="20"/>
        </w:rPr>
        <w:t xml:space="preserve">Gamblers cannot rely on the </w:t>
      </w:r>
      <w:r>
        <w:rPr>
          <w:i/>
          <w:sz w:val="20"/>
          <w:szCs w:val="20"/>
        </w:rPr>
        <w:t xml:space="preserve">Cohan </w:t>
      </w:r>
      <w:r>
        <w:rPr>
          <w:sz w:val="20"/>
          <w:szCs w:val="20"/>
        </w:rPr>
        <w:t>rule, allowing approximation of the expenses incurred to determine deductible losses</w:t>
      </w:r>
      <w:r w:rsidR="006B1AB4">
        <w:rPr>
          <w:sz w:val="20"/>
          <w:szCs w:val="20"/>
        </w:rPr>
        <w:t xml:space="preserve">, since </w:t>
      </w:r>
      <w:r w:rsidR="006C5CE5">
        <w:rPr>
          <w:sz w:val="20"/>
          <w:szCs w:val="20"/>
        </w:rPr>
        <w:t>§274 explicitly requires adequate reporting of entertainment expenses</w:t>
      </w:r>
    </w:p>
    <w:p w14:paraId="5581DE12" w14:textId="5A8D5C28" w:rsidR="00D67139" w:rsidRDefault="00D67139" w:rsidP="00D67139">
      <w:pPr>
        <w:pStyle w:val="ListParagraph"/>
        <w:numPr>
          <w:ilvl w:val="1"/>
          <w:numId w:val="7"/>
        </w:numPr>
        <w:rPr>
          <w:sz w:val="20"/>
          <w:szCs w:val="20"/>
        </w:rPr>
      </w:pPr>
      <w:r>
        <w:rPr>
          <w:sz w:val="20"/>
          <w:szCs w:val="20"/>
        </w:rPr>
        <w:t xml:space="preserve">Distinguished in </w:t>
      </w:r>
      <w:r>
        <w:rPr>
          <w:i/>
          <w:sz w:val="20"/>
          <w:szCs w:val="20"/>
        </w:rPr>
        <w:t xml:space="preserve">Collins </w:t>
      </w:r>
      <w:r>
        <w:rPr>
          <w:sz w:val="20"/>
          <w:szCs w:val="20"/>
        </w:rPr>
        <w:t>(employee granted himself credit to gamble on horse races)</w:t>
      </w:r>
    </w:p>
    <w:p w14:paraId="7C154FAE" w14:textId="4EA554D5" w:rsidR="00D67139" w:rsidRDefault="00D67139" w:rsidP="00D67139">
      <w:pPr>
        <w:pStyle w:val="ListParagraph"/>
        <w:numPr>
          <w:ilvl w:val="2"/>
          <w:numId w:val="7"/>
        </w:numPr>
        <w:rPr>
          <w:sz w:val="20"/>
          <w:szCs w:val="20"/>
        </w:rPr>
      </w:pPr>
      <w:r>
        <w:rPr>
          <w:sz w:val="20"/>
          <w:szCs w:val="20"/>
        </w:rPr>
        <w:t xml:space="preserve">The taxable gain is the misappropriation of the employer’s property. Once the money is stolen, what the thief </w:t>
      </w:r>
      <w:r>
        <w:rPr>
          <w:i/>
          <w:sz w:val="20"/>
          <w:szCs w:val="20"/>
        </w:rPr>
        <w:t xml:space="preserve">does </w:t>
      </w:r>
      <w:r>
        <w:rPr>
          <w:sz w:val="20"/>
          <w:szCs w:val="20"/>
        </w:rPr>
        <w:t>with the money is inconsequential to tax analysis</w:t>
      </w:r>
    </w:p>
    <w:p w14:paraId="7CD6DAE8" w14:textId="7B1F1C66" w:rsidR="003C2774" w:rsidRDefault="00E23568" w:rsidP="003C2774">
      <w:pPr>
        <w:pStyle w:val="ListParagraph"/>
        <w:numPr>
          <w:ilvl w:val="3"/>
          <w:numId w:val="7"/>
        </w:numPr>
        <w:rPr>
          <w:sz w:val="20"/>
          <w:szCs w:val="20"/>
        </w:rPr>
      </w:pPr>
      <w:r>
        <w:rPr>
          <w:sz w:val="20"/>
          <w:szCs w:val="20"/>
        </w:rPr>
        <w:lastRenderedPageBreak/>
        <w:t>A taxpayer has received income when she “acquires earnings, lawfully or unlawfully, without the consensual recognition, express or implied, of an obligation to repay and without restriction as to their disposition”</w:t>
      </w:r>
      <w:r w:rsidR="003C2774">
        <w:rPr>
          <w:sz w:val="20"/>
          <w:szCs w:val="20"/>
        </w:rPr>
        <w:t xml:space="preserve">– </w:t>
      </w:r>
      <w:r w:rsidR="003C2774">
        <w:rPr>
          <w:i/>
          <w:sz w:val="20"/>
          <w:szCs w:val="20"/>
        </w:rPr>
        <w:t xml:space="preserve">James </w:t>
      </w:r>
    </w:p>
    <w:p w14:paraId="1F678F20" w14:textId="2F8302FB" w:rsidR="00DF66FA" w:rsidRPr="00DF66FA" w:rsidRDefault="00DF66FA" w:rsidP="00DF66FA">
      <w:pPr>
        <w:pStyle w:val="ListParagraph"/>
        <w:numPr>
          <w:ilvl w:val="3"/>
          <w:numId w:val="7"/>
        </w:numPr>
        <w:rPr>
          <w:sz w:val="20"/>
          <w:szCs w:val="20"/>
        </w:rPr>
      </w:pPr>
      <w:r>
        <w:rPr>
          <w:sz w:val="20"/>
          <w:szCs w:val="20"/>
        </w:rPr>
        <w:t>Critical inquiry is whether obligation to repay was “consensually recognized” – if obligation was so recognized, it is likely only a non-taxable loan</w:t>
      </w:r>
    </w:p>
    <w:p w14:paraId="45905DCA" w14:textId="0A564BC5" w:rsidR="00D67139" w:rsidRDefault="00D67139" w:rsidP="00DF66FA">
      <w:pPr>
        <w:pStyle w:val="ListParagraph"/>
        <w:numPr>
          <w:ilvl w:val="4"/>
          <w:numId w:val="7"/>
        </w:numPr>
        <w:rPr>
          <w:sz w:val="20"/>
          <w:szCs w:val="20"/>
        </w:rPr>
      </w:pPr>
      <w:r>
        <w:rPr>
          <w:sz w:val="20"/>
          <w:szCs w:val="20"/>
        </w:rPr>
        <w:t>Does this lead to unfairness, since the taxation of stolen funds usually leads to decreased recovery for the victim?</w:t>
      </w:r>
    </w:p>
    <w:p w14:paraId="2BA56EE7" w14:textId="51825C17" w:rsidR="00891030" w:rsidRDefault="00891030" w:rsidP="00891030">
      <w:pPr>
        <w:pStyle w:val="Heading3"/>
        <w:rPr>
          <w:sz w:val="22"/>
        </w:rPr>
      </w:pPr>
      <w:r w:rsidRPr="00891030">
        <w:rPr>
          <w:sz w:val="22"/>
        </w:rPr>
        <w:t>Deductions</w:t>
      </w:r>
    </w:p>
    <w:p w14:paraId="0676E155" w14:textId="77777777" w:rsidR="005B3823" w:rsidRPr="00D41D0F" w:rsidRDefault="005B3823" w:rsidP="005B3823">
      <w:pPr>
        <w:pStyle w:val="ListParagraph"/>
        <w:numPr>
          <w:ilvl w:val="0"/>
          <w:numId w:val="8"/>
        </w:numPr>
      </w:pPr>
      <w:r>
        <w:rPr>
          <w:sz w:val="20"/>
        </w:rPr>
        <w:t xml:space="preserve">All ordinary and necessary business expenses are deductible - §162(a) </w:t>
      </w:r>
    </w:p>
    <w:p w14:paraId="19AF408A" w14:textId="48023198" w:rsidR="005B3823" w:rsidRPr="00AD366C" w:rsidRDefault="005B3823" w:rsidP="005B3823">
      <w:pPr>
        <w:pStyle w:val="ListParagraph"/>
        <w:numPr>
          <w:ilvl w:val="1"/>
          <w:numId w:val="8"/>
        </w:numPr>
      </w:pPr>
      <w:r>
        <w:rPr>
          <w:sz w:val="20"/>
        </w:rPr>
        <w:t>Ordinary and necessary expenses for the production of income, maintenance of property held for income or tax filing preparation are deductible - §212</w:t>
      </w:r>
    </w:p>
    <w:p w14:paraId="56DC9459" w14:textId="15131E09" w:rsidR="009A14D3" w:rsidRPr="009A14D3" w:rsidRDefault="002D1C38" w:rsidP="00B23577">
      <w:pPr>
        <w:pStyle w:val="ListParagraph"/>
        <w:numPr>
          <w:ilvl w:val="1"/>
          <w:numId w:val="8"/>
        </w:numPr>
      </w:pPr>
      <w:r>
        <w:rPr>
          <w:sz w:val="20"/>
        </w:rPr>
        <w:t xml:space="preserve">“Ordinary” and “necessary” are </w:t>
      </w:r>
      <w:r w:rsidR="00B23577">
        <w:rPr>
          <w:sz w:val="20"/>
        </w:rPr>
        <w:t>given meani</w:t>
      </w:r>
      <w:r>
        <w:rPr>
          <w:sz w:val="20"/>
        </w:rPr>
        <w:t>ng by</w:t>
      </w:r>
      <w:r w:rsidR="00B23577">
        <w:rPr>
          <w:sz w:val="20"/>
        </w:rPr>
        <w:t xml:space="preserve"> judge’s common experience - </w:t>
      </w:r>
      <w:r w:rsidR="00B23577">
        <w:rPr>
          <w:i/>
          <w:sz w:val="20"/>
        </w:rPr>
        <w:t xml:space="preserve">Welch </w:t>
      </w:r>
      <w:r>
        <w:rPr>
          <w:sz w:val="20"/>
        </w:rPr>
        <w:t>(payments made to please</w:t>
      </w:r>
      <w:r w:rsidR="00B23577">
        <w:rPr>
          <w:sz w:val="20"/>
        </w:rPr>
        <w:t xml:space="preserve"> former company’s creditors were capital expenditures to build brand, not expenses)</w:t>
      </w:r>
    </w:p>
    <w:p w14:paraId="21FE7452" w14:textId="20AA9A30" w:rsidR="00E52907" w:rsidRPr="00E52907" w:rsidRDefault="00E52907" w:rsidP="00E52907">
      <w:pPr>
        <w:pStyle w:val="ListParagraph"/>
        <w:numPr>
          <w:ilvl w:val="2"/>
          <w:numId w:val="8"/>
        </w:numPr>
      </w:pPr>
      <w:r>
        <w:rPr>
          <w:sz w:val="20"/>
        </w:rPr>
        <w:t xml:space="preserve">Goal is to tax only </w:t>
      </w:r>
      <w:r>
        <w:rPr>
          <w:i/>
          <w:sz w:val="20"/>
        </w:rPr>
        <w:t xml:space="preserve">net </w:t>
      </w:r>
      <w:r>
        <w:rPr>
          <w:sz w:val="20"/>
        </w:rPr>
        <w:t>income, not gross</w:t>
      </w:r>
    </w:p>
    <w:p w14:paraId="71B552B9" w14:textId="3E822627" w:rsidR="009A14D3" w:rsidRPr="009A14D3" w:rsidRDefault="009A14D3" w:rsidP="009A14D3">
      <w:pPr>
        <w:pStyle w:val="ListParagraph"/>
        <w:numPr>
          <w:ilvl w:val="2"/>
          <w:numId w:val="8"/>
        </w:numPr>
      </w:pPr>
      <w:r>
        <w:rPr>
          <w:sz w:val="20"/>
        </w:rPr>
        <w:t>N</w:t>
      </w:r>
      <w:r w:rsidR="00AD366C">
        <w:rPr>
          <w:sz w:val="20"/>
        </w:rPr>
        <w:t>ecessary only means “appropriate and helpful”</w:t>
      </w:r>
      <w:r>
        <w:rPr>
          <w:sz w:val="20"/>
        </w:rPr>
        <w:t xml:space="preserve"> </w:t>
      </w:r>
    </w:p>
    <w:p w14:paraId="2597F169" w14:textId="198C079C" w:rsidR="009A14D3" w:rsidRPr="00DE7355" w:rsidRDefault="009A14D3" w:rsidP="009A14D3">
      <w:pPr>
        <w:pStyle w:val="ListParagraph"/>
        <w:numPr>
          <w:ilvl w:val="2"/>
          <w:numId w:val="8"/>
        </w:numPr>
      </w:pPr>
      <w:r>
        <w:rPr>
          <w:sz w:val="20"/>
        </w:rPr>
        <w:t>O</w:t>
      </w:r>
      <w:r w:rsidR="00AD366C">
        <w:rPr>
          <w:sz w:val="20"/>
        </w:rPr>
        <w:t>rdinary means a normal and regular part of business (but might happen only once)</w:t>
      </w:r>
      <w:r>
        <w:rPr>
          <w:sz w:val="20"/>
        </w:rPr>
        <w:t xml:space="preserve"> – </w:t>
      </w:r>
      <w:r>
        <w:rPr>
          <w:i/>
          <w:sz w:val="20"/>
        </w:rPr>
        <w:t xml:space="preserve">Gilliam </w:t>
      </w:r>
      <w:r>
        <w:rPr>
          <w:sz w:val="20"/>
        </w:rPr>
        <w:t>(li</w:t>
      </w:r>
      <w:r w:rsidR="002D1C38">
        <w:rPr>
          <w:sz w:val="20"/>
        </w:rPr>
        <w:t>tigation expenses from</w:t>
      </w:r>
      <w:r>
        <w:rPr>
          <w:sz w:val="20"/>
        </w:rPr>
        <w:t xml:space="preserve"> </w:t>
      </w:r>
      <w:r w:rsidR="002D1C38">
        <w:rPr>
          <w:sz w:val="20"/>
        </w:rPr>
        <w:t>airplane fight during business trip not ordinary</w:t>
      </w:r>
      <w:r>
        <w:rPr>
          <w:sz w:val="20"/>
        </w:rPr>
        <w:t>)</w:t>
      </w:r>
    </w:p>
    <w:p w14:paraId="67F59A99" w14:textId="049DA98E" w:rsidR="00DE7355" w:rsidRPr="00257DC4" w:rsidRDefault="00DE7355" w:rsidP="00DE7355">
      <w:pPr>
        <w:pStyle w:val="ListParagraph"/>
        <w:numPr>
          <w:ilvl w:val="3"/>
          <w:numId w:val="8"/>
        </w:numPr>
      </w:pPr>
      <w:r>
        <w:rPr>
          <w:sz w:val="20"/>
        </w:rPr>
        <w:t>Litigation expenses’ deductibility turns on the origin of the claim – if claim originates from profit-seeking activity, it is deductible</w:t>
      </w:r>
    </w:p>
    <w:p w14:paraId="2791880A" w14:textId="14D75917" w:rsidR="00257DC4" w:rsidRPr="00E06A2C" w:rsidRDefault="00257DC4" w:rsidP="00257DC4">
      <w:pPr>
        <w:pStyle w:val="ListParagraph"/>
        <w:numPr>
          <w:ilvl w:val="3"/>
          <w:numId w:val="8"/>
        </w:numPr>
      </w:pPr>
      <w:r>
        <w:rPr>
          <w:sz w:val="20"/>
        </w:rPr>
        <w:t xml:space="preserve">Since “ordinary” is defined by reference to others in the industry, is there an unfair disadvantage to innovators? </w:t>
      </w:r>
    </w:p>
    <w:p w14:paraId="24A2979E" w14:textId="3BEE76E4" w:rsidR="00E06A2C" w:rsidRPr="00257DC4" w:rsidRDefault="00E06A2C" w:rsidP="00AD366C">
      <w:pPr>
        <w:pStyle w:val="ListParagraph"/>
        <w:numPr>
          <w:ilvl w:val="2"/>
          <w:numId w:val="8"/>
        </w:numPr>
      </w:pPr>
      <w:r>
        <w:rPr>
          <w:sz w:val="20"/>
        </w:rPr>
        <w:t>What work does “ordinary and necessary” do? Does this cut the number of deductible expenses, or simply express a presumption towards taxation?</w:t>
      </w:r>
    </w:p>
    <w:p w14:paraId="4653DE9F" w14:textId="6B0E18A6" w:rsidR="00257DC4" w:rsidRPr="0093702D" w:rsidRDefault="00257DC4" w:rsidP="00257DC4">
      <w:pPr>
        <w:pStyle w:val="ListParagraph"/>
        <w:numPr>
          <w:ilvl w:val="3"/>
          <w:numId w:val="8"/>
        </w:numPr>
      </w:pPr>
      <w:r>
        <w:rPr>
          <w:sz w:val="20"/>
        </w:rPr>
        <w:t>If there are “extraordinary business expenses”, doesn’t the ordinary/necessary restriction lead to double taxation?</w:t>
      </w:r>
      <w:r w:rsidRPr="00257DC4">
        <w:rPr>
          <w:sz w:val="20"/>
        </w:rPr>
        <w:t xml:space="preserve"> </w:t>
      </w:r>
    </w:p>
    <w:p w14:paraId="1113C7A2" w14:textId="32E4DC28" w:rsidR="005B3823" w:rsidRPr="005D30AB" w:rsidRDefault="005B3823" w:rsidP="0088140C">
      <w:pPr>
        <w:pStyle w:val="ListParagraph"/>
        <w:numPr>
          <w:ilvl w:val="0"/>
          <w:numId w:val="8"/>
        </w:numPr>
      </w:pPr>
      <w:r w:rsidRPr="005D30AB">
        <w:rPr>
          <w:sz w:val="20"/>
        </w:rPr>
        <w:t>No deduction is allowed for personal, living or family expenses - §262</w:t>
      </w:r>
    </w:p>
    <w:p w14:paraId="10DEBC6F" w14:textId="1AA8A3C2" w:rsidR="005D30AB" w:rsidRPr="00146186" w:rsidRDefault="005D30AB" w:rsidP="0088140C">
      <w:pPr>
        <w:pStyle w:val="ListParagraph"/>
        <w:numPr>
          <w:ilvl w:val="0"/>
          <w:numId w:val="8"/>
        </w:numPr>
      </w:pPr>
      <w:r>
        <w:rPr>
          <w:sz w:val="20"/>
        </w:rPr>
        <w:t>No deduction is allowed for any amount paid for new buildings or permanent improvements that increase a property’s value</w:t>
      </w:r>
      <w:r w:rsidR="007B24C4">
        <w:rPr>
          <w:sz w:val="20"/>
        </w:rPr>
        <w:t xml:space="preserve"> - §263</w:t>
      </w:r>
    </w:p>
    <w:p w14:paraId="529F04BE" w14:textId="7D68451F" w:rsidR="00146186" w:rsidRPr="005B3823" w:rsidRDefault="00146186" w:rsidP="00146186">
      <w:pPr>
        <w:pStyle w:val="ListParagraph"/>
        <w:numPr>
          <w:ilvl w:val="1"/>
          <w:numId w:val="8"/>
        </w:numPr>
      </w:pPr>
      <w:r>
        <w:rPr>
          <w:sz w:val="20"/>
        </w:rPr>
        <w:t xml:space="preserve">Although creation of a separate and distinct asset may be sufficient, it is not a necessary condition to require capitalization - </w:t>
      </w:r>
      <w:r>
        <w:rPr>
          <w:i/>
          <w:sz w:val="20"/>
        </w:rPr>
        <w:t>INDOPCO</w:t>
      </w:r>
    </w:p>
    <w:p w14:paraId="1993B7CE" w14:textId="7C8A41C2" w:rsidR="00891030" w:rsidRDefault="00891030" w:rsidP="00891030">
      <w:pPr>
        <w:pStyle w:val="Heading4"/>
        <w:rPr>
          <w:sz w:val="20"/>
          <w:szCs w:val="20"/>
        </w:rPr>
      </w:pPr>
      <w:r w:rsidRPr="00891030">
        <w:rPr>
          <w:sz w:val="20"/>
          <w:szCs w:val="20"/>
        </w:rPr>
        <w:t>Profit-Seeking Expenses</w:t>
      </w:r>
    </w:p>
    <w:p w14:paraId="5F09B107" w14:textId="3D9163E5" w:rsidR="00E06A2C" w:rsidRPr="005679FF" w:rsidRDefault="005679FF" w:rsidP="00E06A2C">
      <w:pPr>
        <w:pStyle w:val="ListParagraph"/>
        <w:numPr>
          <w:ilvl w:val="0"/>
          <w:numId w:val="9"/>
        </w:numPr>
      </w:pPr>
      <w:r>
        <w:rPr>
          <w:sz w:val="20"/>
        </w:rPr>
        <w:t>§199 grants a 9% tax rate deduction for selected industries that keep production in the U.S.</w:t>
      </w:r>
    </w:p>
    <w:p w14:paraId="0DB2227C" w14:textId="2A5361F3" w:rsidR="005679FF" w:rsidRPr="005679FF" w:rsidRDefault="005679FF" w:rsidP="005679FF">
      <w:pPr>
        <w:pStyle w:val="ListParagraph"/>
        <w:numPr>
          <w:ilvl w:val="1"/>
          <w:numId w:val="9"/>
        </w:numPr>
      </w:pPr>
      <w:r>
        <w:rPr>
          <w:sz w:val="20"/>
        </w:rPr>
        <w:t>Limited to ½ of employee wages to force continued use of employee labor</w:t>
      </w:r>
    </w:p>
    <w:p w14:paraId="5BE15FC6" w14:textId="49B76A56" w:rsidR="005679FF" w:rsidRPr="005679FF" w:rsidRDefault="005679FF" w:rsidP="005679FF">
      <w:pPr>
        <w:pStyle w:val="ListParagraph"/>
        <w:numPr>
          <w:ilvl w:val="1"/>
          <w:numId w:val="9"/>
        </w:numPr>
      </w:pPr>
      <w:r>
        <w:rPr>
          <w:sz w:val="20"/>
        </w:rPr>
        <w:t xml:space="preserve">Applies to things manufacture, grown, produced or extracted in the U.S. </w:t>
      </w:r>
    </w:p>
    <w:p w14:paraId="1C774753" w14:textId="30A37FEC" w:rsidR="005679FF" w:rsidRPr="005679FF" w:rsidRDefault="005679FF" w:rsidP="005679FF">
      <w:pPr>
        <w:pStyle w:val="ListParagraph"/>
        <w:numPr>
          <w:ilvl w:val="2"/>
          <w:numId w:val="9"/>
        </w:numPr>
      </w:pPr>
      <w:r>
        <w:rPr>
          <w:b/>
          <w:sz w:val="20"/>
        </w:rPr>
        <w:t xml:space="preserve">Does not </w:t>
      </w:r>
      <w:r>
        <w:rPr>
          <w:sz w:val="20"/>
        </w:rPr>
        <w:t>include sale of food/beverages prepared at a retail establishment</w:t>
      </w:r>
    </w:p>
    <w:p w14:paraId="54A70A46" w14:textId="2A93FB2C" w:rsidR="005679FF" w:rsidRPr="00527C70" w:rsidRDefault="005679FF" w:rsidP="005679FF">
      <w:pPr>
        <w:pStyle w:val="ListParagraph"/>
        <w:numPr>
          <w:ilvl w:val="1"/>
          <w:numId w:val="9"/>
        </w:numPr>
      </w:pPr>
      <w:r>
        <w:rPr>
          <w:sz w:val="20"/>
        </w:rPr>
        <w:t>Congressional intervention to move production away from foreign countries</w:t>
      </w:r>
    </w:p>
    <w:p w14:paraId="0A1793A4" w14:textId="3E4E76E5" w:rsidR="00527C70" w:rsidRPr="00C81987" w:rsidRDefault="00C81987" w:rsidP="00527C70">
      <w:pPr>
        <w:pStyle w:val="ListParagraph"/>
        <w:numPr>
          <w:ilvl w:val="0"/>
          <w:numId w:val="9"/>
        </w:numPr>
      </w:pPr>
      <w:r>
        <w:rPr>
          <w:sz w:val="20"/>
        </w:rPr>
        <w:t>§162(m)(1) sets the maximum deductibility for employee salary at $1 million</w:t>
      </w:r>
    </w:p>
    <w:p w14:paraId="6A644A58" w14:textId="7BC09E59" w:rsidR="00047C4B" w:rsidRPr="00047C4B" w:rsidRDefault="00047C4B" w:rsidP="00C81987">
      <w:pPr>
        <w:pStyle w:val="ListParagraph"/>
        <w:numPr>
          <w:ilvl w:val="1"/>
          <w:numId w:val="9"/>
        </w:numPr>
      </w:pPr>
      <w:r>
        <w:rPr>
          <w:sz w:val="20"/>
        </w:rPr>
        <w:t>Concern is that companies might be stuff</w:t>
      </w:r>
      <w:r w:rsidR="002D1C38">
        <w:rPr>
          <w:sz w:val="20"/>
        </w:rPr>
        <w:t xml:space="preserve">ing dividends (normally </w:t>
      </w:r>
      <w:r>
        <w:rPr>
          <w:sz w:val="20"/>
        </w:rPr>
        <w:t xml:space="preserve">taxable to both the company and </w:t>
      </w:r>
      <w:r w:rsidR="002D1C38">
        <w:rPr>
          <w:sz w:val="20"/>
        </w:rPr>
        <w:t>recipient) into salary (deductible to</w:t>
      </w:r>
      <w:r>
        <w:rPr>
          <w:sz w:val="20"/>
        </w:rPr>
        <w:t xml:space="preserve"> company and only taxed to the individual) into salary</w:t>
      </w:r>
    </w:p>
    <w:p w14:paraId="6334037C" w14:textId="2765B73B" w:rsidR="00C81987" w:rsidRPr="00047C4B" w:rsidRDefault="00C81987" w:rsidP="00C81987">
      <w:pPr>
        <w:pStyle w:val="ListParagraph"/>
        <w:numPr>
          <w:ilvl w:val="1"/>
          <w:numId w:val="9"/>
        </w:numPr>
      </w:pPr>
      <w:r>
        <w:rPr>
          <w:sz w:val="20"/>
        </w:rPr>
        <w:t>§162(m)(4)(C) eviscerates this limit by excluding remuneration earned by virtue of hitting performance targets</w:t>
      </w:r>
      <w:r w:rsidR="00DE5031">
        <w:rPr>
          <w:sz w:val="20"/>
        </w:rPr>
        <w:t>, subject to reporting requirements</w:t>
      </w:r>
    </w:p>
    <w:p w14:paraId="4E246DFB" w14:textId="76C259FC" w:rsidR="00047C4B" w:rsidRPr="00733D5C" w:rsidRDefault="00FE53B3" w:rsidP="00C81987">
      <w:pPr>
        <w:pStyle w:val="ListParagraph"/>
        <w:numPr>
          <w:ilvl w:val="1"/>
          <w:numId w:val="9"/>
        </w:numPr>
      </w:pPr>
      <w:r>
        <w:rPr>
          <w:sz w:val="20"/>
        </w:rPr>
        <w:t>Posner shifts</w:t>
      </w:r>
      <w:r w:rsidR="00047C4B">
        <w:rPr>
          <w:sz w:val="20"/>
        </w:rPr>
        <w:t xml:space="preserve"> question of exce</w:t>
      </w:r>
      <w:r>
        <w:rPr>
          <w:sz w:val="20"/>
        </w:rPr>
        <w:t>ssive executive compensation</w:t>
      </w:r>
      <w:r w:rsidR="00047C4B">
        <w:rPr>
          <w:sz w:val="20"/>
        </w:rPr>
        <w:t xml:space="preserve"> from marke</w:t>
      </w:r>
      <w:r>
        <w:rPr>
          <w:sz w:val="20"/>
        </w:rPr>
        <w:t>t comparisons to</w:t>
      </w:r>
      <w:r w:rsidR="00047C4B">
        <w:rPr>
          <w:sz w:val="20"/>
        </w:rPr>
        <w:t xml:space="preserve"> an “independent investor test” – if an investor</w:t>
      </w:r>
      <w:r>
        <w:rPr>
          <w:sz w:val="20"/>
        </w:rPr>
        <w:t xml:space="preserve"> is happy with</w:t>
      </w:r>
      <w:r w:rsidR="00047C4B">
        <w:rPr>
          <w:sz w:val="20"/>
        </w:rPr>
        <w:t xml:space="preserve"> executive’s actions in increasing company value, </w:t>
      </w:r>
      <w:r>
        <w:rPr>
          <w:sz w:val="20"/>
        </w:rPr>
        <w:t xml:space="preserve">high </w:t>
      </w:r>
      <w:r w:rsidR="00733D5C">
        <w:rPr>
          <w:sz w:val="20"/>
        </w:rPr>
        <w:t xml:space="preserve">compensation is </w:t>
      </w:r>
      <w:r w:rsidR="00733D5C">
        <w:rPr>
          <w:i/>
          <w:sz w:val="20"/>
        </w:rPr>
        <w:t xml:space="preserve">presumptively </w:t>
      </w:r>
      <w:r w:rsidR="00733D5C">
        <w:rPr>
          <w:sz w:val="20"/>
        </w:rPr>
        <w:t>reasonable</w:t>
      </w:r>
      <w:r w:rsidR="007468A6">
        <w:rPr>
          <w:sz w:val="20"/>
        </w:rPr>
        <w:t xml:space="preserve"> </w:t>
      </w:r>
      <w:r w:rsidR="00733D5C">
        <w:rPr>
          <w:sz w:val="20"/>
        </w:rPr>
        <w:t>–</w:t>
      </w:r>
      <w:r w:rsidR="007468A6">
        <w:rPr>
          <w:sz w:val="20"/>
        </w:rPr>
        <w:t xml:space="preserve"> </w:t>
      </w:r>
      <w:proofErr w:type="spellStart"/>
      <w:r w:rsidR="007468A6">
        <w:rPr>
          <w:i/>
          <w:sz w:val="20"/>
        </w:rPr>
        <w:t>Exacto</w:t>
      </w:r>
      <w:proofErr w:type="spellEnd"/>
    </w:p>
    <w:p w14:paraId="251DDC97" w14:textId="6CF45E73" w:rsidR="00733D5C" w:rsidRPr="00FE53B3" w:rsidRDefault="00733D5C" w:rsidP="00733D5C">
      <w:pPr>
        <w:pStyle w:val="ListParagraph"/>
        <w:numPr>
          <w:ilvl w:val="2"/>
          <w:numId w:val="9"/>
        </w:numPr>
      </w:pPr>
      <w:r>
        <w:rPr>
          <w:sz w:val="20"/>
        </w:rPr>
        <w:t>Tax Court still prefers a 7-factor test of the reasonableness of the compensation</w:t>
      </w:r>
    </w:p>
    <w:p w14:paraId="75D85AB5" w14:textId="103F3F5E" w:rsidR="00FE53B3" w:rsidRPr="00E20DF7" w:rsidRDefault="00270ABD" w:rsidP="00FE53B3">
      <w:pPr>
        <w:pStyle w:val="ListParagraph"/>
        <w:numPr>
          <w:ilvl w:val="0"/>
          <w:numId w:val="9"/>
        </w:numPr>
      </w:pPr>
      <w:r>
        <w:rPr>
          <w:sz w:val="20"/>
        </w:rPr>
        <w:lastRenderedPageBreak/>
        <w:t xml:space="preserve">Illegal bribe </w:t>
      </w:r>
      <w:r w:rsidR="00745B59">
        <w:rPr>
          <w:sz w:val="20"/>
        </w:rPr>
        <w:t xml:space="preserve">to government officials </w:t>
      </w:r>
      <w:r>
        <w:rPr>
          <w:sz w:val="20"/>
        </w:rPr>
        <w:t xml:space="preserve">(or bribes to an official of a foreign government that would be illegal under FCPA) </w:t>
      </w:r>
      <w:r w:rsidR="00745B59">
        <w:rPr>
          <w:b/>
          <w:sz w:val="20"/>
        </w:rPr>
        <w:t xml:space="preserve">are not </w:t>
      </w:r>
      <w:r w:rsidR="00745B59">
        <w:rPr>
          <w:sz w:val="20"/>
        </w:rPr>
        <w:t>deductible - §162(c)(1)</w:t>
      </w:r>
    </w:p>
    <w:p w14:paraId="48BD0F75" w14:textId="2D9567E3" w:rsidR="00E20DF7" w:rsidRPr="00270ABD" w:rsidRDefault="00E20DF7" w:rsidP="00E20DF7">
      <w:pPr>
        <w:pStyle w:val="ListParagraph"/>
        <w:numPr>
          <w:ilvl w:val="1"/>
          <w:numId w:val="9"/>
        </w:numPr>
      </w:pPr>
      <w:r>
        <w:rPr>
          <w:sz w:val="20"/>
        </w:rPr>
        <w:t xml:space="preserve">Bribe to a citizen that subjects the </w:t>
      </w:r>
      <w:r w:rsidR="00270ABD">
        <w:rPr>
          <w:sz w:val="20"/>
        </w:rPr>
        <w:t>payer</w:t>
      </w:r>
      <w:r>
        <w:rPr>
          <w:sz w:val="20"/>
        </w:rPr>
        <w:t xml:space="preserve"> to </w:t>
      </w:r>
      <w:r w:rsidR="00270ABD">
        <w:rPr>
          <w:sz w:val="20"/>
        </w:rPr>
        <w:t xml:space="preserve">state </w:t>
      </w:r>
      <w:r>
        <w:rPr>
          <w:sz w:val="20"/>
        </w:rPr>
        <w:t xml:space="preserve">criminal liability </w:t>
      </w:r>
      <w:r w:rsidR="00270ABD">
        <w:rPr>
          <w:sz w:val="20"/>
        </w:rPr>
        <w:t xml:space="preserve">(as long as law is generally enforced) </w:t>
      </w:r>
      <w:r>
        <w:rPr>
          <w:sz w:val="20"/>
        </w:rPr>
        <w:t xml:space="preserve">is </w:t>
      </w:r>
      <w:r>
        <w:rPr>
          <w:b/>
          <w:sz w:val="20"/>
        </w:rPr>
        <w:t xml:space="preserve">also not </w:t>
      </w:r>
      <w:r>
        <w:rPr>
          <w:sz w:val="20"/>
        </w:rPr>
        <w:t>deductible - §162(c)(2)</w:t>
      </w:r>
    </w:p>
    <w:p w14:paraId="57BF41CF" w14:textId="67650106" w:rsidR="00270ABD" w:rsidRPr="00516206" w:rsidRDefault="00270ABD" w:rsidP="00E20DF7">
      <w:pPr>
        <w:pStyle w:val="ListParagraph"/>
        <w:numPr>
          <w:ilvl w:val="1"/>
          <w:numId w:val="9"/>
        </w:numPr>
      </w:pPr>
      <w:r>
        <w:rPr>
          <w:sz w:val="20"/>
        </w:rPr>
        <w:t xml:space="preserve">Fines or other penalties paid to a government for violation of law </w:t>
      </w:r>
      <w:r>
        <w:rPr>
          <w:b/>
          <w:sz w:val="20"/>
        </w:rPr>
        <w:t xml:space="preserve">are not </w:t>
      </w:r>
      <w:r>
        <w:rPr>
          <w:sz w:val="20"/>
        </w:rPr>
        <w:t>deductible - §162(f)</w:t>
      </w:r>
    </w:p>
    <w:p w14:paraId="2CA0539B" w14:textId="07201B24" w:rsidR="00BB13B8" w:rsidRPr="0085479E" w:rsidRDefault="00516206" w:rsidP="00BB13B8">
      <w:pPr>
        <w:pStyle w:val="ListParagraph"/>
        <w:numPr>
          <w:ilvl w:val="2"/>
          <w:numId w:val="9"/>
        </w:numPr>
      </w:pPr>
      <w:r w:rsidRPr="0085479E">
        <w:rPr>
          <w:sz w:val="20"/>
        </w:rPr>
        <w:t>Although the rationale seems to be that allowing deductibility would dilute their effect, the math does not bear out this assertion</w:t>
      </w:r>
      <w:r w:rsidR="0085479E">
        <w:rPr>
          <w:sz w:val="20"/>
        </w:rPr>
        <w:t xml:space="preserve"> – disallowing deduction actually makes the fine </w:t>
      </w:r>
      <w:r w:rsidR="0085479E">
        <w:rPr>
          <w:i/>
          <w:sz w:val="20"/>
        </w:rPr>
        <w:t xml:space="preserve">heavier </w:t>
      </w:r>
      <w:r w:rsidR="0085479E">
        <w:rPr>
          <w:sz w:val="20"/>
        </w:rPr>
        <w:t>than we might want it to be</w:t>
      </w:r>
    </w:p>
    <w:p w14:paraId="1A947FEA" w14:textId="7617DBE4" w:rsidR="00900BF5" w:rsidRPr="008179F6" w:rsidRDefault="00900BF5" w:rsidP="00BB13B8">
      <w:pPr>
        <w:pStyle w:val="ListParagraph"/>
        <w:numPr>
          <w:ilvl w:val="2"/>
          <w:numId w:val="9"/>
        </w:numPr>
        <w:rPr>
          <w:b/>
        </w:rPr>
      </w:pPr>
      <w:r>
        <w:rPr>
          <w:sz w:val="20"/>
        </w:rPr>
        <w:t xml:space="preserve">The income tax is not supposed to be a sanction against wrongdoing – there is no explicit “public policy” exception to §162 – </w:t>
      </w:r>
      <w:proofErr w:type="spellStart"/>
      <w:r>
        <w:rPr>
          <w:i/>
          <w:sz w:val="20"/>
        </w:rPr>
        <w:t>Tellier</w:t>
      </w:r>
      <w:proofErr w:type="spellEnd"/>
      <w:r>
        <w:rPr>
          <w:sz w:val="20"/>
        </w:rPr>
        <w:t xml:space="preserve"> (expenses for unsuccessful defense of securities fraud are deductible)</w:t>
      </w:r>
    </w:p>
    <w:p w14:paraId="13D5E4EB" w14:textId="5D05C21A" w:rsidR="008179F6" w:rsidRPr="00BB13B8" w:rsidRDefault="008179F6" w:rsidP="00900BF5">
      <w:pPr>
        <w:pStyle w:val="ListParagraph"/>
        <w:numPr>
          <w:ilvl w:val="3"/>
          <w:numId w:val="9"/>
        </w:numPr>
        <w:rPr>
          <w:b/>
        </w:rPr>
      </w:pPr>
      <w:r>
        <w:rPr>
          <w:sz w:val="20"/>
        </w:rPr>
        <w:t>Why is §280E focused solely on drug trafficking – under current law, expenses for bullets in my assassination business are deductible!</w:t>
      </w:r>
      <w:r w:rsidR="00B12D87">
        <w:rPr>
          <w:sz w:val="20"/>
        </w:rPr>
        <w:t xml:space="preserve"> </w:t>
      </w:r>
    </w:p>
    <w:p w14:paraId="6E3691B2" w14:textId="77777777" w:rsidR="003E5FFC" w:rsidRPr="003E5FFC" w:rsidRDefault="00BB13B8" w:rsidP="003E5FFC">
      <w:pPr>
        <w:pStyle w:val="ListParagraph"/>
        <w:numPr>
          <w:ilvl w:val="0"/>
          <w:numId w:val="9"/>
        </w:numPr>
        <w:rPr>
          <w:b/>
        </w:rPr>
      </w:pPr>
      <w:r>
        <w:rPr>
          <w:sz w:val="20"/>
        </w:rPr>
        <w:t xml:space="preserve">Costs of influencing legislation or participation in a political campaign </w:t>
      </w:r>
      <w:r>
        <w:rPr>
          <w:b/>
          <w:sz w:val="20"/>
        </w:rPr>
        <w:t xml:space="preserve">are not </w:t>
      </w:r>
      <w:r>
        <w:rPr>
          <w:sz w:val="20"/>
        </w:rPr>
        <w:t>deductible</w:t>
      </w:r>
      <w:r w:rsidR="00D83AAE">
        <w:rPr>
          <w:sz w:val="20"/>
        </w:rPr>
        <w:t xml:space="preserve"> - §162(e)(1)</w:t>
      </w:r>
    </w:p>
    <w:p w14:paraId="0205BEAB" w14:textId="52389853" w:rsidR="00BB13B8" w:rsidRPr="00F351B4" w:rsidRDefault="00BB13B8" w:rsidP="003E5FFC">
      <w:pPr>
        <w:pStyle w:val="ListParagraph"/>
        <w:numPr>
          <w:ilvl w:val="1"/>
          <w:numId w:val="9"/>
        </w:numPr>
        <w:rPr>
          <w:b/>
        </w:rPr>
      </w:pPr>
      <w:r w:rsidRPr="003E5FFC">
        <w:rPr>
          <w:sz w:val="20"/>
        </w:rPr>
        <w:t xml:space="preserve"> </w:t>
      </w:r>
      <w:r w:rsidR="003E5FFC">
        <w:rPr>
          <w:sz w:val="20"/>
        </w:rPr>
        <w:t xml:space="preserve">Exceptions for local </w:t>
      </w:r>
      <w:r w:rsidR="000E0BE0">
        <w:rPr>
          <w:sz w:val="20"/>
        </w:rPr>
        <w:t>council legislation (zoning)</w:t>
      </w:r>
      <w:r w:rsidR="003410DE">
        <w:rPr>
          <w:sz w:val="20"/>
        </w:rPr>
        <w:t>,</w:t>
      </w:r>
      <w:r w:rsidR="003E5FFC">
        <w:rPr>
          <w:sz w:val="20"/>
        </w:rPr>
        <w:t xml:space="preserve"> de </w:t>
      </w:r>
      <w:proofErr w:type="spellStart"/>
      <w:r w:rsidR="003E5FFC">
        <w:rPr>
          <w:sz w:val="20"/>
        </w:rPr>
        <w:t>min</w:t>
      </w:r>
      <w:r w:rsidR="000E0BE0">
        <w:rPr>
          <w:sz w:val="20"/>
        </w:rPr>
        <w:t>imis</w:t>
      </w:r>
      <w:proofErr w:type="spellEnd"/>
      <w:r w:rsidR="000E0BE0">
        <w:rPr>
          <w:sz w:val="20"/>
        </w:rPr>
        <w:t xml:space="preserve"> in-house expenses</w:t>
      </w:r>
      <w:r w:rsidR="003E5FFC">
        <w:rPr>
          <w:sz w:val="20"/>
        </w:rPr>
        <w:t xml:space="preserve"> (less than $2,000) </w:t>
      </w:r>
    </w:p>
    <w:p w14:paraId="79C7558A" w14:textId="59EAFE8F" w:rsidR="00F351B4" w:rsidRPr="005855AA" w:rsidRDefault="00B34B47" w:rsidP="003E5FFC">
      <w:pPr>
        <w:pStyle w:val="ListParagraph"/>
        <w:numPr>
          <w:ilvl w:val="1"/>
          <w:numId w:val="9"/>
        </w:numPr>
        <w:rPr>
          <w:b/>
        </w:rPr>
      </w:pPr>
      <w:r>
        <w:rPr>
          <w:sz w:val="20"/>
        </w:rPr>
        <w:t>L</w:t>
      </w:r>
      <w:r w:rsidR="00F351B4">
        <w:rPr>
          <w:sz w:val="20"/>
        </w:rPr>
        <w:t>ooks like a h</w:t>
      </w:r>
      <w:r>
        <w:rPr>
          <w:sz w:val="20"/>
        </w:rPr>
        <w:t xml:space="preserve">idden tax on </w:t>
      </w:r>
      <w:r w:rsidR="001604EC">
        <w:rPr>
          <w:sz w:val="20"/>
        </w:rPr>
        <w:t xml:space="preserve">consumers because </w:t>
      </w:r>
      <w:r>
        <w:rPr>
          <w:sz w:val="20"/>
        </w:rPr>
        <w:t>lobbying</w:t>
      </w:r>
      <w:r w:rsidR="001604EC">
        <w:rPr>
          <w:sz w:val="20"/>
        </w:rPr>
        <w:t xml:space="preserve"> occurs (increased costs are passed on to consumers)</w:t>
      </w:r>
      <w:r>
        <w:rPr>
          <w:sz w:val="20"/>
        </w:rPr>
        <w:t xml:space="preserve">, but </w:t>
      </w:r>
      <w:r w:rsidR="00F351B4">
        <w:rPr>
          <w:sz w:val="20"/>
        </w:rPr>
        <w:t>constitutional because deductions are legislative grace</w:t>
      </w:r>
    </w:p>
    <w:p w14:paraId="5878C525" w14:textId="32A2EF9B" w:rsidR="005855AA" w:rsidRPr="003054DE" w:rsidRDefault="005855AA" w:rsidP="005855AA">
      <w:pPr>
        <w:pStyle w:val="ListParagraph"/>
        <w:numPr>
          <w:ilvl w:val="0"/>
          <w:numId w:val="9"/>
        </w:numPr>
        <w:rPr>
          <w:b/>
        </w:rPr>
      </w:pPr>
      <w:r>
        <w:rPr>
          <w:sz w:val="20"/>
        </w:rPr>
        <w:t xml:space="preserve">Any non-compensated loss sustained during the year </w:t>
      </w:r>
      <w:r>
        <w:rPr>
          <w:b/>
          <w:sz w:val="20"/>
        </w:rPr>
        <w:t xml:space="preserve">is </w:t>
      </w:r>
      <w:r>
        <w:rPr>
          <w:sz w:val="20"/>
        </w:rPr>
        <w:t>deductible - §165(a)</w:t>
      </w:r>
    </w:p>
    <w:p w14:paraId="2FCEDAC9" w14:textId="720E7C35" w:rsidR="003054DE" w:rsidRPr="00720F18" w:rsidRDefault="003054DE" w:rsidP="003054DE">
      <w:pPr>
        <w:pStyle w:val="ListParagraph"/>
        <w:numPr>
          <w:ilvl w:val="1"/>
          <w:numId w:val="9"/>
        </w:numPr>
        <w:rPr>
          <w:b/>
        </w:rPr>
      </w:pPr>
      <w:r>
        <w:rPr>
          <w:sz w:val="20"/>
        </w:rPr>
        <w:t xml:space="preserve">Individuals may </w:t>
      </w:r>
      <w:r w:rsidR="007F1E4D">
        <w:rPr>
          <w:sz w:val="20"/>
        </w:rPr>
        <w:t>only deduct losses incurred in trade/</w:t>
      </w:r>
      <w:r>
        <w:rPr>
          <w:sz w:val="20"/>
        </w:rPr>
        <w:t>business, losses incurred in any transaction entered into for profit, and losses arising from fire, storm, shipwreck or other casualty - §165(c)</w:t>
      </w:r>
    </w:p>
    <w:p w14:paraId="707346B3" w14:textId="304B9F73" w:rsidR="00720F18" w:rsidRPr="003054DE" w:rsidRDefault="00720F18" w:rsidP="00720F18">
      <w:pPr>
        <w:pStyle w:val="ListParagraph"/>
        <w:numPr>
          <w:ilvl w:val="2"/>
          <w:numId w:val="9"/>
        </w:numPr>
        <w:rPr>
          <w:b/>
        </w:rPr>
      </w:pPr>
      <w:r>
        <w:rPr>
          <w:sz w:val="20"/>
        </w:rPr>
        <w:t>Individual losses are limit</w:t>
      </w:r>
      <w:r w:rsidR="00ED694D">
        <w:rPr>
          <w:sz w:val="20"/>
        </w:rPr>
        <w:t>ed since we assume losses are due to</w:t>
      </w:r>
      <w:r>
        <w:rPr>
          <w:sz w:val="20"/>
        </w:rPr>
        <w:t xml:space="preserve"> consumption of the asset</w:t>
      </w:r>
    </w:p>
    <w:p w14:paraId="55990055" w14:textId="32D164EE" w:rsidR="003054DE" w:rsidRPr="003054DE" w:rsidRDefault="003054DE" w:rsidP="003054DE">
      <w:pPr>
        <w:pStyle w:val="ListParagraph"/>
        <w:numPr>
          <w:ilvl w:val="1"/>
          <w:numId w:val="9"/>
        </w:numPr>
        <w:rPr>
          <w:b/>
        </w:rPr>
      </w:pPr>
      <w:r>
        <w:rPr>
          <w:sz w:val="20"/>
        </w:rPr>
        <w:t>Any loss arising from theft is deductible in the year the taxpayer discovers the loss – §165(d)</w:t>
      </w:r>
    </w:p>
    <w:p w14:paraId="2619C30F" w14:textId="2607699F" w:rsidR="003054DE" w:rsidRPr="00F60CDA" w:rsidRDefault="003054DE" w:rsidP="003054DE">
      <w:pPr>
        <w:pStyle w:val="ListParagraph"/>
        <w:numPr>
          <w:ilvl w:val="1"/>
          <w:numId w:val="9"/>
        </w:numPr>
        <w:rPr>
          <w:b/>
        </w:rPr>
      </w:pPr>
      <w:r>
        <w:rPr>
          <w:sz w:val="20"/>
        </w:rPr>
        <w:t xml:space="preserve">A loss arising from a security’s worthlessness is realized when the taxpayer believes in good faith that it has become worthless </w:t>
      </w:r>
      <w:r w:rsidR="00F60CDA">
        <w:rPr>
          <w:sz w:val="20"/>
        </w:rPr>
        <w:t>–</w:t>
      </w:r>
      <w:r>
        <w:rPr>
          <w:sz w:val="20"/>
        </w:rPr>
        <w:t xml:space="preserve"> </w:t>
      </w:r>
      <w:r>
        <w:rPr>
          <w:i/>
          <w:sz w:val="20"/>
        </w:rPr>
        <w:t>Boehm</w:t>
      </w:r>
    </w:p>
    <w:p w14:paraId="466715A3" w14:textId="0C3A35D3" w:rsidR="00F60CDA" w:rsidRPr="007E53D9" w:rsidRDefault="00F60CDA" w:rsidP="000F74CD">
      <w:pPr>
        <w:pStyle w:val="ListParagraph"/>
        <w:numPr>
          <w:ilvl w:val="1"/>
          <w:numId w:val="9"/>
        </w:numPr>
        <w:spacing w:after="0"/>
        <w:rPr>
          <w:b/>
        </w:rPr>
      </w:pPr>
      <w:r>
        <w:rPr>
          <w:sz w:val="20"/>
        </w:rPr>
        <w:t>Losses arising from the sale/exchange of property between certain individuals (family members, commonly owned corporations/trusts, etc</w:t>
      </w:r>
      <w:r w:rsidRPr="00F60CDA">
        <w:rPr>
          <w:sz w:val="20"/>
          <w:szCs w:val="20"/>
        </w:rPr>
        <w:t xml:space="preserve">.) </w:t>
      </w:r>
      <w:r w:rsidRPr="00F60CDA">
        <w:rPr>
          <w:b/>
          <w:sz w:val="20"/>
          <w:szCs w:val="20"/>
        </w:rPr>
        <w:t xml:space="preserve">are not </w:t>
      </w:r>
      <w:r w:rsidRPr="00F60CDA">
        <w:rPr>
          <w:sz w:val="20"/>
          <w:szCs w:val="20"/>
        </w:rPr>
        <w:t>deductible</w:t>
      </w:r>
      <w:r w:rsidR="003C39D9">
        <w:rPr>
          <w:sz w:val="20"/>
          <w:szCs w:val="20"/>
        </w:rPr>
        <w:t xml:space="preserve"> - §267</w:t>
      </w:r>
    </w:p>
    <w:p w14:paraId="302F8831" w14:textId="0B943C27" w:rsidR="007E53D9" w:rsidRPr="00427BC1" w:rsidRDefault="007E53D9" w:rsidP="000F74CD">
      <w:pPr>
        <w:pStyle w:val="ListParagraph"/>
        <w:numPr>
          <w:ilvl w:val="2"/>
          <w:numId w:val="9"/>
        </w:numPr>
        <w:spacing w:after="0"/>
        <w:rPr>
          <w:b/>
        </w:rPr>
      </w:pPr>
      <w:r>
        <w:rPr>
          <w:sz w:val="20"/>
          <w:szCs w:val="20"/>
        </w:rPr>
        <w:t xml:space="preserve">However, if the loss is not allowed to the transferor, and the transferee later sells the property at a gain, gain </w:t>
      </w:r>
      <w:r w:rsidR="00AC5B98">
        <w:rPr>
          <w:sz w:val="20"/>
          <w:szCs w:val="20"/>
        </w:rPr>
        <w:t xml:space="preserve">only recognized to </w:t>
      </w:r>
      <w:r>
        <w:rPr>
          <w:sz w:val="20"/>
          <w:szCs w:val="20"/>
        </w:rPr>
        <w:t>extent it exceeds the previous loss - §267(d)</w:t>
      </w:r>
    </w:p>
    <w:p w14:paraId="41685D54" w14:textId="06143034" w:rsidR="00427BC1" w:rsidRPr="004005C7" w:rsidRDefault="00427BC1" w:rsidP="000F74CD">
      <w:pPr>
        <w:pStyle w:val="ListParagraph"/>
        <w:numPr>
          <w:ilvl w:val="3"/>
          <w:numId w:val="9"/>
        </w:numPr>
        <w:spacing w:after="0"/>
        <w:rPr>
          <w:b/>
        </w:rPr>
      </w:pPr>
      <w:r>
        <w:rPr>
          <w:sz w:val="20"/>
          <w:szCs w:val="20"/>
        </w:rPr>
        <w:t>This is an asymmetrical treatment of losses – family gets benefit of first loss if eventually sold for a gain, but only second loss if eventually sold for a loss</w:t>
      </w:r>
    </w:p>
    <w:p w14:paraId="4F89E45D" w14:textId="501B27FF" w:rsidR="004005C7" w:rsidRPr="004005C7" w:rsidRDefault="004005C7" w:rsidP="000F74CD">
      <w:pPr>
        <w:pStyle w:val="ListParagraph"/>
        <w:numPr>
          <w:ilvl w:val="1"/>
          <w:numId w:val="9"/>
        </w:numPr>
        <w:spacing w:after="0"/>
        <w:rPr>
          <w:b/>
        </w:rPr>
      </w:pPr>
      <w:r>
        <w:rPr>
          <w:sz w:val="20"/>
          <w:szCs w:val="20"/>
        </w:rPr>
        <w:t>No loss is recognized if substantially identical stocks are purchased/sold within 30 days</w:t>
      </w:r>
    </w:p>
    <w:p w14:paraId="3CDA5374" w14:textId="2C58965C" w:rsidR="004005C7" w:rsidRPr="00623E6C" w:rsidRDefault="004005C7" w:rsidP="000F74CD">
      <w:pPr>
        <w:pStyle w:val="ListParagraph"/>
        <w:numPr>
          <w:ilvl w:val="2"/>
          <w:numId w:val="9"/>
        </w:numPr>
        <w:spacing w:after="0"/>
        <w:rPr>
          <w:b/>
        </w:rPr>
      </w:pPr>
      <w:r>
        <w:rPr>
          <w:sz w:val="20"/>
          <w:szCs w:val="20"/>
        </w:rPr>
        <w:t xml:space="preserve">New basis </w:t>
      </w:r>
      <w:r w:rsidR="00BC56D5">
        <w:rPr>
          <w:sz w:val="20"/>
          <w:szCs w:val="20"/>
        </w:rPr>
        <w:t xml:space="preserve">= basis of </w:t>
      </w:r>
      <w:r>
        <w:rPr>
          <w:sz w:val="20"/>
          <w:szCs w:val="20"/>
        </w:rPr>
        <w:t>sold stocks + (price of new stocks – price at which old stock sold)</w:t>
      </w:r>
    </w:p>
    <w:p w14:paraId="44495184" w14:textId="3BC7DAF0" w:rsidR="00623E6C" w:rsidRPr="004005C7" w:rsidRDefault="00623E6C" w:rsidP="000F74CD">
      <w:pPr>
        <w:pStyle w:val="ListParagraph"/>
        <w:numPr>
          <w:ilvl w:val="2"/>
          <w:numId w:val="9"/>
        </w:numPr>
        <w:spacing w:after="0"/>
        <w:rPr>
          <w:b/>
        </w:rPr>
      </w:pPr>
      <w:r>
        <w:rPr>
          <w:sz w:val="20"/>
          <w:szCs w:val="20"/>
        </w:rPr>
        <w:t xml:space="preserve">Only bona fide losses are allowable – no elevation of form over substance – </w:t>
      </w:r>
      <w:r>
        <w:rPr>
          <w:i/>
          <w:sz w:val="20"/>
          <w:szCs w:val="20"/>
        </w:rPr>
        <w:t xml:space="preserve">Fender </w:t>
      </w:r>
      <w:r>
        <w:rPr>
          <w:sz w:val="20"/>
          <w:szCs w:val="20"/>
        </w:rPr>
        <w:t>(neither §1041 nor §267 applies, but court still doesn’t allow deduction)</w:t>
      </w:r>
    </w:p>
    <w:p w14:paraId="44C9F3EC" w14:textId="24E058CA" w:rsidR="004005C7" w:rsidRPr="004005C7" w:rsidRDefault="004005C7" w:rsidP="000F74CD">
      <w:pPr>
        <w:pStyle w:val="ListParagraph"/>
        <w:numPr>
          <w:ilvl w:val="1"/>
          <w:numId w:val="9"/>
        </w:numPr>
        <w:spacing w:after="0"/>
        <w:rPr>
          <w:b/>
        </w:rPr>
      </w:pPr>
      <w:r>
        <w:rPr>
          <w:sz w:val="20"/>
          <w:szCs w:val="20"/>
        </w:rPr>
        <w:t>For individuals, capital losses are only allowable to the extent of capital gains, plus either $3,000 or the excess of such losses over such gains</w:t>
      </w:r>
    </w:p>
    <w:p w14:paraId="4DBAF115" w14:textId="67CF2FCC" w:rsidR="004005C7" w:rsidRPr="00AC674C" w:rsidRDefault="004005C7" w:rsidP="000F74CD">
      <w:pPr>
        <w:pStyle w:val="ListParagraph"/>
        <w:numPr>
          <w:ilvl w:val="2"/>
          <w:numId w:val="9"/>
        </w:numPr>
        <w:spacing w:after="0"/>
        <w:rPr>
          <w:b/>
        </w:rPr>
      </w:pPr>
      <w:r>
        <w:rPr>
          <w:sz w:val="20"/>
          <w:szCs w:val="20"/>
        </w:rPr>
        <w:t xml:space="preserve">Necessary to discourage people from realizing losses but not gains – however, this also hurts people that are </w:t>
      </w:r>
      <w:r>
        <w:rPr>
          <w:i/>
          <w:sz w:val="20"/>
          <w:szCs w:val="20"/>
        </w:rPr>
        <w:t xml:space="preserve">only </w:t>
      </w:r>
      <w:r>
        <w:rPr>
          <w:sz w:val="20"/>
          <w:szCs w:val="20"/>
        </w:rPr>
        <w:t xml:space="preserve">losing </w:t>
      </w:r>
    </w:p>
    <w:p w14:paraId="55D822B4" w14:textId="1D439E01" w:rsidR="00AC674C" w:rsidRPr="00E82462" w:rsidRDefault="00AC674C" w:rsidP="000F74CD">
      <w:pPr>
        <w:pStyle w:val="ListParagraph"/>
        <w:numPr>
          <w:ilvl w:val="0"/>
          <w:numId w:val="9"/>
        </w:numPr>
        <w:spacing w:after="0"/>
        <w:rPr>
          <w:b/>
        </w:rPr>
      </w:pPr>
      <w:r>
        <w:rPr>
          <w:sz w:val="20"/>
          <w:szCs w:val="20"/>
        </w:rPr>
        <w:t xml:space="preserve">Any debt which becomes worthless within the taxable year </w:t>
      </w:r>
      <w:r>
        <w:rPr>
          <w:b/>
          <w:sz w:val="20"/>
          <w:szCs w:val="20"/>
        </w:rPr>
        <w:t xml:space="preserve">is </w:t>
      </w:r>
      <w:r>
        <w:rPr>
          <w:sz w:val="20"/>
          <w:szCs w:val="20"/>
        </w:rPr>
        <w:t>deductible - §166(a)</w:t>
      </w:r>
    </w:p>
    <w:p w14:paraId="4611483B" w14:textId="67E168D3" w:rsidR="00E82462" w:rsidRPr="00AC674C" w:rsidRDefault="00E82462" w:rsidP="000F74CD">
      <w:pPr>
        <w:pStyle w:val="ListParagraph"/>
        <w:numPr>
          <w:ilvl w:val="1"/>
          <w:numId w:val="9"/>
        </w:numPr>
        <w:spacing w:after="0"/>
        <w:rPr>
          <w:b/>
        </w:rPr>
      </w:pPr>
      <w:r>
        <w:rPr>
          <w:sz w:val="20"/>
          <w:szCs w:val="20"/>
        </w:rPr>
        <w:t xml:space="preserve">Dominant motivation for the bad debt must be business-related - </w:t>
      </w:r>
      <w:proofErr w:type="spellStart"/>
      <w:r>
        <w:rPr>
          <w:i/>
          <w:sz w:val="20"/>
          <w:szCs w:val="20"/>
        </w:rPr>
        <w:t>Generes</w:t>
      </w:r>
      <w:proofErr w:type="spellEnd"/>
    </w:p>
    <w:p w14:paraId="28FACAB9" w14:textId="77777777" w:rsidR="00AF683B" w:rsidRPr="00AF683B" w:rsidRDefault="00AC674C" w:rsidP="000F74CD">
      <w:pPr>
        <w:pStyle w:val="ListParagraph"/>
        <w:numPr>
          <w:ilvl w:val="1"/>
          <w:numId w:val="9"/>
        </w:numPr>
        <w:spacing w:after="0"/>
        <w:rPr>
          <w:b/>
        </w:rPr>
      </w:pPr>
      <w:r>
        <w:rPr>
          <w:sz w:val="20"/>
          <w:szCs w:val="20"/>
        </w:rPr>
        <w:t xml:space="preserve">For an individual, worthless nonbusiness debts (debts not associated with a trade or business) </w:t>
      </w:r>
      <w:r>
        <w:rPr>
          <w:b/>
          <w:sz w:val="20"/>
          <w:szCs w:val="20"/>
        </w:rPr>
        <w:t xml:space="preserve">are only </w:t>
      </w:r>
      <w:r>
        <w:rPr>
          <w:sz w:val="20"/>
          <w:szCs w:val="20"/>
        </w:rPr>
        <w:t>deductible as a loss from the sale/exchange of a capital asset held for not more than one year (thus subject to capital loss limit of §1211(b))</w:t>
      </w:r>
    </w:p>
    <w:p w14:paraId="3367B434" w14:textId="15204DB5" w:rsidR="00AC674C" w:rsidRDefault="00AF683B" w:rsidP="000F74CD">
      <w:pPr>
        <w:pStyle w:val="ListParagraph"/>
        <w:numPr>
          <w:ilvl w:val="2"/>
          <w:numId w:val="9"/>
        </w:numPr>
        <w:spacing w:after="0"/>
        <w:rPr>
          <w:b/>
        </w:rPr>
      </w:pPr>
      <w:r>
        <w:rPr>
          <w:sz w:val="20"/>
          <w:szCs w:val="20"/>
        </w:rPr>
        <w:t xml:space="preserve">Individuals are undertaxed because normally, personal losses are not deductible </w:t>
      </w:r>
      <w:r>
        <w:rPr>
          <w:i/>
          <w:sz w:val="20"/>
          <w:szCs w:val="20"/>
        </w:rPr>
        <w:t>at all</w:t>
      </w:r>
      <w:r w:rsidR="00AC674C">
        <w:rPr>
          <w:sz w:val="20"/>
          <w:szCs w:val="20"/>
        </w:rPr>
        <w:t xml:space="preserve"> </w:t>
      </w:r>
    </w:p>
    <w:p w14:paraId="1351DAD8" w14:textId="26049DFB" w:rsidR="000F74CD" w:rsidRDefault="000F74CD" w:rsidP="000F74CD">
      <w:pPr>
        <w:spacing w:after="0"/>
        <w:rPr>
          <w:b/>
        </w:rPr>
      </w:pPr>
    </w:p>
    <w:p w14:paraId="1A2D79E2" w14:textId="1BF8C38A" w:rsidR="000F74CD" w:rsidRDefault="000F74CD" w:rsidP="000F74CD">
      <w:pPr>
        <w:spacing w:after="0"/>
        <w:rPr>
          <w:b/>
        </w:rPr>
      </w:pPr>
    </w:p>
    <w:p w14:paraId="31724E90" w14:textId="717F0896" w:rsidR="000F74CD" w:rsidRDefault="000F74CD" w:rsidP="000F74CD">
      <w:pPr>
        <w:spacing w:after="0"/>
        <w:rPr>
          <w:b/>
        </w:rPr>
      </w:pPr>
    </w:p>
    <w:p w14:paraId="31795CB4" w14:textId="77777777" w:rsidR="000F74CD" w:rsidRPr="000F74CD" w:rsidRDefault="000F74CD" w:rsidP="000F74CD">
      <w:pPr>
        <w:spacing w:after="0"/>
        <w:rPr>
          <w:b/>
        </w:rPr>
      </w:pPr>
    </w:p>
    <w:tbl>
      <w:tblPr>
        <w:tblW w:w="0" w:type="auto"/>
        <w:jc w:val="center"/>
        <w:tblLayout w:type="fixed"/>
        <w:tblLook w:val="0000" w:firstRow="0" w:lastRow="0" w:firstColumn="0" w:lastColumn="0" w:noHBand="0" w:noVBand="0"/>
      </w:tblPr>
      <w:tblGrid>
        <w:gridCol w:w="864"/>
        <w:gridCol w:w="2160"/>
        <w:gridCol w:w="2263"/>
        <w:gridCol w:w="2237"/>
      </w:tblGrid>
      <w:tr w:rsidR="00B85825" w14:paraId="4D7EC3E7" w14:textId="77777777" w:rsidTr="007956C5">
        <w:trPr>
          <w:cantSplit/>
          <w:trHeight w:val="288"/>
          <w:jc w:val="center"/>
        </w:trPr>
        <w:tc>
          <w:tcPr>
            <w:tcW w:w="8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2F89275" w14:textId="71B058AC" w:rsidR="00B85825" w:rsidRPr="007956C5" w:rsidRDefault="00B85825" w:rsidP="007956C5">
            <w:pPr>
              <w:spacing w:line="240" w:lineRule="auto"/>
              <w:jc w:val="center"/>
              <w:rPr>
                <w:b/>
                <w:sz w:val="20"/>
                <w:szCs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bottom w:w="0" w:type="dxa"/>
              <w:right w:w="0" w:type="dxa"/>
            </w:tcMar>
            <w:vAlign w:val="center"/>
          </w:tcPr>
          <w:p w14:paraId="45179255" w14:textId="77777777" w:rsidR="00B85825" w:rsidRPr="007956C5" w:rsidRDefault="00B85825" w:rsidP="007956C5">
            <w:pPr>
              <w:spacing w:line="240" w:lineRule="auto"/>
              <w:jc w:val="center"/>
              <w:rPr>
                <w:b/>
                <w:sz w:val="20"/>
                <w:szCs w:val="20"/>
              </w:rPr>
            </w:pPr>
            <w:r w:rsidRPr="007956C5">
              <w:rPr>
                <w:b/>
                <w:sz w:val="20"/>
                <w:szCs w:val="20"/>
              </w:rPr>
              <w:t>Business</w:t>
            </w:r>
          </w:p>
        </w:tc>
        <w:tc>
          <w:tcPr>
            <w:tcW w:w="2263"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bottom w:w="0" w:type="dxa"/>
              <w:right w:w="0" w:type="dxa"/>
            </w:tcMar>
            <w:vAlign w:val="center"/>
          </w:tcPr>
          <w:p w14:paraId="34559C39" w14:textId="77777777" w:rsidR="00B85825" w:rsidRPr="007956C5" w:rsidRDefault="00B85825" w:rsidP="007956C5">
            <w:pPr>
              <w:spacing w:line="240" w:lineRule="auto"/>
              <w:jc w:val="center"/>
              <w:rPr>
                <w:b/>
                <w:sz w:val="20"/>
                <w:szCs w:val="20"/>
              </w:rPr>
            </w:pPr>
            <w:r w:rsidRPr="007956C5">
              <w:rPr>
                <w:b/>
                <w:sz w:val="20"/>
                <w:szCs w:val="20"/>
              </w:rPr>
              <w:t>Profit-Seeking</w:t>
            </w:r>
          </w:p>
        </w:tc>
        <w:tc>
          <w:tcPr>
            <w:tcW w:w="2237"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bottom w:w="0" w:type="dxa"/>
              <w:right w:w="0" w:type="dxa"/>
            </w:tcMar>
            <w:vAlign w:val="center"/>
          </w:tcPr>
          <w:p w14:paraId="53570C46" w14:textId="77777777" w:rsidR="00B85825" w:rsidRPr="007956C5" w:rsidRDefault="00B85825" w:rsidP="007956C5">
            <w:pPr>
              <w:spacing w:line="240" w:lineRule="auto"/>
              <w:jc w:val="center"/>
              <w:rPr>
                <w:b/>
                <w:sz w:val="20"/>
                <w:szCs w:val="20"/>
              </w:rPr>
            </w:pPr>
            <w:r w:rsidRPr="007956C5">
              <w:rPr>
                <w:b/>
                <w:sz w:val="20"/>
                <w:szCs w:val="20"/>
              </w:rPr>
              <w:t>Personal</w:t>
            </w:r>
          </w:p>
        </w:tc>
      </w:tr>
      <w:tr w:rsidR="00B85825" w14:paraId="6D8BACB8" w14:textId="77777777" w:rsidTr="0088140C">
        <w:trPr>
          <w:cantSplit/>
          <w:trHeight w:val="720"/>
          <w:jc w:val="center"/>
        </w:trPr>
        <w:tc>
          <w:tcPr>
            <w:tcW w:w="864"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bottom w:w="0" w:type="dxa"/>
              <w:right w:w="0" w:type="dxa"/>
            </w:tcMar>
            <w:vAlign w:val="center"/>
          </w:tcPr>
          <w:p w14:paraId="132E5308" w14:textId="77777777" w:rsidR="00B85825" w:rsidRPr="007956C5" w:rsidRDefault="00B85825" w:rsidP="007956C5">
            <w:pPr>
              <w:spacing w:line="240" w:lineRule="auto"/>
              <w:jc w:val="center"/>
              <w:rPr>
                <w:b/>
                <w:sz w:val="20"/>
                <w:szCs w:val="20"/>
              </w:rPr>
            </w:pPr>
            <w:r w:rsidRPr="007956C5">
              <w:rPr>
                <w:b/>
                <w:sz w:val="20"/>
                <w:szCs w:val="20"/>
              </w:rPr>
              <w:t>Expenses</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FC130F7" w14:textId="61363B79" w:rsidR="00B85825" w:rsidRPr="00B85825" w:rsidRDefault="00B85825" w:rsidP="007956C5">
            <w:pPr>
              <w:spacing w:line="240" w:lineRule="auto"/>
              <w:jc w:val="center"/>
              <w:rPr>
                <w:sz w:val="20"/>
                <w:szCs w:val="20"/>
              </w:rPr>
            </w:pPr>
            <w:r w:rsidRPr="00B85825">
              <w:rPr>
                <w:sz w:val="20"/>
                <w:szCs w:val="20"/>
              </w:rPr>
              <w:t>§ 162</w:t>
            </w:r>
            <w:r w:rsidR="007956C5">
              <w:rPr>
                <w:sz w:val="20"/>
                <w:szCs w:val="20"/>
              </w:rPr>
              <w:t xml:space="preserve"> - “Ordinary &amp; Necessary”</w:t>
            </w:r>
          </w:p>
        </w:tc>
        <w:tc>
          <w:tcPr>
            <w:tcW w:w="2263" w:type="dxa"/>
            <w:tcBorders>
              <w:top w:val="single" w:sz="4" w:space="0" w:color="000000"/>
              <w:left w:val="single" w:sz="4" w:space="0" w:color="000000"/>
              <w:bottom w:val="single" w:sz="4" w:space="0" w:color="000000"/>
              <w:right w:val="dashed" w:sz="4" w:space="0" w:color="000000"/>
            </w:tcBorders>
            <w:shd w:val="clear" w:color="auto" w:fill="auto"/>
            <w:tcMar>
              <w:top w:w="0" w:type="dxa"/>
              <w:left w:w="0" w:type="dxa"/>
              <w:bottom w:w="0" w:type="dxa"/>
              <w:right w:w="0" w:type="dxa"/>
            </w:tcMar>
            <w:vAlign w:val="center"/>
          </w:tcPr>
          <w:p w14:paraId="663F100D" w14:textId="29A87C05" w:rsidR="00B85825" w:rsidRPr="00B85825" w:rsidRDefault="00B85825" w:rsidP="007956C5">
            <w:pPr>
              <w:spacing w:line="240" w:lineRule="auto"/>
              <w:jc w:val="center"/>
              <w:rPr>
                <w:sz w:val="20"/>
                <w:szCs w:val="20"/>
              </w:rPr>
            </w:pPr>
            <w:r w:rsidRPr="00B85825">
              <w:rPr>
                <w:sz w:val="20"/>
                <w:szCs w:val="20"/>
              </w:rPr>
              <w:t>§ 212</w:t>
            </w:r>
            <w:r w:rsidR="007956C5">
              <w:rPr>
                <w:sz w:val="20"/>
                <w:szCs w:val="20"/>
              </w:rPr>
              <w:t xml:space="preserve"> - D</w:t>
            </w:r>
            <w:r w:rsidRPr="00B85825">
              <w:rPr>
                <w:sz w:val="20"/>
                <w:szCs w:val="20"/>
              </w:rPr>
              <w:t>eduction for productio</w:t>
            </w:r>
            <w:r w:rsidR="007956C5">
              <w:rPr>
                <w:sz w:val="20"/>
                <w:szCs w:val="20"/>
              </w:rPr>
              <w:t>n and collection of income</w:t>
            </w:r>
          </w:p>
        </w:tc>
        <w:tc>
          <w:tcPr>
            <w:tcW w:w="2237" w:type="dxa"/>
            <w:tcBorders>
              <w:top w:val="single" w:sz="4" w:space="0" w:color="000000"/>
              <w:left w:val="dashed"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DC9B0AC" w14:textId="24CF72C3" w:rsidR="00B85825" w:rsidRPr="00B85825" w:rsidRDefault="00B85825" w:rsidP="007956C5">
            <w:pPr>
              <w:spacing w:line="240" w:lineRule="auto"/>
              <w:jc w:val="center"/>
              <w:rPr>
                <w:sz w:val="20"/>
                <w:szCs w:val="20"/>
              </w:rPr>
            </w:pPr>
            <w:r w:rsidRPr="00B85825">
              <w:rPr>
                <w:sz w:val="20"/>
                <w:szCs w:val="20"/>
              </w:rPr>
              <w:t>§262</w:t>
            </w:r>
            <w:r w:rsidR="007956C5">
              <w:rPr>
                <w:sz w:val="20"/>
                <w:szCs w:val="20"/>
              </w:rPr>
              <w:t xml:space="preserve"> - </w:t>
            </w:r>
            <w:r w:rsidRPr="00B85825">
              <w:rPr>
                <w:sz w:val="20"/>
                <w:szCs w:val="20"/>
              </w:rPr>
              <w:t>No Deduction</w:t>
            </w:r>
          </w:p>
        </w:tc>
      </w:tr>
      <w:tr w:rsidR="00B85825" w14:paraId="1F5C6C20" w14:textId="77777777" w:rsidTr="0088140C">
        <w:trPr>
          <w:cantSplit/>
          <w:trHeight w:val="864"/>
          <w:jc w:val="center"/>
        </w:trPr>
        <w:tc>
          <w:tcPr>
            <w:tcW w:w="864"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bottom w:w="0" w:type="dxa"/>
              <w:right w:w="0" w:type="dxa"/>
            </w:tcMar>
            <w:vAlign w:val="center"/>
          </w:tcPr>
          <w:p w14:paraId="226E00F6" w14:textId="77777777" w:rsidR="00B85825" w:rsidRPr="007956C5" w:rsidRDefault="00B85825" w:rsidP="007956C5">
            <w:pPr>
              <w:spacing w:line="240" w:lineRule="auto"/>
              <w:jc w:val="center"/>
              <w:rPr>
                <w:b/>
                <w:sz w:val="20"/>
                <w:szCs w:val="20"/>
              </w:rPr>
            </w:pPr>
            <w:r w:rsidRPr="007956C5">
              <w:rPr>
                <w:b/>
                <w:sz w:val="20"/>
                <w:szCs w:val="20"/>
              </w:rPr>
              <w:t>Losses</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7346AC0" w14:textId="3A86B5F7" w:rsidR="00B85825" w:rsidRPr="00B85825" w:rsidRDefault="00B85825" w:rsidP="007956C5">
            <w:pPr>
              <w:spacing w:line="240" w:lineRule="auto"/>
              <w:jc w:val="center"/>
              <w:rPr>
                <w:sz w:val="20"/>
                <w:szCs w:val="20"/>
              </w:rPr>
            </w:pPr>
            <w:r w:rsidRPr="00B85825">
              <w:rPr>
                <w:sz w:val="20"/>
                <w:szCs w:val="20"/>
              </w:rPr>
              <w:t>§ 165(c)(1)</w:t>
            </w:r>
            <w:r w:rsidR="007956C5">
              <w:rPr>
                <w:sz w:val="20"/>
                <w:szCs w:val="20"/>
              </w:rPr>
              <w:t xml:space="preserve"> - </w:t>
            </w:r>
            <w:r w:rsidRPr="00B85825">
              <w:rPr>
                <w:sz w:val="20"/>
                <w:szCs w:val="20"/>
              </w:rPr>
              <w:t>Deduct for losses incurred in t</w:t>
            </w:r>
            <w:r w:rsidR="007956C5">
              <w:rPr>
                <w:sz w:val="20"/>
                <w:szCs w:val="20"/>
              </w:rPr>
              <w:t>rade or business</w:t>
            </w:r>
          </w:p>
        </w:tc>
        <w:tc>
          <w:tcPr>
            <w:tcW w:w="2263" w:type="dxa"/>
            <w:tcBorders>
              <w:top w:val="single" w:sz="4" w:space="0" w:color="000000"/>
              <w:left w:val="single" w:sz="4" w:space="0" w:color="000000"/>
              <w:bottom w:val="dashed" w:sz="4" w:space="0" w:color="000000"/>
              <w:right w:val="dashed" w:sz="4" w:space="0" w:color="000000"/>
            </w:tcBorders>
            <w:shd w:val="clear" w:color="auto" w:fill="auto"/>
            <w:tcMar>
              <w:top w:w="0" w:type="dxa"/>
              <w:left w:w="0" w:type="dxa"/>
              <w:bottom w:w="0" w:type="dxa"/>
              <w:right w:w="0" w:type="dxa"/>
            </w:tcMar>
            <w:vAlign w:val="center"/>
          </w:tcPr>
          <w:p w14:paraId="0E893C02" w14:textId="245BF4B8" w:rsidR="00B85825" w:rsidRPr="00B85825" w:rsidRDefault="00B85825" w:rsidP="007956C5">
            <w:pPr>
              <w:spacing w:line="240" w:lineRule="auto"/>
              <w:jc w:val="center"/>
              <w:rPr>
                <w:sz w:val="20"/>
                <w:szCs w:val="20"/>
              </w:rPr>
            </w:pPr>
            <w:r w:rsidRPr="00B85825">
              <w:rPr>
                <w:sz w:val="20"/>
                <w:szCs w:val="20"/>
              </w:rPr>
              <w:t>§ 165(c)(2)</w:t>
            </w:r>
            <w:r w:rsidR="007956C5">
              <w:rPr>
                <w:sz w:val="20"/>
                <w:szCs w:val="20"/>
              </w:rPr>
              <w:t xml:space="preserve"> - D</w:t>
            </w:r>
            <w:r w:rsidRPr="00B85825">
              <w:rPr>
                <w:sz w:val="20"/>
                <w:szCs w:val="20"/>
              </w:rPr>
              <w:t>educt for losses incurred in profit-seeking activity</w:t>
            </w:r>
          </w:p>
        </w:tc>
        <w:tc>
          <w:tcPr>
            <w:tcW w:w="2237" w:type="dxa"/>
            <w:tcBorders>
              <w:top w:val="single" w:sz="4" w:space="0" w:color="000000"/>
              <w:left w:val="dashed"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AFC6285" w14:textId="2FA5846C" w:rsidR="00B85825" w:rsidRPr="00B85825" w:rsidRDefault="007956C5" w:rsidP="007956C5">
            <w:pPr>
              <w:spacing w:line="240" w:lineRule="auto"/>
              <w:jc w:val="center"/>
              <w:rPr>
                <w:sz w:val="20"/>
                <w:szCs w:val="20"/>
              </w:rPr>
            </w:pPr>
            <w:r>
              <w:rPr>
                <w:sz w:val="20"/>
                <w:szCs w:val="20"/>
              </w:rPr>
              <w:t xml:space="preserve">§ 165(c)(3) - </w:t>
            </w:r>
            <w:r w:rsidR="00B85825" w:rsidRPr="00B85825">
              <w:rPr>
                <w:sz w:val="20"/>
                <w:szCs w:val="20"/>
              </w:rPr>
              <w:t>No deduction for personal losses unless casualty</w:t>
            </w:r>
          </w:p>
        </w:tc>
      </w:tr>
      <w:tr w:rsidR="007956C5" w14:paraId="07E4EA2C" w14:textId="77777777" w:rsidTr="0088140C">
        <w:trPr>
          <w:cantSplit/>
          <w:trHeight w:val="1008"/>
          <w:jc w:val="center"/>
        </w:trPr>
        <w:tc>
          <w:tcPr>
            <w:tcW w:w="864"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bottom w:w="0" w:type="dxa"/>
              <w:right w:w="0" w:type="dxa"/>
            </w:tcMar>
            <w:vAlign w:val="center"/>
          </w:tcPr>
          <w:p w14:paraId="37ACB901" w14:textId="77777777" w:rsidR="007956C5" w:rsidRPr="007956C5" w:rsidRDefault="007956C5" w:rsidP="007956C5">
            <w:pPr>
              <w:spacing w:line="240" w:lineRule="auto"/>
              <w:jc w:val="center"/>
              <w:rPr>
                <w:b/>
                <w:sz w:val="20"/>
                <w:szCs w:val="20"/>
              </w:rPr>
            </w:pPr>
            <w:r w:rsidRPr="007956C5">
              <w:rPr>
                <w:b/>
                <w:sz w:val="20"/>
                <w:szCs w:val="20"/>
              </w:rPr>
              <w:t>Bad Debts</w:t>
            </w:r>
          </w:p>
        </w:tc>
        <w:tc>
          <w:tcPr>
            <w:tcW w:w="2160" w:type="dxa"/>
            <w:tcBorders>
              <w:top w:val="single" w:sz="4" w:space="0" w:color="000000"/>
              <w:left w:val="single" w:sz="4" w:space="0" w:color="000000"/>
              <w:bottom w:val="single" w:sz="4" w:space="0" w:color="000000"/>
              <w:right w:val="dashed" w:sz="4" w:space="0" w:color="000000"/>
            </w:tcBorders>
            <w:shd w:val="clear" w:color="auto" w:fill="auto"/>
            <w:tcMar>
              <w:top w:w="0" w:type="dxa"/>
              <w:left w:w="0" w:type="dxa"/>
              <w:bottom w:w="0" w:type="dxa"/>
              <w:right w:w="0" w:type="dxa"/>
            </w:tcMar>
            <w:vAlign w:val="center"/>
          </w:tcPr>
          <w:p w14:paraId="70CE6D81" w14:textId="2F97859E" w:rsidR="007956C5" w:rsidRPr="00B85825" w:rsidRDefault="007956C5" w:rsidP="007956C5">
            <w:pPr>
              <w:spacing w:line="240" w:lineRule="auto"/>
              <w:jc w:val="center"/>
              <w:rPr>
                <w:sz w:val="20"/>
                <w:szCs w:val="20"/>
              </w:rPr>
            </w:pPr>
            <w:r w:rsidRPr="00B85825">
              <w:rPr>
                <w:sz w:val="20"/>
                <w:szCs w:val="20"/>
              </w:rPr>
              <w:t>§ 166(a)</w:t>
            </w:r>
            <w:r>
              <w:rPr>
                <w:sz w:val="20"/>
                <w:szCs w:val="20"/>
              </w:rPr>
              <w:t xml:space="preserve"> - </w:t>
            </w:r>
            <w:r w:rsidRPr="00B85825">
              <w:rPr>
                <w:sz w:val="20"/>
                <w:szCs w:val="20"/>
              </w:rPr>
              <w:t>Deduct for bad business debts</w:t>
            </w:r>
          </w:p>
        </w:tc>
        <w:tc>
          <w:tcPr>
            <w:tcW w:w="2263" w:type="dxa"/>
            <w:tcBorders>
              <w:top w:val="dashed" w:sz="4" w:space="0" w:color="000000"/>
              <w:left w:val="dashed"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0C27A10" w14:textId="55D7883D" w:rsidR="007956C5" w:rsidRPr="00B85825" w:rsidRDefault="007956C5" w:rsidP="0088140C">
            <w:pPr>
              <w:spacing w:line="240" w:lineRule="auto"/>
              <w:jc w:val="center"/>
              <w:rPr>
                <w:sz w:val="20"/>
                <w:szCs w:val="20"/>
              </w:rPr>
            </w:pPr>
            <w:r w:rsidRPr="00B85825">
              <w:rPr>
                <w:sz w:val="20"/>
                <w:szCs w:val="20"/>
              </w:rPr>
              <w:t>§ 166(d)</w:t>
            </w:r>
            <w:r>
              <w:rPr>
                <w:sz w:val="20"/>
                <w:szCs w:val="20"/>
              </w:rPr>
              <w:t xml:space="preserve"> - </w:t>
            </w:r>
            <w:r w:rsidR="0088140C">
              <w:rPr>
                <w:sz w:val="20"/>
                <w:szCs w:val="20"/>
              </w:rPr>
              <w:t>N</w:t>
            </w:r>
            <w:r>
              <w:rPr>
                <w:sz w:val="20"/>
                <w:szCs w:val="20"/>
              </w:rPr>
              <w:t>onbusiness debts</w:t>
            </w:r>
            <w:r w:rsidR="0088140C">
              <w:rPr>
                <w:sz w:val="20"/>
                <w:szCs w:val="20"/>
              </w:rPr>
              <w:t xml:space="preserve"> </w:t>
            </w:r>
            <w:r>
              <w:rPr>
                <w:sz w:val="20"/>
                <w:szCs w:val="20"/>
              </w:rPr>
              <w:t xml:space="preserve">deductible as </w:t>
            </w:r>
            <w:r w:rsidRPr="00B85825">
              <w:rPr>
                <w:sz w:val="20"/>
                <w:szCs w:val="20"/>
              </w:rPr>
              <w:t>capital loss sub</w:t>
            </w:r>
            <w:r>
              <w:rPr>
                <w:sz w:val="20"/>
                <w:szCs w:val="20"/>
              </w:rPr>
              <w:t>ject to § 1211(b)</w:t>
            </w:r>
          </w:p>
        </w:tc>
        <w:tc>
          <w:tcPr>
            <w:tcW w:w="22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9247D39" w14:textId="01FA069B" w:rsidR="007956C5" w:rsidRPr="00B85825" w:rsidRDefault="0088140C" w:rsidP="007956C5">
            <w:pPr>
              <w:spacing w:line="240" w:lineRule="auto"/>
              <w:jc w:val="center"/>
              <w:rPr>
                <w:sz w:val="20"/>
                <w:szCs w:val="20"/>
              </w:rPr>
            </w:pPr>
            <w:r w:rsidRPr="00B85825">
              <w:rPr>
                <w:sz w:val="20"/>
                <w:szCs w:val="20"/>
              </w:rPr>
              <w:t>§ 166(d)</w:t>
            </w:r>
            <w:r>
              <w:rPr>
                <w:sz w:val="20"/>
                <w:szCs w:val="20"/>
              </w:rPr>
              <w:t xml:space="preserve"> - Nonbusiness debts deductible as </w:t>
            </w:r>
            <w:r w:rsidRPr="00B85825">
              <w:rPr>
                <w:sz w:val="20"/>
                <w:szCs w:val="20"/>
              </w:rPr>
              <w:t>capital loss sub</w:t>
            </w:r>
            <w:r>
              <w:rPr>
                <w:sz w:val="20"/>
                <w:szCs w:val="20"/>
              </w:rPr>
              <w:t>ject to § 1211(b)</w:t>
            </w:r>
          </w:p>
        </w:tc>
      </w:tr>
    </w:tbl>
    <w:p w14:paraId="71387876" w14:textId="5F17FC2D" w:rsidR="00891030" w:rsidRDefault="00891030" w:rsidP="00891030">
      <w:pPr>
        <w:pStyle w:val="Heading4"/>
        <w:rPr>
          <w:sz w:val="20"/>
          <w:szCs w:val="20"/>
        </w:rPr>
      </w:pPr>
      <w:r w:rsidRPr="00891030">
        <w:rPr>
          <w:sz w:val="20"/>
          <w:szCs w:val="20"/>
        </w:rPr>
        <w:t>Capital Expenses</w:t>
      </w:r>
    </w:p>
    <w:p w14:paraId="1E69EE50" w14:textId="6FD5CF95" w:rsidR="00F22662" w:rsidRPr="003655EC" w:rsidRDefault="00F22662" w:rsidP="00663F20">
      <w:pPr>
        <w:pStyle w:val="ListParagraph"/>
        <w:numPr>
          <w:ilvl w:val="0"/>
          <w:numId w:val="10"/>
        </w:numPr>
      </w:pPr>
      <w:r>
        <w:rPr>
          <w:sz w:val="20"/>
        </w:rPr>
        <w:t xml:space="preserve">Expensing is more beneficial than capitalizing expenditures due to benefits of tax deferral – </w:t>
      </w:r>
      <w:r>
        <w:rPr>
          <w:i/>
          <w:sz w:val="20"/>
        </w:rPr>
        <w:t>se</w:t>
      </w:r>
      <w:r w:rsidR="00F865A1">
        <w:rPr>
          <w:i/>
          <w:sz w:val="20"/>
        </w:rPr>
        <w:t>e page 5</w:t>
      </w:r>
    </w:p>
    <w:p w14:paraId="7889787E" w14:textId="2EBBFA96" w:rsidR="003655EC" w:rsidRPr="00F22662" w:rsidRDefault="003655EC" w:rsidP="003655EC">
      <w:pPr>
        <w:pStyle w:val="ListParagraph"/>
        <w:numPr>
          <w:ilvl w:val="1"/>
          <w:numId w:val="10"/>
        </w:numPr>
      </w:pPr>
      <w:r>
        <w:rPr>
          <w:sz w:val="20"/>
        </w:rPr>
        <w:t xml:space="preserve">However, capitalization </w:t>
      </w:r>
      <w:r>
        <w:rPr>
          <w:i/>
          <w:sz w:val="20"/>
        </w:rPr>
        <w:t xml:space="preserve">might </w:t>
      </w:r>
      <w:r>
        <w:rPr>
          <w:sz w:val="20"/>
        </w:rPr>
        <w:t>be</w:t>
      </w:r>
      <w:r w:rsidR="000F74CD">
        <w:rPr>
          <w:sz w:val="20"/>
        </w:rPr>
        <w:t xml:space="preserve"> more beneficial if there is n</w:t>
      </w:r>
      <w:r>
        <w:rPr>
          <w:sz w:val="20"/>
        </w:rPr>
        <w:t xml:space="preserve">o income to deduct against </w:t>
      </w:r>
      <w:r w:rsidR="000F74CD">
        <w:rPr>
          <w:sz w:val="20"/>
        </w:rPr>
        <w:t>this</w:t>
      </w:r>
      <w:r>
        <w:rPr>
          <w:sz w:val="20"/>
        </w:rPr>
        <w:t xml:space="preserve"> year </w:t>
      </w:r>
    </w:p>
    <w:p w14:paraId="4263A1D9" w14:textId="08C23B4F" w:rsidR="00D248BF" w:rsidRPr="00D248BF" w:rsidRDefault="00D248BF" w:rsidP="00663F20">
      <w:pPr>
        <w:pStyle w:val="ListParagraph"/>
        <w:numPr>
          <w:ilvl w:val="0"/>
          <w:numId w:val="10"/>
        </w:numPr>
      </w:pPr>
      <w:r>
        <w:rPr>
          <w:sz w:val="20"/>
        </w:rPr>
        <w:t>§179 allows small businesses to expense some purchases of capital equipment rather than capitalize them</w:t>
      </w:r>
    </w:p>
    <w:p w14:paraId="5C6FE1D7" w14:textId="6BD342E7" w:rsidR="00D248BF" w:rsidRPr="00D248BF" w:rsidRDefault="00D248BF" w:rsidP="00D248BF">
      <w:pPr>
        <w:pStyle w:val="ListParagraph"/>
        <w:numPr>
          <w:ilvl w:val="1"/>
          <w:numId w:val="10"/>
        </w:numPr>
      </w:pPr>
      <w:r>
        <w:rPr>
          <w:sz w:val="20"/>
        </w:rPr>
        <w:t>Subject to dollar caps (expanded to encourage investment during financial crisis)</w:t>
      </w:r>
    </w:p>
    <w:p w14:paraId="363241A2" w14:textId="6B2D19B8" w:rsidR="00663F20" w:rsidRPr="00E52907" w:rsidRDefault="00663F20" w:rsidP="00E52907">
      <w:pPr>
        <w:pStyle w:val="ListParagraph"/>
        <w:numPr>
          <w:ilvl w:val="0"/>
          <w:numId w:val="10"/>
        </w:numPr>
        <w:rPr>
          <w:sz w:val="20"/>
        </w:rPr>
      </w:pPr>
      <w:r>
        <w:rPr>
          <w:sz w:val="20"/>
        </w:rPr>
        <w:t xml:space="preserve">Costs associated </w:t>
      </w:r>
      <w:r w:rsidR="003E5E73">
        <w:rPr>
          <w:sz w:val="20"/>
        </w:rPr>
        <w:t xml:space="preserve">with a </w:t>
      </w:r>
      <w:r>
        <w:rPr>
          <w:sz w:val="20"/>
        </w:rPr>
        <w:t xml:space="preserve">capital asset </w:t>
      </w:r>
      <w:r w:rsidR="003E5E73">
        <w:rPr>
          <w:sz w:val="20"/>
        </w:rPr>
        <w:t xml:space="preserve">purchase </w:t>
      </w:r>
      <w:r w:rsidRPr="003E5E73">
        <w:rPr>
          <w:sz w:val="20"/>
        </w:rPr>
        <w:t>are not</w:t>
      </w:r>
      <w:r>
        <w:rPr>
          <w:b/>
          <w:sz w:val="20"/>
        </w:rPr>
        <w:t xml:space="preserve"> </w:t>
      </w:r>
      <w:r>
        <w:rPr>
          <w:sz w:val="20"/>
        </w:rPr>
        <w:t>deductible</w:t>
      </w:r>
      <w:r w:rsidR="003E5E73">
        <w:rPr>
          <w:sz w:val="20"/>
        </w:rPr>
        <w:t xml:space="preserve"> </w:t>
      </w:r>
      <w:r w:rsidRPr="00E52907">
        <w:rPr>
          <w:sz w:val="20"/>
        </w:rPr>
        <w:t xml:space="preserve">– </w:t>
      </w:r>
      <w:r w:rsidRPr="00E52907">
        <w:rPr>
          <w:i/>
          <w:sz w:val="20"/>
        </w:rPr>
        <w:t xml:space="preserve">Woodward </w:t>
      </w:r>
      <w:r w:rsidRPr="00E52907">
        <w:rPr>
          <w:sz w:val="20"/>
        </w:rPr>
        <w:t>(appraisal fees for stock purchase should be lumped in with the rest of the capital acquisition expenses)</w:t>
      </w:r>
    </w:p>
    <w:p w14:paraId="2E0D8B1B" w14:textId="77777777" w:rsidR="00482106" w:rsidRPr="00482106" w:rsidRDefault="00663F20" w:rsidP="00482106">
      <w:pPr>
        <w:pStyle w:val="ListParagraph"/>
        <w:numPr>
          <w:ilvl w:val="1"/>
          <w:numId w:val="10"/>
        </w:numPr>
      </w:pPr>
      <w:r>
        <w:rPr>
          <w:sz w:val="20"/>
        </w:rPr>
        <w:t xml:space="preserve">The standard to be applied is an origin of the claim </w:t>
      </w:r>
    </w:p>
    <w:p w14:paraId="59571FAA" w14:textId="46F52583" w:rsidR="008E1C05" w:rsidRDefault="008E1C05" w:rsidP="008E1C05">
      <w:pPr>
        <w:pStyle w:val="ListParagraph"/>
        <w:numPr>
          <w:ilvl w:val="2"/>
          <w:numId w:val="10"/>
        </w:numPr>
        <w:rPr>
          <w:sz w:val="20"/>
        </w:rPr>
      </w:pPr>
      <w:r>
        <w:rPr>
          <w:sz w:val="20"/>
        </w:rPr>
        <w:t xml:space="preserve">Two exceptions to rule that expenses of facilitating a transaction must be capitalized – de </w:t>
      </w:r>
      <w:proofErr w:type="spellStart"/>
      <w:r>
        <w:rPr>
          <w:sz w:val="20"/>
        </w:rPr>
        <w:t>minimis</w:t>
      </w:r>
      <w:proofErr w:type="spellEnd"/>
      <w:r>
        <w:rPr>
          <w:sz w:val="20"/>
        </w:rPr>
        <w:t xml:space="preserve"> and employee compensation</w:t>
      </w:r>
    </w:p>
    <w:p w14:paraId="45ACFCB0" w14:textId="4E8D3A2F" w:rsidR="008E1C05" w:rsidRDefault="008E1C05" w:rsidP="008E1C05">
      <w:pPr>
        <w:pStyle w:val="ListParagraph"/>
        <w:numPr>
          <w:ilvl w:val="3"/>
          <w:numId w:val="10"/>
        </w:numPr>
        <w:rPr>
          <w:sz w:val="20"/>
        </w:rPr>
      </w:pPr>
      <w:r>
        <w:rPr>
          <w:sz w:val="20"/>
        </w:rPr>
        <w:t xml:space="preserve">Although the employee compensation exception was made out of administrative necessity, it creates a </w:t>
      </w:r>
      <w:r>
        <w:rPr>
          <w:i/>
          <w:sz w:val="20"/>
        </w:rPr>
        <w:t xml:space="preserve">huge </w:t>
      </w:r>
      <w:r>
        <w:rPr>
          <w:sz w:val="20"/>
        </w:rPr>
        <w:t>incentive to create in-house purchasing jobs, since those costs are immediately deductible</w:t>
      </w:r>
    </w:p>
    <w:p w14:paraId="5DF4BA54" w14:textId="2887AC45" w:rsidR="003E5E73" w:rsidRPr="007C5076" w:rsidRDefault="009B4B99" w:rsidP="003E5E73">
      <w:pPr>
        <w:pStyle w:val="ListParagraph"/>
        <w:numPr>
          <w:ilvl w:val="3"/>
          <w:numId w:val="10"/>
        </w:numPr>
      </w:pPr>
      <w:r>
        <w:rPr>
          <w:sz w:val="20"/>
        </w:rPr>
        <w:t xml:space="preserve">Bush &amp; </w:t>
      </w:r>
      <w:r w:rsidR="003E5E73">
        <w:rPr>
          <w:sz w:val="20"/>
        </w:rPr>
        <w:t>Obama administrations issued regulations allowing immediate deduction of in-house c</w:t>
      </w:r>
      <w:r>
        <w:rPr>
          <w:sz w:val="20"/>
        </w:rPr>
        <w:t>osts of acquiring intangible &amp;</w:t>
      </w:r>
      <w:r w:rsidR="003E5E73">
        <w:rPr>
          <w:sz w:val="20"/>
        </w:rPr>
        <w:t xml:space="preserve"> tangible asse</w:t>
      </w:r>
      <w:r>
        <w:rPr>
          <w:sz w:val="20"/>
        </w:rPr>
        <w:t>ts, respectively. This creates a</w:t>
      </w:r>
      <w:r w:rsidR="003E5E73">
        <w:rPr>
          <w:sz w:val="20"/>
        </w:rPr>
        <w:t xml:space="preserve"> large ince</w:t>
      </w:r>
      <w:r>
        <w:rPr>
          <w:sz w:val="20"/>
        </w:rPr>
        <w:t xml:space="preserve">ntive for no one to make things and </w:t>
      </w:r>
      <w:r w:rsidR="003E5E73">
        <w:rPr>
          <w:sz w:val="20"/>
        </w:rPr>
        <w:t>use in-house purchasing departments whose costs can be immediatel</w:t>
      </w:r>
      <w:r>
        <w:rPr>
          <w:sz w:val="20"/>
        </w:rPr>
        <w:t>y deducted</w:t>
      </w:r>
    </w:p>
    <w:p w14:paraId="1AFE02D4" w14:textId="5E92C115" w:rsidR="003E5E73" w:rsidRPr="009B4B99" w:rsidRDefault="003E5E73" w:rsidP="00C71E3C">
      <w:pPr>
        <w:pStyle w:val="ListParagraph"/>
        <w:numPr>
          <w:ilvl w:val="2"/>
          <w:numId w:val="10"/>
        </w:numPr>
      </w:pPr>
      <w:r>
        <w:rPr>
          <w:sz w:val="20"/>
        </w:rPr>
        <w:t xml:space="preserve">However, </w:t>
      </w:r>
      <w:r w:rsidR="00C721A1">
        <w:rPr>
          <w:sz w:val="20"/>
        </w:rPr>
        <w:t>general rationale</w:t>
      </w:r>
      <w:r>
        <w:rPr>
          <w:sz w:val="20"/>
        </w:rPr>
        <w:t xml:space="preserve"> of </w:t>
      </w:r>
      <w:r>
        <w:rPr>
          <w:i/>
          <w:sz w:val="20"/>
        </w:rPr>
        <w:t xml:space="preserve">Woodward – </w:t>
      </w:r>
      <w:r>
        <w:rPr>
          <w:sz w:val="20"/>
        </w:rPr>
        <w:t>costs associated with capital expenditures must still be capitalized –</w:t>
      </w:r>
      <w:r w:rsidR="00C721A1">
        <w:rPr>
          <w:sz w:val="20"/>
        </w:rPr>
        <w:t xml:space="preserve"> still applies </w:t>
      </w:r>
      <w:r>
        <w:rPr>
          <w:sz w:val="20"/>
        </w:rPr>
        <w:t>in manufacturing contexts</w:t>
      </w:r>
    </w:p>
    <w:p w14:paraId="4F701F27" w14:textId="7930A7F2" w:rsidR="00D248BF" w:rsidRPr="00D248BF" w:rsidRDefault="00D248BF" w:rsidP="00D248BF">
      <w:pPr>
        <w:pStyle w:val="ListParagraph"/>
        <w:numPr>
          <w:ilvl w:val="0"/>
          <w:numId w:val="10"/>
        </w:numPr>
      </w:pPr>
      <w:r>
        <w:rPr>
          <w:sz w:val="20"/>
        </w:rPr>
        <w:t>Direct costs of property (and allocable indirect costs) must be capitalized - §263A(a)</w:t>
      </w:r>
    </w:p>
    <w:p w14:paraId="23A23F72" w14:textId="5717E3DC" w:rsidR="00D248BF" w:rsidRPr="00482106" w:rsidRDefault="00D248BF" w:rsidP="00D248BF">
      <w:pPr>
        <w:pStyle w:val="ListParagraph"/>
        <w:numPr>
          <w:ilvl w:val="1"/>
          <w:numId w:val="10"/>
        </w:numPr>
      </w:pPr>
      <w:r>
        <w:rPr>
          <w:sz w:val="20"/>
        </w:rPr>
        <w:t>Numerous exceptions, including Christmas trees (hiding behind four layers of negation) and creative expenses of writers, photographers and artists</w:t>
      </w:r>
    </w:p>
    <w:p w14:paraId="4A8D4F5B" w14:textId="2CE649D8" w:rsidR="00482106" w:rsidRPr="00482106" w:rsidRDefault="00482106" w:rsidP="00482106">
      <w:pPr>
        <w:pStyle w:val="ListParagraph"/>
        <w:numPr>
          <w:ilvl w:val="0"/>
          <w:numId w:val="10"/>
        </w:numPr>
      </w:pPr>
      <w:r>
        <w:rPr>
          <w:sz w:val="20"/>
        </w:rPr>
        <w:t xml:space="preserve">The receipt of benefits beyond the tax year are an important consideration in whether expenses are deductible or must be capitalized – </w:t>
      </w:r>
      <w:r>
        <w:rPr>
          <w:i/>
          <w:sz w:val="20"/>
        </w:rPr>
        <w:t>INDOPCO</w:t>
      </w:r>
    </w:p>
    <w:p w14:paraId="3075D516" w14:textId="4CFE85B3" w:rsidR="00146186" w:rsidRPr="00C63D13" w:rsidRDefault="000F74CD" w:rsidP="00146186">
      <w:pPr>
        <w:pStyle w:val="ListParagraph"/>
        <w:numPr>
          <w:ilvl w:val="1"/>
          <w:numId w:val="10"/>
        </w:numPr>
      </w:pPr>
      <w:r>
        <w:rPr>
          <w:sz w:val="20"/>
        </w:rPr>
        <w:t>Created so much uncertainty that</w:t>
      </w:r>
      <w:r w:rsidR="00146186">
        <w:rPr>
          <w:sz w:val="20"/>
        </w:rPr>
        <w:t xml:space="preserve"> IRS published guidance </w:t>
      </w:r>
      <w:r>
        <w:rPr>
          <w:sz w:val="20"/>
        </w:rPr>
        <w:t>on what</w:t>
      </w:r>
      <w:r w:rsidR="00146186">
        <w:rPr>
          <w:sz w:val="20"/>
        </w:rPr>
        <w:t xml:space="preserve"> expenses </w:t>
      </w:r>
      <w:r>
        <w:rPr>
          <w:sz w:val="20"/>
        </w:rPr>
        <w:t xml:space="preserve">must </w:t>
      </w:r>
      <w:r w:rsidR="00146186">
        <w:rPr>
          <w:sz w:val="20"/>
        </w:rPr>
        <w:t xml:space="preserve">be capitalized </w:t>
      </w:r>
    </w:p>
    <w:p w14:paraId="337C7E84" w14:textId="7F017580" w:rsidR="00146186" w:rsidRPr="00E550BB" w:rsidRDefault="00E550BB" w:rsidP="00146186">
      <w:pPr>
        <w:pStyle w:val="ListParagraph"/>
        <w:numPr>
          <w:ilvl w:val="1"/>
          <w:numId w:val="10"/>
        </w:numPr>
      </w:pPr>
      <w:r>
        <w:rPr>
          <w:sz w:val="20"/>
        </w:rPr>
        <w:t>The IRS has</w:t>
      </w:r>
      <w:r w:rsidR="00146186">
        <w:rPr>
          <w:sz w:val="20"/>
        </w:rPr>
        <w:t xml:space="preserve"> tried to severely limit the impact of </w:t>
      </w:r>
      <w:r w:rsidR="00146186">
        <w:rPr>
          <w:i/>
          <w:sz w:val="20"/>
        </w:rPr>
        <w:t>INDOPCO</w:t>
      </w:r>
      <w:r w:rsidR="00146186">
        <w:rPr>
          <w:sz w:val="20"/>
        </w:rPr>
        <w:t xml:space="preserve"> by allowing deductions for a number of expenses that produce future benefits (advertising, in-house purchase facilitation, etc.)</w:t>
      </w:r>
    </w:p>
    <w:p w14:paraId="0A344BA7" w14:textId="71872A7E" w:rsidR="00E550BB" w:rsidRPr="00727421" w:rsidRDefault="00E550BB" w:rsidP="00E550BB">
      <w:pPr>
        <w:pStyle w:val="ListParagraph"/>
        <w:numPr>
          <w:ilvl w:val="2"/>
          <w:numId w:val="10"/>
        </w:numPr>
      </w:pPr>
      <w:r>
        <w:rPr>
          <w:sz w:val="20"/>
        </w:rPr>
        <w:t xml:space="preserve">Effort to produce certainty has led to promulgation of </w:t>
      </w:r>
      <w:r>
        <w:rPr>
          <w:i/>
          <w:sz w:val="20"/>
        </w:rPr>
        <w:t xml:space="preserve">very </w:t>
      </w:r>
      <w:r>
        <w:rPr>
          <w:sz w:val="20"/>
        </w:rPr>
        <w:t>fact-specific revenue rulings (Rev. Rul. 2001-4 – 3 different plane repair scenarios)</w:t>
      </w:r>
    </w:p>
    <w:p w14:paraId="727E4108" w14:textId="31EE6BE7" w:rsidR="00727421" w:rsidRPr="007318CE" w:rsidRDefault="00727421" w:rsidP="00727421">
      <w:pPr>
        <w:pStyle w:val="ListParagraph"/>
        <w:numPr>
          <w:ilvl w:val="3"/>
          <w:numId w:val="10"/>
        </w:numPr>
      </w:pPr>
      <w:r>
        <w:rPr>
          <w:sz w:val="20"/>
        </w:rPr>
        <w:t>If an expenditure 1) adapts an asset for a new or materially different use, 2) significantly prolongs the asset’s useful life, or 3) materially adds to the asset’s value, it should be capitalized. Otherwise, it is a deductible repair</w:t>
      </w:r>
    </w:p>
    <w:p w14:paraId="571BC6DC" w14:textId="3151A641" w:rsidR="007318CE" w:rsidRPr="007318CE" w:rsidRDefault="007318CE" w:rsidP="00727421">
      <w:pPr>
        <w:pStyle w:val="ListParagraph"/>
        <w:numPr>
          <w:ilvl w:val="3"/>
          <w:numId w:val="10"/>
        </w:numPr>
      </w:pPr>
      <w:r>
        <w:rPr>
          <w:sz w:val="20"/>
        </w:rPr>
        <w:t>If costs are part of a general plan of rehabilitation, all costs are capitalized</w:t>
      </w:r>
    </w:p>
    <w:p w14:paraId="2463DAE4" w14:textId="717D35D7" w:rsidR="007318CE" w:rsidRPr="00E52907" w:rsidRDefault="007318CE" w:rsidP="00727421">
      <w:pPr>
        <w:pStyle w:val="ListParagraph"/>
        <w:numPr>
          <w:ilvl w:val="3"/>
          <w:numId w:val="10"/>
        </w:numPr>
      </w:pPr>
      <w:r>
        <w:rPr>
          <w:sz w:val="20"/>
        </w:rPr>
        <w:t xml:space="preserve">Costs </w:t>
      </w:r>
      <w:r>
        <w:rPr>
          <w:i/>
          <w:sz w:val="20"/>
        </w:rPr>
        <w:t xml:space="preserve">may </w:t>
      </w:r>
      <w:r>
        <w:rPr>
          <w:sz w:val="20"/>
        </w:rPr>
        <w:t>be split between capitalized and deductible in some scenarios</w:t>
      </w:r>
    </w:p>
    <w:p w14:paraId="6B876CDE" w14:textId="3AABC970" w:rsidR="00E52907" w:rsidRPr="00F7697D" w:rsidRDefault="00E52907" w:rsidP="00E52907">
      <w:pPr>
        <w:pStyle w:val="ListParagraph"/>
        <w:numPr>
          <w:ilvl w:val="2"/>
          <w:numId w:val="10"/>
        </w:numPr>
      </w:pPr>
      <w:r>
        <w:rPr>
          <w:sz w:val="20"/>
        </w:rPr>
        <w:t xml:space="preserve">§7421 restricts the ability of individuals to force the IRS to collect someone else’s taxes – so the IRS’ move away from </w:t>
      </w:r>
      <w:r>
        <w:rPr>
          <w:i/>
          <w:sz w:val="20"/>
        </w:rPr>
        <w:t xml:space="preserve">INDOPCO </w:t>
      </w:r>
      <w:r>
        <w:rPr>
          <w:sz w:val="20"/>
        </w:rPr>
        <w:t xml:space="preserve">is probably </w:t>
      </w:r>
      <w:r>
        <w:rPr>
          <w:i/>
          <w:sz w:val="20"/>
        </w:rPr>
        <w:t xml:space="preserve">never </w:t>
      </w:r>
      <w:r>
        <w:rPr>
          <w:sz w:val="20"/>
        </w:rPr>
        <w:t>subject to judicial review</w:t>
      </w:r>
    </w:p>
    <w:p w14:paraId="3D8FEBD1" w14:textId="175FF45B" w:rsidR="0088140C" w:rsidRDefault="00C70080" w:rsidP="00AD15FF">
      <w:pPr>
        <w:pStyle w:val="ListParagraph"/>
        <w:numPr>
          <w:ilvl w:val="0"/>
          <w:numId w:val="10"/>
        </w:numPr>
        <w:rPr>
          <w:sz w:val="20"/>
          <w:szCs w:val="20"/>
        </w:rPr>
      </w:pPr>
      <w:r>
        <w:rPr>
          <w:sz w:val="20"/>
          <w:szCs w:val="20"/>
        </w:rPr>
        <w:lastRenderedPageBreak/>
        <w:t xml:space="preserve">Start-up expenses </w:t>
      </w:r>
      <w:r>
        <w:rPr>
          <w:b/>
          <w:sz w:val="20"/>
          <w:szCs w:val="20"/>
        </w:rPr>
        <w:t xml:space="preserve">are not </w:t>
      </w:r>
      <w:r w:rsidR="000F74CD">
        <w:rPr>
          <w:sz w:val="20"/>
          <w:szCs w:val="20"/>
        </w:rPr>
        <w:t>deductible unless less</w:t>
      </w:r>
      <w:r>
        <w:rPr>
          <w:sz w:val="20"/>
          <w:szCs w:val="20"/>
        </w:rPr>
        <w:t xml:space="preserve"> than $5,000 </w:t>
      </w:r>
      <w:r w:rsidR="00962359">
        <w:rPr>
          <w:sz w:val="20"/>
          <w:szCs w:val="20"/>
        </w:rPr>
        <w:t>(deduct</w:t>
      </w:r>
      <w:r w:rsidR="000F74CD">
        <w:rPr>
          <w:sz w:val="20"/>
          <w:szCs w:val="20"/>
        </w:rPr>
        <w:t>ion is phased out between $50k and $55k</w:t>
      </w:r>
      <w:r w:rsidR="00962359">
        <w:rPr>
          <w:sz w:val="20"/>
          <w:szCs w:val="20"/>
        </w:rPr>
        <w:t>)</w:t>
      </w:r>
      <w:r w:rsidR="00072E19">
        <w:rPr>
          <w:sz w:val="20"/>
          <w:szCs w:val="20"/>
        </w:rPr>
        <w:t xml:space="preserve"> </w:t>
      </w:r>
      <w:r>
        <w:rPr>
          <w:sz w:val="20"/>
          <w:szCs w:val="20"/>
        </w:rPr>
        <w:t>– all excess is amortized over 15 years - §195</w:t>
      </w:r>
    </w:p>
    <w:p w14:paraId="27FDFBC5" w14:textId="101853B4" w:rsidR="00D50BE3" w:rsidRDefault="00D50BE3" w:rsidP="00D50BE3">
      <w:pPr>
        <w:pStyle w:val="ListParagraph"/>
        <w:numPr>
          <w:ilvl w:val="1"/>
          <w:numId w:val="10"/>
        </w:numPr>
        <w:rPr>
          <w:sz w:val="20"/>
          <w:szCs w:val="20"/>
        </w:rPr>
      </w:pPr>
      <w:r>
        <w:rPr>
          <w:sz w:val="20"/>
          <w:szCs w:val="20"/>
        </w:rPr>
        <w:t>Start-up expenses are only deductible if they would be deductible for an existing business</w:t>
      </w:r>
    </w:p>
    <w:p w14:paraId="104FE5C7" w14:textId="11C895ED" w:rsidR="00D50BE3" w:rsidRDefault="00D50BE3" w:rsidP="00D50BE3">
      <w:pPr>
        <w:pStyle w:val="ListParagraph"/>
        <w:numPr>
          <w:ilvl w:val="1"/>
          <w:numId w:val="10"/>
        </w:numPr>
        <w:rPr>
          <w:sz w:val="20"/>
          <w:szCs w:val="20"/>
        </w:rPr>
      </w:pPr>
      <w:r>
        <w:rPr>
          <w:sz w:val="20"/>
          <w:szCs w:val="20"/>
        </w:rPr>
        <w:t>Capital expenditures cannot be deducted, even as a start-up cost</w:t>
      </w:r>
      <w:r w:rsidR="00950353">
        <w:rPr>
          <w:sz w:val="20"/>
          <w:szCs w:val="20"/>
        </w:rPr>
        <w:t xml:space="preserve"> - §195(c)</w:t>
      </w:r>
    </w:p>
    <w:p w14:paraId="5F7CE805" w14:textId="03E40AB6" w:rsidR="00012948" w:rsidRDefault="00012948" w:rsidP="00AD15FF">
      <w:pPr>
        <w:pStyle w:val="ListParagraph"/>
        <w:numPr>
          <w:ilvl w:val="0"/>
          <w:numId w:val="10"/>
        </w:numPr>
        <w:rPr>
          <w:sz w:val="20"/>
          <w:szCs w:val="20"/>
        </w:rPr>
      </w:pPr>
      <w:r>
        <w:rPr>
          <w:sz w:val="20"/>
          <w:szCs w:val="20"/>
        </w:rPr>
        <w:t>Non-taxpayer created goodwill and other intangibles are amortized over 15 years - §197</w:t>
      </w:r>
    </w:p>
    <w:p w14:paraId="5E7B9359" w14:textId="2965FB02" w:rsidR="008C3E88" w:rsidRDefault="008C3E88" w:rsidP="008C3E88">
      <w:pPr>
        <w:pStyle w:val="ListParagraph"/>
        <w:numPr>
          <w:ilvl w:val="1"/>
          <w:numId w:val="10"/>
        </w:numPr>
        <w:rPr>
          <w:sz w:val="20"/>
          <w:szCs w:val="20"/>
        </w:rPr>
      </w:pPr>
      <w:r>
        <w:rPr>
          <w:sz w:val="20"/>
          <w:szCs w:val="20"/>
        </w:rPr>
        <w:t>Incentivizes creation of my own goodwill, since advertising costs are immediately deductible</w:t>
      </w:r>
    </w:p>
    <w:p w14:paraId="485B345F" w14:textId="37225548" w:rsidR="00FB60A6" w:rsidRDefault="00FB60A6" w:rsidP="00FB60A6">
      <w:pPr>
        <w:pStyle w:val="ListParagraph"/>
        <w:numPr>
          <w:ilvl w:val="0"/>
          <w:numId w:val="10"/>
        </w:numPr>
        <w:rPr>
          <w:sz w:val="20"/>
          <w:szCs w:val="20"/>
        </w:rPr>
      </w:pPr>
      <w:r>
        <w:rPr>
          <w:sz w:val="20"/>
          <w:szCs w:val="20"/>
        </w:rPr>
        <w:t>De</w:t>
      </w:r>
      <w:r w:rsidR="00B46CFC">
        <w:rPr>
          <w:sz w:val="20"/>
          <w:szCs w:val="20"/>
        </w:rPr>
        <w:t xml:space="preserve">preciation deduction reduces </w:t>
      </w:r>
      <w:r>
        <w:rPr>
          <w:sz w:val="20"/>
          <w:szCs w:val="20"/>
        </w:rPr>
        <w:t>basis of property used in business o</w:t>
      </w:r>
      <w:r w:rsidR="00B46CFC">
        <w:rPr>
          <w:sz w:val="20"/>
          <w:szCs w:val="20"/>
        </w:rPr>
        <w:t xml:space="preserve">r held for </w:t>
      </w:r>
      <w:r>
        <w:rPr>
          <w:sz w:val="20"/>
          <w:szCs w:val="20"/>
        </w:rPr>
        <w:t xml:space="preserve">income </w:t>
      </w:r>
      <w:r w:rsidR="00B46CFC">
        <w:rPr>
          <w:sz w:val="20"/>
          <w:szCs w:val="20"/>
        </w:rPr>
        <w:t xml:space="preserve">production </w:t>
      </w:r>
      <w:r>
        <w:rPr>
          <w:sz w:val="20"/>
          <w:szCs w:val="20"/>
        </w:rPr>
        <w:t>- §167</w:t>
      </w:r>
    </w:p>
    <w:p w14:paraId="67B22EF3" w14:textId="206C6241" w:rsidR="005E44FB" w:rsidRDefault="00B46CFC" w:rsidP="005E44FB">
      <w:pPr>
        <w:pStyle w:val="ListParagraph"/>
        <w:numPr>
          <w:ilvl w:val="1"/>
          <w:numId w:val="10"/>
        </w:numPr>
        <w:rPr>
          <w:sz w:val="20"/>
          <w:szCs w:val="20"/>
        </w:rPr>
      </w:pPr>
      <w:r>
        <w:rPr>
          <w:sz w:val="20"/>
          <w:szCs w:val="20"/>
        </w:rPr>
        <w:t xml:space="preserve">§168 </w:t>
      </w:r>
      <w:r w:rsidR="00CF1207">
        <w:rPr>
          <w:sz w:val="20"/>
          <w:szCs w:val="20"/>
        </w:rPr>
        <w:t xml:space="preserve">generally </w:t>
      </w:r>
      <w:r>
        <w:rPr>
          <w:sz w:val="20"/>
          <w:szCs w:val="20"/>
        </w:rPr>
        <w:t>allows</w:t>
      </w:r>
      <w:r w:rsidR="005E44FB">
        <w:rPr>
          <w:sz w:val="20"/>
          <w:szCs w:val="20"/>
        </w:rPr>
        <w:t xml:space="preserve"> double-declining method, unless 150% method o</w:t>
      </w:r>
      <w:r w:rsidR="00CF1207">
        <w:rPr>
          <w:sz w:val="20"/>
          <w:szCs w:val="20"/>
        </w:rPr>
        <w:t xml:space="preserve">r straight-line is </w:t>
      </w:r>
      <w:r w:rsidR="005E44FB">
        <w:rPr>
          <w:sz w:val="20"/>
          <w:szCs w:val="20"/>
        </w:rPr>
        <w:t>called for</w:t>
      </w:r>
    </w:p>
    <w:p w14:paraId="609AD431" w14:textId="376D688F" w:rsidR="005E44FB" w:rsidRDefault="005E44FB" w:rsidP="005E44FB">
      <w:pPr>
        <w:pStyle w:val="ListParagraph"/>
        <w:numPr>
          <w:ilvl w:val="2"/>
          <w:numId w:val="10"/>
        </w:numPr>
        <w:rPr>
          <w:sz w:val="20"/>
          <w:szCs w:val="20"/>
        </w:rPr>
      </w:pPr>
      <w:r>
        <w:rPr>
          <w:sz w:val="20"/>
          <w:szCs w:val="20"/>
        </w:rPr>
        <w:t>Straight-line can be elected for any asset class</w:t>
      </w:r>
    </w:p>
    <w:p w14:paraId="1EE2F9A4" w14:textId="18F07185" w:rsidR="00DA6C09" w:rsidRDefault="00DA6C09" w:rsidP="00DA6C09">
      <w:pPr>
        <w:pStyle w:val="ListParagraph"/>
        <w:numPr>
          <w:ilvl w:val="3"/>
          <w:numId w:val="10"/>
        </w:numPr>
        <w:rPr>
          <w:sz w:val="20"/>
          <w:szCs w:val="20"/>
        </w:rPr>
      </w:pPr>
      <w:r>
        <w:rPr>
          <w:sz w:val="20"/>
          <w:szCs w:val="20"/>
        </w:rPr>
        <w:t xml:space="preserve">Straight-line </w:t>
      </w:r>
      <w:r>
        <w:rPr>
          <w:i/>
          <w:sz w:val="20"/>
          <w:szCs w:val="20"/>
        </w:rPr>
        <w:t xml:space="preserve">must </w:t>
      </w:r>
      <w:r>
        <w:rPr>
          <w:sz w:val="20"/>
          <w:szCs w:val="20"/>
        </w:rPr>
        <w:t>be used for tax-exempt property, or property based in a foreign country - §168(g)</w:t>
      </w:r>
    </w:p>
    <w:p w14:paraId="69A42E7A" w14:textId="3D758D97" w:rsidR="00C81491" w:rsidRDefault="00C81491" w:rsidP="00C81491">
      <w:pPr>
        <w:pStyle w:val="ListParagraph"/>
        <w:numPr>
          <w:ilvl w:val="4"/>
          <w:numId w:val="10"/>
        </w:numPr>
        <w:rPr>
          <w:sz w:val="20"/>
          <w:szCs w:val="20"/>
        </w:rPr>
      </w:pPr>
      <w:r>
        <w:rPr>
          <w:sz w:val="20"/>
          <w:szCs w:val="20"/>
        </w:rPr>
        <w:t>Limits (but doesn’t completely destroy) incentive have tax-exempt entities rent capital assets from taxable entities at low cost while taxable reap accelerated depreciation benefits</w:t>
      </w:r>
      <w:r w:rsidR="00A227ED">
        <w:rPr>
          <w:sz w:val="20"/>
          <w:szCs w:val="20"/>
        </w:rPr>
        <w:t xml:space="preserve"> </w:t>
      </w:r>
    </w:p>
    <w:p w14:paraId="0FA1A012" w14:textId="5DEE0BFF" w:rsidR="004746ED" w:rsidRDefault="004746ED" w:rsidP="004746ED">
      <w:pPr>
        <w:pStyle w:val="ListParagraph"/>
        <w:numPr>
          <w:ilvl w:val="2"/>
          <w:numId w:val="10"/>
        </w:numPr>
        <w:rPr>
          <w:sz w:val="20"/>
          <w:szCs w:val="20"/>
        </w:rPr>
      </w:pPr>
      <w:r>
        <w:rPr>
          <w:sz w:val="20"/>
          <w:szCs w:val="20"/>
        </w:rPr>
        <w:t xml:space="preserve">Congress’s choices in shortening applicable asset lifetime creates an effective decrease in tax rate </w:t>
      </w:r>
      <w:r w:rsidR="00CF1207">
        <w:rPr>
          <w:sz w:val="20"/>
          <w:szCs w:val="20"/>
        </w:rPr>
        <w:t xml:space="preserve">in the shadows – no political accountability! </w:t>
      </w:r>
    </w:p>
    <w:p w14:paraId="75A86695" w14:textId="0EE96886" w:rsidR="00DA6C09" w:rsidRDefault="00DA6C09" w:rsidP="005D4D34">
      <w:pPr>
        <w:pStyle w:val="ListParagraph"/>
        <w:numPr>
          <w:ilvl w:val="1"/>
          <w:numId w:val="10"/>
        </w:numPr>
        <w:rPr>
          <w:sz w:val="20"/>
          <w:szCs w:val="20"/>
        </w:rPr>
      </w:pPr>
      <w:r>
        <w:rPr>
          <w:sz w:val="20"/>
          <w:szCs w:val="20"/>
        </w:rPr>
        <w:t>Salvage</w:t>
      </w:r>
      <w:r w:rsidR="0046373F">
        <w:rPr>
          <w:sz w:val="20"/>
          <w:szCs w:val="20"/>
        </w:rPr>
        <w:t xml:space="preserve"> value is always </w:t>
      </w:r>
      <w:r>
        <w:rPr>
          <w:sz w:val="20"/>
          <w:szCs w:val="20"/>
        </w:rPr>
        <w:t>0, and the half-year convention (any asset placed in service duri</w:t>
      </w:r>
      <w:r w:rsidR="0046373F">
        <w:rPr>
          <w:sz w:val="20"/>
          <w:szCs w:val="20"/>
        </w:rPr>
        <w:t>ng the year is</w:t>
      </w:r>
      <w:r>
        <w:rPr>
          <w:sz w:val="20"/>
          <w:szCs w:val="20"/>
        </w:rPr>
        <w:t xml:space="preserve"> </w:t>
      </w:r>
      <w:r w:rsidR="0046373F">
        <w:rPr>
          <w:sz w:val="20"/>
          <w:szCs w:val="20"/>
        </w:rPr>
        <w:t>“</w:t>
      </w:r>
      <w:r>
        <w:rPr>
          <w:sz w:val="20"/>
          <w:szCs w:val="20"/>
        </w:rPr>
        <w:t>placed in service</w:t>
      </w:r>
      <w:r w:rsidR="0046373F">
        <w:rPr>
          <w:sz w:val="20"/>
          <w:szCs w:val="20"/>
        </w:rPr>
        <w:t>”</w:t>
      </w:r>
      <w:r>
        <w:rPr>
          <w:sz w:val="20"/>
          <w:szCs w:val="20"/>
        </w:rPr>
        <w:t xml:space="preserve"> at the halfway point of the year) is followed - §168</w:t>
      </w:r>
    </w:p>
    <w:p w14:paraId="13649078" w14:textId="79A5B9F8" w:rsidR="00983F21" w:rsidRDefault="00983F21" w:rsidP="00983F21">
      <w:pPr>
        <w:pStyle w:val="ListParagraph"/>
        <w:numPr>
          <w:ilvl w:val="2"/>
          <w:numId w:val="10"/>
        </w:numPr>
        <w:rPr>
          <w:sz w:val="20"/>
          <w:szCs w:val="20"/>
        </w:rPr>
      </w:pPr>
      <w:r>
        <w:rPr>
          <w:sz w:val="20"/>
          <w:szCs w:val="20"/>
        </w:rPr>
        <w:t>If purchased in last quarter, use the mid-quarter convention</w:t>
      </w:r>
    </w:p>
    <w:p w14:paraId="65DC5747" w14:textId="4973EF77" w:rsidR="00FC1EF0" w:rsidRDefault="00FC1EF0" w:rsidP="00FC1EF0">
      <w:pPr>
        <w:pStyle w:val="ListParagraph"/>
        <w:numPr>
          <w:ilvl w:val="1"/>
          <w:numId w:val="10"/>
        </w:numPr>
        <w:rPr>
          <w:sz w:val="20"/>
          <w:szCs w:val="20"/>
        </w:rPr>
      </w:pPr>
      <w:r>
        <w:rPr>
          <w:sz w:val="20"/>
          <w:szCs w:val="20"/>
        </w:rPr>
        <w:t>Land is not depreciable</w:t>
      </w:r>
    </w:p>
    <w:p w14:paraId="341F6C57" w14:textId="6822023E" w:rsidR="002B462B" w:rsidRDefault="003165AE" w:rsidP="002B462B">
      <w:pPr>
        <w:pStyle w:val="ListParagraph"/>
        <w:numPr>
          <w:ilvl w:val="1"/>
          <w:numId w:val="10"/>
        </w:numPr>
        <w:rPr>
          <w:sz w:val="20"/>
          <w:szCs w:val="20"/>
        </w:rPr>
      </w:pPr>
      <w:r>
        <w:rPr>
          <w:sz w:val="20"/>
          <w:szCs w:val="20"/>
        </w:rPr>
        <w:t xml:space="preserve">Should </w:t>
      </w:r>
      <w:r w:rsidR="002B462B">
        <w:rPr>
          <w:sz w:val="20"/>
          <w:szCs w:val="20"/>
        </w:rPr>
        <w:t>antiques count as a depreciable asset</w:t>
      </w:r>
      <w:r>
        <w:rPr>
          <w:sz w:val="20"/>
          <w:szCs w:val="20"/>
        </w:rPr>
        <w:t>?</w:t>
      </w:r>
      <w:r w:rsidR="00FC1EF0">
        <w:rPr>
          <w:sz w:val="20"/>
          <w:szCs w:val="20"/>
        </w:rPr>
        <w:t xml:space="preserve"> (IRS says no</w:t>
      </w:r>
      <w:r w:rsidR="002B462B">
        <w:rPr>
          <w:sz w:val="20"/>
          <w:szCs w:val="20"/>
        </w:rPr>
        <w:t xml:space="preserve">, </w:t>
      </w:r>
      <w:r w:rsidR="00FC1EF0">
        <w:rPr>
          <w:sz w:val="20"/>
          <w:szCs w:val="20"/>
        </w:rPr>
        <w:t>Tax Court sometimes says yes</w:t>
      </w:r>
      <w:r w:rsidR="002B462B">
        <w:rPr>
          <w:sz w:val="20"/>
          <w:szCs w:val="20"/>
        </w:rPr>
        <w:t>)</w:t>
      </w:r>
    </w:p>
    <w:p w14:paraId="05C72947" w14:textId="517D3245" w:rsidR="002B462B" w:rsidRDefault="003165AE" w:rsidP="002B462B">
      <w:pPr>
        <w:pStyle w:val="ListParagraph"/>
        <w:numPr>
          <w:ilvl w:val="2"/>
          <w:numId w:val="10"/>
        </w:numPr>
        <w:rPr>
          <w:sz w:val="20"/>
          <w:szCs w:val="20"/>
        </w:rPr>
      </w:pPr>
      <w:r>
        <w:rPr>
          <w:sz w:val="20"/>
          <w:szCs w:val="20"/>
        </w:rPr>
        <w:t>Test is whether</w:t>
      </w:r>
      <w:r w:rsidR="002B462B">
        <w:rPr>
          <w:sz w:val="20"/>
          <w:szCs w:val="20"/>
        </w:rPr>
        <w:t xml:space="preserve"> property is subject to exhaustion, wear and tear, or obsolescence</w:t>
      </w:r>
    </w:p>
    <w:p w14:paraId="789CF9C9" w14:textId="33D58806" w:rsidR="005D4D34" w:rsidRDefault="005D4D34" w:rsidP="005D4D34">
      <w:pPr>
        <w:pStyle w:val="ListParagraph"/>
        <w:numPr>
          <w:ilvl w:val="1"/>
          <w:numId w:val="10"/>
        </w:numPr>
        <w:rPr>
          <w:sz w:val="20"/>
          <w:szCs w:val="20"/>
        </w:rPr>
      </w:pPr>
      <w:r>
        <w:rPr>
          <w:sz w:val="20"/>
          <w:szCs w:val="20"/>
        </w:rPr>
        <w:t xml:space="preserve">Leases have a limited lifetime and thus could be treated as a depreciable asset (as long as it isn’t a self-created asset) – </w:t>
      </w:r>
      <w:r>
        <w:rPr>
          <w:i/>
          <w:sz w:val="20"/>
          <w:szCs w:val="20"/>
        </w:rPr>
        <w:t>World Publishing</w:t>
      </w:r>
    </w:p>
    <w:p w14:paraId="21D01045" w14:textId="22ACF7E9" w:rsidR="005D4D34" w:rsidRDefault="005D4D34" w:rsidP="005D4D34">
      <w:pPr>
        <w:pStyle w:val="ListParagraph"/>
        <w:numPr>
          <w:ilvl w:val="2"/>
          <w:numId w:val="10"/>
        </w:numPr>
        <w:rPr>
          <w:sz w:val="20"/>
          <w:szCs w:val="20"/>
        </w:rPr>
      </w:pPr>
      <w:r>
        <w:rPr>
          <w:sz w:val="20"/>
          <w:szCs w:val="20"/>
        </w:rPr>
        <w:t xml:space="preserve">This is not the rationale used by the </w:t>
      </w:r>
      <w:r>
        <w:rPr>
          <w:i/>
          <w:sz w:val="20"/>
          <w:szCs w:val="20"/>
        </w:rPr>
        <w:t xml:space="preserve">World Publishing </w:t>
      </w:r>
      <w:r>
        <w:rPr>
          <w:sz w:val="20"/>
          <w:szCs w:val="20"/>
        </w:rPr>
        <w:t>court. There, the court simply allowed both the lessor and lessee to depreciate the building, even though the building’s useful life would end before the lease expired</w:t>
      </w:r>
    </w:p>
    <w:p w14:paraId="60AF6448" w14:textId="3AB72381" w:rsidR="00983F21" w:rsidRDefault="00983F21" w:rsidP="00983F21">
      <w:pPr>
        <w:pStyle w:val="ListParagraph"/>
        <w:numPr>
          <w:ilvl w:val="1"/>
          <w:numId w:val="10"/>
        </w:numPr>
        <w:rPr>
          <w:sz w:val="20"/>
          <w:szCs w:val="20"/>
        </w:rPr>
      </w:pPr>
      <w:r>
        <w:rPr>
          <w:sz w:val="20"/>
          <w:szCs w:val="20"/>
        </w:rPr>
        <w:t>Congress can add “bonus” depreciation to spur inves</w:t>
      </w:r>
      <w:r w:rsidR="003165AE">
        <w:rPr>
          <w:sz w:val="20"/>
          <w:szCs w:val="20"/>
        </w:rPr>
        <w:t>tment in capital assets if</w:t>
      </w:r>
      <w:r>
        <w:rPr>
          <w:sz w:val="20"/>
          <w:szCs w:val="20"/>
        </w:rPr>
        <w:t xml:space="preserve"> necessary - §168(k)</w:t>
      </w:r>
    </w:p>
    <w:p w14:paraId="6383421C" w14:textId="7C4FEE26" w:rsidR="00852127" w:rsidRDefault="00BF49A1" w:rsidP="00852127">
      <w:pPr>
        <w:pStyle w:val="ListParagraph"/>
        <w:numPr>
          <w:ilvl w:val="0"/>
          <w:numId w:val="10"/>
        </w:numPr>
        <w:rPr>
          <w:sz w:val="20"/>
          <w:szCs w:val="20"/>
        </w:rPr>
      </w:pPr>
      <w:r>
        <w:rPr>
          <w:sz w:val="20"/>
          <w:szCs w:val="20"/>
        </w:rPr>
        <w:t>Depletion is appropriate for mines oil/gas wells, other natural deposits, and timberland - §611</w:t>
      </w:r>
    </w:p>
    <w:p w14:paraId="2170192C" w14:textId="0EF3A5FB" w:rsidR="00AB7B05" w:rsidRDefault="00AB7B05" w:rsidP="00397B09">
      <w:pPr>
        <w:pStyle w:val="ListParagraph"/>
        <w:numPr>
          <w:ilvl w:val="1"/>
          <w:numId w:val="10"/>
        </w:numPr>
        <w:rPr>
          <w:sz w:val="20"/>
          <w:szCs w:val="20"/>
        </w:rPr>
      </w:pPr>
      <w:r>
        <w:rPr>
          <w:sz w:val="20"/>
          <w:szCs w:val="20"/>
        </w:rPr>
        <w:t>Depletion allowance is calculated as a percentage of the gross income from the property</w:t>
      </w:r>
      <w:r w:rsidR="008B2717">
        <w:rPr>
          <w:sz w:val="20"/>
          <w:szCs w:val="20"/>
        </w:rPr>
        <w:t xml:space="preserve"> (“percentage depletion” as opposed to “cost depletion” which estimates the total resource and deducts based on the proportion actually extracted in a given year)</w:t>
      </w:r>
    </w:p>
    <w:p w14:paraId="542CED2C" w14:textId="40C78345" w:rsidR="00AB7B05" w:rsidRDefault="00AB7B05" w:rsidP="00397B09">
      <w:pPr>
        <w:pStyle w:val="ListParagraph"/>
        <w:numPr>
          <w:ilvl w:val="2"/>
          <w:numId w:val="10"/>
        </w:numPr>
        <w:rPr>
          <w:sz w:val="20"/>
          <w:szCs w:val="20"/>
        </w:rPr>
      </w:pPr>
      <w:r>
        <w:rPr>
          <w:sz w:val="20"/>
          <w:szCs w:val="20"/>
        </w:rPr>
        <w:t>Might lead to a depletion deduction in excess of basis, which means that there is significant under</w:t>
      </w:r>
      <w:r w:rsidR="00397B09">
        <w:rPr>
          <w:sz w:val="20"/>
          <w:szCs w:val="20"/>
        </w:rPr>
        <w:t>-</w:t>
      </w:r>
      <w:r>
        <w:rPr>
          <w:sz w:val="20"/>
          <w:szCs w:val="20"/>
        </w:rPr>
        <w:t>taxing</w:t>
      </w:r>
    </w:p>
    <w:p w14:paraId="0FF21738" w14:textId="126258A8" w:rsidR="00AB7B05" w:rsidRPr="0088140C" w:rsidRDefault="00AB7B05" w:rsidP="00397B09">
      <w:pPr>
        <w:pStyle w:val="ListParagraph"/>
        <w:numPr>
          <w:ilvl w:val="1"/>
          <w:numId w:val="10"/>
        </w:numPr>
        <w:rPr>
          <w:sz w:val="20"/>
          <w:szCs w:val="20"/>
        </w:rPr>
      </w:pPr>
      <w:r>
        <w:rPr>
          <w:sz w:val="20"/>
          <w:szCs w:val="20"/>
        </w:rPr>
        <w:t>Intangible drilling/development costs are immediately deductible - §263(c)</w:t>
      </w:r>
    </w:p>
    <w:p w14:paraId="7A3BD29D" w14:textId="07852265" w:rsidR="00891030" w:rsidRPr="00790185" w:rsidRDefault="00891030" w:rsidP="00891030">
      <w:pPr>
        <w:pStyle w:val="Heading4"/>
        <w:rPr>
          <w:b/>
          <w:sz w:val="20"/>
          <w:szCs w:val="20"/>
        </w:rPr>
      </w:pPr>
      <w:r w:rsidRPr="00891030">
        <w:rPr>
          <w:sz w:val="20"/>
          <w:szCs w:val="20"/>
        </w:rPr>
        <w:t>B</w:t>
      </w:r>
      <w:r w:rsidR="00E550BB">
        <w:rPr>
          <w:sz w:val="20"/>
          <w:szCs w:val="20"/>
        </w:rPr>
        <w:t>usiness/Personal Borderline</w:t>
      </w:r>
    </w:p>
    <w:p w14:paraId="47B22F01" w14:textId="247D008C" w:rsidR="00E15749" w:rsidRDefault="00E15749" w:rsidP="00E15749">
      <w:pPr>
        <w:pStyle w:val="ListParagraph"/>
        <w:numPr>
          <w:ilvl w:val="0"/>
          <w:numId w:val="13"/>
        </w:numPr>
        <w:rPr>
          <w:sz w:val="20"/>
        </w:rPr>
      </w:pPr>
      <w:r>
        <w:rPr>
          <w:sz w:val="20"/>
        </w:rPr>
        <w:t>Congress has imposed restrictions on business/personal expenses in response to perceived abuses – taxpayers with higher income usually have more opportunities to obtain favorable deductions (that are also more valuable due to higher marginal tax rate)</w:t>
      </w:r>
    </w:p>
    <w:p w14:paraId="17A2AC3E" w14:textId="6D1CF834" w:rsidR="007F3DAD" w:rsidRDefault="007F3DAD" w:rsidP="007F3DAD">
      <w:pPr>
        <w:pStyle w:val="ListParagraph"/>
        <w:numPr>
          <w:ilvl w:val="1"/>
          <w:numId w:val="13"/>
        </w:numPr>
        <w:rPr>
          <w:sz w:val="20"/>
        </w:rPr>
      </w:pPr>
      <w:r>
        <w:rPr>
          <w:sz w:val="20"/>
        </w:rPr>
        <w:t>Due to lack of statutory clarity, courts and IRS create various tests to determine deductibility. No overarching theme; examine precedent/regulations to determine which standard should apply</w:t>
      </w:r>
    </w:p>
    <w:p w14:paraId="0B6ADBC1" w14:textId="3402B0BC" w:rsidR="006B7DE4" w:rsidRDefault="007D26D9" w:rsidP="006B7DE4">
      <w:pPr>
        <w:pStyle w:val="ListParagraph"/>
        <w:numPr>
          <w:ilvl w:val="2"/>
          <w:numId w:val="13"/>
        </w:numPr>
        <w:rPr>
          <w:sz w:val="20"/>
        </w:rPr>
      </w:pPr>
      <w:r>
        <w:rPr>
          <w:sz w:val="20"/>
        </w:rPr>
        <w:t xml:space="preserve">There are some expenses </w:t>
      </w:r>
      <w:r w:rsidR="006B7DE4">
        <w:rPr>
          <w:sz w:val="20"/>
        </w:rPr>
        <w:t>“so inherently personal” that no deduction is allowed (religious services, prostitution (even though book was to be written about it))</w:t>
      </w:r>
    </w:p>
    <w:p w14:paraId="59950925" w14:textId="23FA5BA7" w:rsidR="00061EE2" w:rsidRDefault="00061EE2" w:rsidP="00061EE2">
      <w:pPr>
        <w:pStyle w:val="ListParagraph"/>
        <w:numPr>
          <w:ilvl w:val="1"/>
          <w:numId w:val="13"/>
        </w:numPr>
        <w:rPr>
          <w:sz w:val="20"/>
        </w:rPr>
      </w:pPr>
      <w:r>
        <w:rPr>
          <w:sz w:val="20"/>
        </w:rPr>
        <w:t xml:space="preserve">Consider difficult comparison between working condition fringe benefits (benefits that would be deductible by an employee under §162) and expenses </w:t>
      </w:r>
      <w:r>
        <w:rPr>
          <w:i/>
          <w:sz w:val="20"/>
        </w:rPr>
        <w:t xml:space="preserve">actually </w:t>
      </w:r>
      <w:r>
        <w:rPr>
          <w:sz w:val="20"/>
        </w:rPr>
        <w:t>deductible under §162 – what result if there is a mismatch (i.e., expense not deductible under §162 but probably would not be included in income as a working condition fringe)?</w:t>
      </w:r>
    </w:p>
    <w:p w14:paraId="569AE65D" w14:textId="40E8A7D8" w:rsidR="0015709F" w:rsidRDefault="007D26D9" w:rsidP="0015709F">
      <w:pPr>
        <w:pStyle w:val="ListParagraph"/>
        <w:numPr>
          <w:ilvl w:val="2"/>
          <w:numId w:val="13"/>
        </w:numPr>
        <w:rPr>
          <w:sz w:val="20"/>
        </w:rPr>
      </w:pPr>
      <w:r>
        <w:rPr>
          <w:sz w:val="20"/>
        </w:rPr>
        <w:lastRenderedPageBreak/>
        <w:t>Tax Court says a deduction isn’t allowable if employee</w:t>
      </w:r>
      <w:r w:rsidR="0015709F">
        <w:rPr>
          <w:sz w:val="20"/>
        </w:rPr>
        <w:t xml:space="preserve"> was entit</w:t>
      </w:r>
      <w:r>
        <w:rPr>
          <w:sz w:val="20"/>
        </w:rPr>
        <w:t>led to reimbursement and didn’t</w:t>
      </w:r>
      <w:r w:rsidR="0015709F">
        <w:rPr>
          <w:sz w:val="20"/>
        </w:rPr>
        <w:t xml:space="preserve"> seek it</w:t>
      </w:r>
    </w:p>
    <w:p w14:paraId="270CC836" w14:textId="0994B02B" w:rsidR="00B56A3C" w:rsidRDefault="00B56A3C" w:rsidP="00B56A3C">
      <w:pPr>
        <w:pStyle w:val="ListParagraph"/>
        <w:numPr>
          <w:ilvl w:val="0"/>
          <w:numId w:val="13"/>
        </w:numPr>
        <w:rPr>
          <w:sz w:val="20"/>
        </w:rPr>
      </w:pPr>
      <w:r>
        <w:rPr>
          <w:sz w:val="20"/>
        </w:rPr>
        <w:t>The cost of clothing is deductible as a business expense only if: (</w:t>
      </w:r>
      <w:r>
        <w:rPr>
          <w:i/>
          <w:sz w:val="20"/>
        </w:rPr>
        <w:t>Pevsner</w:t>
      </w:r>
      <w:r>
        <w:rPr>
          <w:sz w:val="20"/>
        </w:rPr>
        <w:t>)</w:t>
      </w:r>
    </w:p>
    <w:p w14:paraId="28371B3E" w14:textId="25BE3613" w:rsidR="00B56A3C" w:rsidRDefault="00B56A3C" w:rsidP="00B56A3C">
      <w:pPr>
        <w:pStyle w:val="ListParagraph"/>
        <w:numPr>
          <w:ilvl w:val="1"/>
          <w:numId w:val="13"/>
        </w:numPr>
        <w:rPr>
          <w:sz w:val="20"/>
        </w:rPr>
      </w:pPr>
      <w:r>
        <w:rPr>
          <w:sz w:val="20"/>
        </w:rPr>
        <w:t>The clothing is not of a type specifically required as a condition of employment</w:t>
      </w:r>
    </w:p>
    <w:p w14:paraId="0D2D5038" w14:textId="12F7E289" w:rsidR="00B56A3C" w:rsidRDefault="00B56A3C" w:rsidP="00B56A3C">
      <w:pPr>
        <w:pStyle w:val="ListParagraph"/>
        <w:numPr>
          <w:ilvl w:val="1"/>
          <w:numId w:val="13"/>
        </w:numPr>
        <w:rPr>
          <w:sz w:val="20"/>
        </w:rPr>
      </w:pPr>
      <w:r>
        <w:rPr>
          <w:sz w:val="20"/>
        </w:rPr>
        <w:t>It is not adaptable to general usage as ordinary clothing</w:t>
      </w:r>
    </w:p>
    <w:p w14:paraId="4ABA54F2" w14:textId="7823ABE0" w:rsidR="00B56A3C" w:rsidRDefault="00B56A3C" w:rsidP="00B56A3C">
      <w:pPr>
        <w:pStyle w:val="ListParagraph"/>
        <w:numPr>
          <w:ilvl w:val="1"/>
          <w:numId w:val="13"/>
        </w:numPr>
        <w:rPr>
          <w:sz w:val="20"/>
        </w:rPr>
      </w:pPr>
      <w:r>
        <w:rPr>
          <w:sz w:val="20"/>
        </w:rPr>
        <w:t>It is not worn as ordinary clothing</w:t>
      </w:r>
    </w:p>
    <w:p w14:paraId="0B859BFA" w14:textId="3E5D21E4" w:rsidR="006955C0" w:rsidRDefault="006955C0" w:rsidP="00B56A3C">
      <w:pPr>
        <w:pStyle w:val="ListParagraph"/>
        <w:numPr>
          <w:ilvl w:val="1"/>
          <w:numId w:val="13"/>
        </w:numPr>
        <w:rPr>
          <w:sz w:val="20"/>
        </w:rPr>
      </w:pPr>
      <w:r>
        <w:rPr>
          <w:sz w:val="20"/>
        </w:rPr>
        <w:t xml:space="preserve">These tests are </w:t>
      </w:r>
      <w:r>
        <w:rPr>
          <w:i/>
          <w:sz w:val="20"/>
        </w:rPr>
        <w:t>objective</w:t>
      </w:r>
      <w:r>
        <w:rPr>
          <w:sz w:val="20"/>
        </w:rPr>
        <w:t>, not subjective</w:t>
      </w:r>
    </w:p>
    <w:p w14:paraId="15EA03D8" w14:textId="1AFD95CF" w:rsidR="006955C0" w:rsidRDefault="006955C0" w:rsidP="006955C0">
      <w:pPr>
        <w:pStyle w:val="ListParagraph"/>
        <w:numPr>
          <w:ilvl w:val="2"/>
          <w:numId w:val="13"/>
        </w:numPr>
        <w:rPr>
          <w:sz w:val="20"/>
        </w:rPr>
      </w:pPr>
      <w:r>
        <w:rPr>
          <w:sz w:val="20"/>
        </w:rPr>
        <w:t>Administrative necessity, fairness to multiple taxpayers who, although in similar situations, have different tax results, wins out</w:t>
      </w:r>
    </w:p>
    <w:p w14:paraId="0D68DAF4" w14:textId="5B3DC083" w:rsidR="00DB6FBA" w:rsidRPr="00DB6FBA" w:rsidRDefault="007D26D9" w:rsidP="00DB6FBA">
      <w:pPr>
        <w:pStyle w:val="ListParagraph"/>
        <w:numPr>
          <w:ilvl w:val="1"/>
          <w:numId w:val="13"/>
        </w:numPr>
        <w:rPr>
          <w:sz w:val="20"/>
        </w:rPr>
      </w:pPr>
      <w:r>
        <w:rPr>
          <w:sz w:val="20"/>
        </w:rPr>
        <w:t>Although un</w:t>
      </w:r>
      <w:r w:rsidR="00DB6FBA">
        <w:rPr>
          <w:sz w:val="20"/>
        </w:rPr>
        <w:t>certain,</w:t>
      </w:r>
      <w:r>
        <w:rPr>
          <w:sz w:val="20"/>
        </w:rPr>
        <w:t xml:space="preserve"> the easiest (only?)</w:t>
      </w:r>
      <w:r w:rsidR="00DB6FBA">
        <w:rPr>
          <w:sz w:val="20"/>
        </w:rPr>
        <w:t xml:space="preserve"> way to get a clothing deduction is for an official uniform</w:t>
      </w:r>
    </w:p>
    <w:p w14:paraId="775CB1FB" w14:textId="0FA432B7" w:rsidR="0066405A" w:rsidRDefault="00DB6FBA" w:rsidP="0066405A">
      <w:pPr>
        <w:pStyle w:val="ListParagraph"/>
        <w:numPr>
          <w:ilvl w:val="0"/>
          <w:numId w:val="13"/>
        </w:numPr>
        <w:rPr>
          <w:sz w:val="20"/>
        </w:rPr>
      </w:pPr>
      <w:r>
        <w:rPr>
          <w:sz w:val="20"/>
        </w:rPr>
        <w:t>§21 grants a tax credit for expenses for household services or the care of a dependent</w:t>
      </w:r>
    </w:p>
    <w:p w14:paraId="293A4F81" w14:textId="7EF1E147" w:rsidR="00EB7E3C" w:rsidRDefault="00EB7E3C" w:rsidP="00EB7E3C">
      <w:pPr>
        <w:pStyle w:val="ListParagraph"/>
        <w:numPr>
          <w:ilvl w:val="1"/>
          <w:numId w:val="13"/>
        </w:numPr>
        <w:rPr>
          <w:sz w:val="20"/>
        </w:rPr>
      </w:pPr>
      <w:r>
        <w:rPr>
          <w:sz w:val="20"/>
        </w:rPr>
        <w:t xml:space="preserve">Reg. §1.21-1(d)(3) seems to bleed these two categories together – household services only qualify if some of them are done for the dependent </w:t>
      </w:r>
    </w:p>
    <w:p w14:paraId="454AF070" w14:textId="2546D2A5" w:rsidR="00DB6FBA" w:rsidRPr="00962359" w:rsidRDefault="00DB6FBA" w:rsidP="00B22711">
      <w:pPr>
        <w:pStyle w:val="ListParagraph"/>
        <w:numPr>
          <w:ilvl w:val="2"/>
          <w:numId w:val="13"/>
        </w:numPr>
        <w:rPr>
          <w:sz w:val="20"/>
        </w:rPr>
      </w:pPr>
      <w:r w:rsidRPr="00962359">
        <w:rPr>
          <w:sz w:val="20"/>
        </w:rPr>
        <w:t>Credit is phased out – falls from 35% of expenses to 20%</w:t>
      </w:r>
      <w:r w:rsidR="00962359">
        <w:rPr>
          <w:sz w:val="20"/>
        </w:rPr>
        <w:t>.</w:t>
      </w:r>
      <w:r w:rsidRPr="00962359">
        <w:rPr>
          <w:sz w:val="20"/>
        </w:rPr>
        <w:t xml:space="preserve"> Subsidy stays flat for</w:t>
      </w:r>
      <w:r w:rsidR="00962359">
        <w:rPr>
          <w:sz w:val="20"/>
        </w:rPr>
        <w:t xml:space="preserve"> all income levels above a certain amount</w:t>
      </w:r>
      <w:r w:rsidRPr="00962359">
        <w:rPr>
          <w:sz w:val="20"/>
        </w:rPr>
        <w:t>. Does this reach the int</w:t>
      </w:r>
      <w:r w:rsidR="00333E9F" w:rsidRPr="00962359">
        <w:rPr>
          <w:sz w:val="20"/>
        </w:rPr>
        <w:t>ended demographic?</w:t>
      </w:r>
    </w:p>
    <w:p w14:paraId="3E6A6FB5" w14:textId="7024270F" w:rsidR="00DB6FBA" w:rsidRDefault="007D26D9" w:rsidP="00DB6FBA">
      <w:pPr>
        <w:pStyle w:val="ListParagraph"/>
        <w:numPr>
          <w:ilvl w:val="1"/>
          <w:numId w:val="13"/>
        </w:numPr>
        <w:rPr>
          <w:sz w:val="20"/>
        </w:rPr>
      </w:pPr>
      <w:r>
        <w:rPr>
          <w:sz w:val="20"/>
        </w:rPr>
        <w:t xml:space="preserve">Expenses eligible for credit also subject to hard </w:t>
      </w:r>
      <w:r w:rsidR="00DB6FBA">
        <w:rPr>
          <w:sz w:val="20"/>
        </w:rPr>
        <w:t>cap</w:t>
      </w:r>
      <w:r>
        <w:rPr>
          <w:sz w:val="20"/>
        </w:rPr>
        <w:t xml:space="preserve"> of $3k for 1 dependent and $6k</w:t>
      </w:r>
      <w:r w:rsidR="00DB6FBA">
        <w:rPr>
          <w:sz w:val="20"/>
        </w:rPr>
        <w:t xml:space="preserve"> for </w:t>
      </w:r>
      <w:r>
        <w:rPr>
          <w:sz w:val="20"/>
        </w:rPr>
        <w:t xml:space="preserve">2 or </w:t>
      </w:r>
      <w:r w:rsidR="00DB6FBA">
        <w:rPr>
          <w:sz w:val="20"/>
        </w:rPr>
        <w:t>more</w:t>
      </w:r>
    </w:p>
    <w:p w14:paraId="7525C355" w14:textId="6A4B60EA" w:rsidR="00DB6FBA" w:rsidRDefault="007D26D9" w:rsidP="00DB6FBA">
      <w:pPr>
        <w:pStyle w:val="ListParagraph"/>
        <w:numPr>
          <w:ilvl w:val="2"/>
          <w:numId w:val="13"/>
        </w:numPr>
        <w:rPr>
          <w:sz w:val="20"/>
        </w:rPr>
      </w:pPr>
      <w:r>
        <w:rPr>
          <w:sz w:val="20"/>
        </w:rPr>
        <w:t xml:space="preserve">Expenses eligible for credit are </w:t>
      </w:r>
      <w:r w:rsidR="00DB6FBA">
        <w:rPr>
          <w:sz w:val="20"/>
        </w:rPr>
        <w:t xml:space="preserve">limited to individual (or spouse’s) earned income </w:t>
      </w:r>
    </w:p>
    <w:p w14:paraId="2C993EC1" w14:textId="479105C9" w:rsidR="00E60A55" w:rsidRDefault="00DB6FBA" w:rsidP="00DB6FBA">
      <w:pPr>
        <w:pStyle w:val="ListParagraph"/>
        <w:numPr>
          <w:ilvl w:val="1"/>
          <w:numId w:val="13"/>
        </w:numPr>
        <w:rPr>
          <w:sz w:val="20"/>
        </w:rPr>
      </w:pPr>
      <w:r>
        <w:rPr>
          <w:sz w:val="20"/>
        </w:rPr>
        <w:t>The credit is also nonrefundable – if there is not enough tax due, the credit goes to waste</w:t>
      </w:r>
    </w:p>
    <w:p w14:paraId="2197BA47" w14:textId="57FED2A5" w:rsidR="00DB6FBA" w:rsidRPr="00333E9F" w:rsidRDefault="00DB6FBA" w:rsidP="00DB6FBA">
      <w:pPr>
        <w:pStyle w:val="ListParagraph"/>
        <w:numPr>
          <w:ilvl w:val="2"/>
          <w:numId w:val="13"/>
        </w:numPr>
        <w:rPr>
          <w:sz w:val="20"/>
        </w:rPr>
      </w:pPr>
      <w:r>
        <w:rPr>
          <w:sz w:val="20"/>
        </w:rPr>
        <w:t xml:space="preserve">This credit does not really help low-income people </w:t>
      </w:r>
      <w:r>
        <w:rPr>
          <w:i/>
          <w:sz w:val="20"/>
        </w:rPr>
        <w:t>at all</w:t>
      </w:r>
    </w:p>
    <w:p w14:paraId="65E3DA08" w14:textId="186AB4BA" w:rsidR="00333E9F" w:rsidRDefault="00333E9F" w:rsidP="00333E9F">
      <w:pPr>
        <w:pStyle w:val="ListParagraph"/>
        <w:numPr>
          <w:ilvl w:val="1"/>
          <w:numId w:val="13"/>
        </w:numPr>
        <w:rPr>
          <w:sz w:val="20"/>
        </w:rPr>
      </w:pPr>
      <w:r>
        <w:rPr>
          <w:sz w:val="20"/>
        </w:rPr>
        <w:t xml:space="preserve">§129 offers even more help – gross income </w:t>
      </w:r>
      <w:r>
        <w:rPr>
          <w:b/>
          <w:sz w:val="20"/>
        </w:rPr>
        <w:t xml:space="preserve">does not </w:t>
      </w:r>
      <w:r>
        <w:rPr>
          <w:sz w:val="20"/>
        </w:rPr>
        <w:t>include amounts received from an employer for dependent care assistance (below $5,000)</w:t>
      </w:r>
      <w:r w:rsidR="003143C9">
        <w:rPr>
          <w:sz w:val="20"/>
        </w:rPr>
        <w:t xml:space="preserve">, subject to </w:t>
      </w:r>
      <w:r w:rsidR="00317C35">
        <w:rPr>
          <w:sz w:val="20"/>
        </w:rPr>
        <w:t>§21’s spousal earnings limits</w:t>
      </w:r>
    </w:p>
    <w:p w14:paraId="7A43B6EA" w14:textId="651077C8" w:rsidR="009F5622" w:rsidRDefault="00F941E8" w:rsidP="009F5622">
      <w:pPr>
        <w:pStyle w:val="ListParagraph"/>
        <w:numPr>
          <w:ilvl w:val="0"/>
          <w:numId w:val="13"/>
        </w:numPr>
        <w:rPr>
          <w:sz w:val="20"/>
        </w:rPr>
      </w:pPr>
      <w:r>
        <w:rPr>
          <w:sz w:val="20"/>
        </w:rPr>
        <w:t xml:space="preserve">Except as provided in §132(a)(6), gross income </w:t>
      </w:r>
      <w:r>
        <w:rPr>
          <w:b/>
          <w:sz w:val="20"/>
        </w:rPr>
        <w:t xml:space="preserve">includes </w:t>
      </w:r>
      <w:r>
        <w:rPr>
          <w:sz w:val="20"/>
        </w:rPr>
        <w:t>payment/reimbursement for expenses of moving from one residence to another which is attributable to employment - §82</w:t>
      </w:r>
    </w:p>
    <w:p w14:paraId="43D02745" w14:textId="7953651A" w:rsidR="000D0D9A" w:rsidRDefault="000D0D9A" w:rsidP="000D0D9A">
      <w:pPr>
        <w:pStyle w:val="ListParagraph"/>
        <w:numPr>
          <w:ilvl w:val="1"/>
          <w:numId w:val="13"/>
        </w:numPr>
        <w:rPr>
          <w:sz w:val="20"/>
        </w:rPr>
      </w:pPr>
      <w:r>
        <w:rPr>
          <w:sz w:val="20"/>
        </w:rPr>
        <w:t>§132(</w:t>
      </w:r>
      <w:r w:rsidR="00996B13">
        <w:rPr>
          <w:sz w:val="20"/>
        </w:rPr>
        <w:t>g</w:t>
      </w:r>
      <w:r>
        <w:rPr>
          <w:sz w:val="20"/>
        </w:rPr>
        <w:t>) allows moving expenses to be reimbu</w:t>
      </w:r>
      <w:r w:rsidR="00996B13">
        <w:rPr>
          <w:sz w:val="20"/>
        </w:rPr>
        <w:t xml:space="preserve">rsed if </w:t>
      </w:r>
      <w:r>
        <w:rPr>
          <w:sz w:val="20"/>
        </w:rPr>
        <w:t>deductible under §217</w:t>
      </w:r>
    </w:p>
    <w:p w14:paraId="0AF78535" w14:textId="34DD582C" w:rsidR="000D0D9A" w:rsidRDefault="000D0D9A" w:rsidP="000D0D9A">
      <w:pPr>
        <w:pStyle w:val="ListParagraph"/>
        <w:numPr>
          <w:ilvl w:val="2"/>
          <w:numId w:val="13"/>
        </w:numPr>
        <w:rPr>
          <w:sz w:val="20"/>
        </w:rPr>
      </w:pPr>
      <w:r>
        <w:rPr>
          <w:sz w:val="20"/>
        </w:rPr>
        <w:t>§217 allows deductions for moving expenses incurred in connection with the commencement of work at a new principal place of work</w:t>
      </w:r>
    </w:p>
    <w:p w14:paraId="2A8C6016" w14:textId="67470874" w:rsidR="000D0D9A" w:rsidRDefault="000D0D9A" w:rsidP="000D0D9A">
      <w:pPr>
        <w:pStyle w:val="ListParagraph"/>
        <w:numPr>
          <w:ilvl w:val="3"/>
          <w:numId w:val="13"/>
        </w:numPr>
        <w:rPr>
          <w:sz w:val="20"/>
        </w:rPr>
      </w:pPr>
      <w:r>
        <w:rPr>
          <w:sz w:val="20"/>
        </w:rPr>
        <w:t>Limited to reasonable expenses for moving household goods and traveling (including lodging, but not meals) to the new residence</w:t>
      </w:r>
    </w:p>
    <w:p w14:paraId="7711F5EE" w14:textId="4CAA1C4E" w:rsidR="00185849" w:rsidRPr="00185849" w:rsidRDefault="007764C9" w:rsidP="00185849">
      <w:pPr>
        <w:pStyle w:val="ListParagraph"/>
        <w:numPr>
          <w:ilvl w:val="3"/>
          <w:numId w:val="13"/>
        </w:numPr>
        <w:rPr>
          <w:sz w:val="20"/>
        </w:rPr>
      </w:pPr>
      <w:r>
        <w:rPr>
          <w:sz w:val="20"/>
        </w:rPr>
        <w:t>Employee must remain working in the same area for a certain time after moving and must have moved more than 50 miles</w:t>
      </w:r>
    </w:p>
    <w:p w14:paraId="7E0BE84D" w14:textId="7B7E48E3" w:rsidR="00CF4FB3" w:rsidRDefault="0014263B" w:rsidP="00CF4FB3">
      <w:pPr>
        <w:pStyle w:val="ListParagraph"/>
        <w:numPr>
          <w:ilvl w:val="1"/>
          <w:numId w:val="13"/>
        </w:numPr>
        <w:rPr>
          <w:sz w:val="20"/>
        </w:rPr>
      </w:pPr>
      <w:r>
        <w:rPr>
          <w:sz w:val="20"/>
        </w:rPr>
        <w:t xml:space="preserve">Expense </w:t>
      </w:r>
      <w:r w:rsidR="00CF4FB3">
        <w:rPr>
          <w:sz w:val="20"/>
        </w:rPr>
        <w:t xml:space="preserve">of commuting from </w:t>
      </w:r>
      <w:r>
        <w:rPr>
          <w:sz w:val="20"/>
        </w:rPr>
        <w:t xml:space="preserve">home to work is generally </w:t>
      </w:r>
      <w:r>
        <w:rPr>
          <w:b/>
          <w:sz w:val="20"/>
        </w:rPr>
        <w:t xml:space="preserve">not </w:t>
      </w:r>
      <w:r>
        <w:rPr>
          <w:sz w:val="20"/>
        </w:rPr>
        <w:t>deductible</w:t>
      </w:r>
    </w:p>
    <w:p w14:paraId="2FB9E8A4" w14:textId="58DFBBF7" w:rsidR="00CF4FB3" w:rsidRDefault="00CF4FB3" w:rsidP="00CF4FB3">
      <w:pPr>
        <w:pStyle w:val="ListParagraph"/>
        <w:numPr>
          <w:ilvl w:val="2"/>
          <w:numId w:val="13"/>
        </w:numPr>
        <w:rPr>
          <w:sz w:val="20"/>
        </w:rPr>
      </w:pPr>
      <w:r>
        <w:rPr>
          <w:sz w:val="20"/>
        </w:rPr>
        <w:t xml:space="preserve">However, additional expenses incurred for transporting required tools to/from work </w:t>
      </w:r>
      <w:r w:rsidRPr="001A77E6">
        <w:rPr>
          <w:b/>
          <w:sz w:val="20"/>
        </w:rPr>
        <w:t>are</w:t>
      </w:r>
      <w:r>
        <w:rPr>
          <w:sz w:val="20"/>
        </w:rPr>
        <w:t xml:space="preserve"> deductible to the extent that they represent cost above what the employee would ordinarily pay to commute by that same means of transportation</w:t>
      </w:r>
    </w:p>
    <w:p w14:paraId="1A3ACD65" w14:textId="6B771ACF" w:rsidR="0014263B" w:rsidRDefault="0014263B" w:rsidP="00CF4FB3">
      <w:pPr>
        <w:pStyle w:val="ListParagraph"/>
        <w:numPr>
          <w:ilvl w:val="2"/>
          <w:numId w:val="13"/>
        </w:numPr>
        <w:rPr>
          <w:sz w:val="20"/>
        </w:rPr>
      </w:pPr>
      <w:r>
        <w:rPr>
          <w:sz w:val="20"/>
        </w:rPr>
        <w:t xml:space="preserve">Expenses of commuting to a temporary work site outside the metropolitan location whether the taxpayer leaves and normally works </w:t>
      </w:r>
      <w:r>
        <w:rPr>
          <w:b/>
          <w:sz w:val="20"/>
        </w:rPr>
        <w:t>are</w:t>
      </w:r>
      <w:r>
        <w:rPr>
          <w:sz w:val="20"/>
        </w:rPr>
        <w:t xml:space="preserve"> deductible</w:t>
      </w:r>
      <w:r w:rsidR="00DD60FE">
        <w:rPr>
          <w:sz w:val="20"/>
        </w:rPr>
        <w:tab/>
      </w:r>
    </w:p>
    <w:p w14:paraId="2EBD59A4" w14:textId="48CDB051" w:rsidR="00071E0F" w:rsidRDefault="00071E0F" w:rsidP="00CF4FB3">
      <w:pPr>
        <w:pStyle w:val="ListParagraph"/>
        <w:numPr>
          <w:ilvl w:val="2"/>
          <w:numId w:val="13"/>
        </w:numPr>
        <w:rPr>
          <w:sz w:val="20"/>
        </w:rPr>
      </w:pPr>
      <w:r>
        <w:rPr>
          <w:sz w:val="20"/>
        </w:rPr>
        <w:t>If taxpayer commutes to a temporary worksite a</w:t>
      </w:r>
      <w:r w:rsidR="00DD60FE">
        <w:rPr>
          <w:sz w:val="20"/>
        </w:rPr>
        <w:t>nd home is no</w:t>
      </w:r>
      <w:r>
        <w:rPr>
          <w:sz w:val="20"/>
        </w:rPr>
        <w:t>t normal workplace, commuting expenses are deductible, regardless of distance</w:t>
      </w:r>
    </w:p>
    <w:p w14:paraId="66CF0320" w14:textId="5E2D44B5" w:rsidR="00DD60FE" w:rsidRDefault="00B55D5C" w:rsidP="00DD60FE">
      <w:pPr>
        <w:pStyle w:val="ListParagraph"/>
        <w:numPr>
          <w:ilvl w:val="3"/>
          <w:numId w:val="13"/>
        </w:numPr>
        <w:rPr>
          <w:sz w:val="20"/>
        </w:rPr>
      </w:pPr>
      <w:r>
        <w:rPr>
          <w:sz w:val="20"/>
        </w:rPr>
        <w:t>Temporary employment requires definite employment term of less than 1</w:t>
      </w:r>
      <w:r w:rsidR="00DD60FE">
        <w:rPr>
          <w:sz w:val="20"/>
        </w:rPr>
        <w:t xml:space="preserve"> year</w:t>
      </w:r>
    </w:p>
    <w:p w14:paraId="2BBC4EAE" w14:textId="727E6DA7" w:rsidR="00185849" w:rsidRDefault="00071E0F" w:rsidP="00185849">
      <w:pPr>
        <w:pStyle w:val="ListParagraph"/>
        <w:numPr>
          <w:ilvl w:val="2"/>
          <w:numId w:val="13"/>
        </w:numPr>
        <w:rPr>
          <w:sz w:val="20"/>
        </w:rPr>
      </w:pPr>
      <w:r>
        <w:rPr>
          <w:sz w:val="20"/>
        </w:rPr>
        <w:t>If taxpayer’s residence is principal place of business, taxpayer may deduct commuting expenses between residence and another work location</w:t>
      </w:r>
    </w:p>
    <w:p w14:paraId="712B166D" w14:textId="250626A0" w:rsidR="00185849" w:rsidRDefault="00185849" w:rsidP="00185849">
      <w:pPr>
        <w:pStyle w:val="ListParagraph"/>
        <w:numPr>
          <w:ilvl w:val="0"/>
          <w:numId w:val="13"/>
        </w:numPr>
        <w:rPr>
          <w:sz w:val="20"/>
        </w:rPr>
      </w:pPr>
      <w:r>
        <w:rPr>
          <w:sz w:val="20"/>
        </w:rPr>
        <w:t xml:space="preserve">§162(a)(2) allows deductions for travelling expenses </w:t>
      </w:r>
      <w:r w:rsidR="0045080F">
        <w:rPr>
          <w:sz w:val="20"/>
        </w:rPr>
        <w:t xml:space="preserve">while away from home in </w:t>
      </w:r>
      <w:r>
        <w:rPr>
          <w:sz w:val="20"/>
        </w:rPr>
        <w:t>pursui</w:t>
      </w:r>
      <w:r w:rsidR="0045080F">
        <w:rPr>
          <w:sz w:val="20"/>
        </w:rPr>
        <w:t>t of</w:t>
      </w:r>
      <w:r>
        <w:rPr>
          <w:sz w:val="20"/>
        </w:rPr>
        <w:t xml:space="preserve"> trade or business</w:t>
      </w:r>
    </w:p>
    <w:p w14:paraId="47C6E861" w14:textId="769C94FE" w:rsidR="00B66E14" w:rsidRPr="00F86AD4" w:rsidRDefault="00B66E14" w:rsidP="00B20EBF">
      <w:pPr>
        <w:pStyle w:val="ListParagraph"/>
        <w:numPr>
          <w:ilvl w:val="1"/>
          <w:numId w:val="13"/>
        </w:numPr>
        <w:rPr>
          <w:sz w:val="20"/>
        </w:rPr>
      </w:pPr>
      <w:r>
        <w:rPr>
          <w:sz w:val="20"/>
        </w:rPr>
        <w:t>Traveling expenses are only deductible if they are 1) reasonable and necessary, 2) incurred while away from home, and 3) necessitated by the exigencies of business</w:t>
      </w:r>
      <w:r w:rsidR="00DD60FE">
        <w:rPr>
          <w:sz w:val="20"/>
        </w:rPr>
        <w:t xml:space="preserve"> </w:t>
      </w:r>
      <w:r w:rsidR="00F86AD4">
        <w:rPr>
          <w:sz w:val="20"/>
        </w:rPr>
        <w:t>–</w:t>
      </w:r>
      <w:r w:rsidR="00DD60FE">
        <w:rPr>
          <w:sz w:val="20"/>
        </w:rPr>
        <w:t xml:space="preserve"> </w:t>
      </w:r>
      <w:r w:rsidR="00DD60FE">
        <w:rPr>
          <w:i/>
          <w:sz w:val="20"/>
        </w:rPr>
        <w:t>Flowers</w:t>
      </w:r>
    </w:p>
    <w:p w14:paraId="63A78DB4" w14:textId="26C47114" w:rsidR="00F86AD4" w:rsidRDefault="00F86AD4" w:rsidP="00F86AD4">
      <w:pPr>
        <w:pStyle w:val="ListParagraph"/>
        <w:numPr>
          <w:ilvl w:val="2"/>
          <w:numId w:val="13"/>
        </w:numPr>
        <w:rPr>
          <w:sz w:val="20"/>
        </w:rPr>
      </w:pPr>
      <w:r>
        <w:rPr>
          <w:sz w:val="20"/>
        </w:rPr>
        <w:t xml:space="preserve">If a trip is for mixed business and personal reasons, travel costs are deductible only if the trip is primarily for business purposes – cf. </w:t>
      </w:r>
      <w:proofErr w:type="spellStart"/>
      <w:r>
        <w:rPr>
          <w:i/>
          <w:sz w:val="20"/>
        </w:rPr>
        <w:t>Gotcher</w:t>
      </w:r>
      <w:proofErr w:type="spellEnd"/>
    </w:p>
    <w:p w14:paraId="745F0F2C" w14:textId="57199ADF" w:rsidR="00842518" w:rsidRDefault="00B20EBF" w:rsidP="00B20EBF">
      <w:pPr>
        <w:pStyle w:val="ListParagraph"/>
        <w:numPr>
          <w:ilvl w:val="1"/>
          <w:numId w:val="13"/>
        </w:numPr>
        <w:rPr>
          <w:sz w:val="20"/>
        </w:rPr>
      </w:pPr>
      <w:r>
        <w:rPr>
          <w:sz w:val="20"/>
        </w:rPr>
        <w:t>“Away from home” requirement means that if a trip does not require overnight accommodation, no expenses for meals are deductible</w:t>
      </w:r>
    </w:p>
    <w:p w14:paraId="0C5744B7" w14:textId="6B273807" w:rsidR="004550FC" w:rsidRDefault="004550FC" w:rsidP="004550FC">
      <w:pPr>
        <w:pStyle w:val="ListParagraph"/>
        <w:numPr>
          <w:ilvl w:val="2"/>
          <w:numId w:val="13"/>
        </w:numPr>
        <w:rPr>
          <w:sz w:val="20"/>
        </w:rPr>
      </w:pPr>
      <w:r>
        <w:rPr>
          <w:sz w:val="20"/>
        </w:rPr>
        <w:t>Reflects a point on the spectrum between accuracy and administrability</w:t>
      </w:r>
    </w:p>
    <w:p w14:paraId="5A9D4D97" w14:textId="44EEF1C8" w:rsidR="008E1CDB" w:rsidRDefault="008E1CDB" w:rsidP="004550FC">
      <w:pPr>
        <w:pStyle w:val="ListParagraph"/>
        <w:numPr>
          <w:ilvl w:val="2"/>
          <w:numId w:val="13"/>
        </w:numPr>
        <w:rPr>
          <w:sz w:val="20"/>
        </w:rPr>
      </w:pPr>
      <w:r>
        <w:rPr>
          <w:sz w:val="20"/>
        </w:rPr>
        <w:lastRenderedPageBreak/>
        <w:t>Why are meals or lodging ever deductible? At the very least, taxpayer would have had to pay for food at home out of after-tax dollars anyway</w:t>
      </w:r>
    </w:p>
    <w:p w14:paraId="60916913" w14:textId="41F05A15" w:rsidR="00B20EBF" w:rsidRDefault="00842518" w:rsidP="00842518">
      <w:pPr>
        <w:pStyle w:val="ListParagraph"/>
        <w:numPr>
          <w:ilvl w:val="2"/>
          <w:numId w:val="13"/>
        </w:numPr>
        <w:rPr>
          <w:sz w:val="20"/>
        </w:rPr>
      </w:pPr>
      <w:r>
        <w:rPr>
          <w:sz w:val="20"/>
        </w:rPr>
        <w:t>If a meal is eligible for deduction, only 50% of the cost may be deducted - §274(n)(1)</w:t>
      </w:r>
      <w:r w:rsidR="00B20EBF">
        <w:rPr>
          <w:sz w:val="20"/>
        </w:rPr>
        <w:t xml:space="preserve"> </w:t>
      </w:r>
    </w:p>
    <w:p w14:paraId="3CBCBB49" w14:textId="3E7FDC10" w:rsidR="00246D77" w:rsidRDefault="00246D77" w:rsidP="00246D77">
      <w:pPr>
        <w:pStyle w:val="ListParagraph"/>
        <w:numPr>
          <w:ilvl w:val="3"/>
          <w:numId w:val="13"/>
        </w:numPr>
        <w:rPr>
          <w:sz w:val="20"/>
        </w:rPr>
      </w:pPr>
      <w:r>
        <w:rPr>
          <w:sz w:val="20"/>
        </w:rPr>
        <w:t xml:space="preserve">Employer can take full deduction if employee can exclude the meal as a de </w:t>
      </w:r>
      <w:proofErr w:type="spellStart"/>
      <w:r>
        <w:rPr>
          <w:sz w:val="20"/>
        </w:rPr>
        <w:t>minimis</w:t>
      </w:r>
      <w:proofErr w:type="spellEnd"/>
      <w:r>
        <w:rPr>
          <w:sz w:val="20"/>
        </w:rPr>
        <w:t xml:space="preserve"> fringe under §132(e)</w:t>
      </w:r>
    </w:p>
    <w:p w14:paraId="4A2A1685" w14:textId="54EDD3D8" w:rsidR="0045080F" w:rsidRDefault="0045080F" w:rsidP="00246D77">
      <w:pPr>
        <w:pStyle w:val="ListParagraph"/>
        <w:numPr>
          <w:ilvl w:val="3"/>
          <w:numId w:val="13"/>
        </w:numPr>
        <w:rPr>
          <w:sz w:val="20"/>
        </w:rPr>
      </w:pPr>
      <w:r>
        <w:rPr>
          <w:sz w:val="20"/>
        </w:rPr>
        <w:t xml:space="preserve">Employer can also take full deduction if it is a reimbursement under §82 </w:t>
      </w:r>
    </w:p>
    <w:p w14:paraId="5606A256" w14:textId="551E88EC" w:rsidR="007E44C1" w:rsidRDefault="007E44C1" w:rsidP="00842518">
      <w:pPr>
        <w:pStyle w:val="ListParagraph"/>
        <w:numPr>
          <w:ilvl w:val="2"/>
          <w:numId w:val="13"/>
        </w:numPr>
        <w:rPr>
          <w:sz w:val="20"/>
        </w:rPr>
      </w:pPr>
      <w:r>
        <w:rPr>
          <w:sz w:val="20"/>
        </w:rPr>
        <w:t>Not required for flight (ordinary &amp; necessary under §162(a)); just for otherwise personal expenses, like meals and lodging</w:t>
      </w:r>
    </w:p>
    <w:p w14:paraId="1355AD48" w14:textId="25428494" w:rsidR="004A0A87" w:rsidRPr="0045080F" w:rsidRDefault="00E0414E" w:rsidP="004A0A87">
      <w:pPr>
        <w:pStyle w:val="ListParagraph"/>
        <w:numPr>
          <w:ilvl w:val="1"/>
          <w:numId w:val="13"/>
        </w:numPr>
        <w:rPr>
          <w:sz w:val="20"/>
        </w:rPr>
      </w:pPr>
      <w:r>
        <w:rPr>
          <w:sz w:val="20"/>
        </w:rPr>
        <w:t>A</w:t>
      </w:r>
      <w:r w:rsidR="004A0A87">
        <w:rPr>
          <w:sz w:val="20"/>
        </w:rPr>
        <w:t>llowance of a deduction under §162(a)(2)</w:t>
      </w:r>
      <w:r>
        <w:rPr>
          <w:sz w:val="20"/>
        </w:rPr>
        <w:t xml:space="preserve"> turns on</w:t>
      </w:r>
      <w:r w:rsidR="004A0A87">
        <w:rPr>
          <w:sz w:val="20"/>
        </w:rPr>
        <w:t xml:space="preserve"> the reason for maintaining two homes – if personal, “home” is the place of employment, and no deduction is allowed. If it is for business, “home” is the residence, and the deduction is allowed</w:t>
      </w:r>
      <w:r>
        <w:rPr>
          <w:sz w:val="20"/>
        </w:rPr>
        <w:t xml:space="preserve"> </w:t>
      </w:r>
      <w:r w:rsidR="0045080F">
        <w:rPr>
          <w:sz w:val="20"/>
        </w:rPr>
        <w:t>–</w:t>
      </w:r>
      <w:r>
        <w:rPr>
          <w:sz w:val="20"/>
        </w:rPr>
        <w:t xml:space="preserve"> </w:t>
      </w:r>
      <w:proofErr w:type="spellStart"/>
      <w:r>
        <w:rPr>
          <w:i/>
          <w:sz w:val="20"/>
        </w:rPr>
        <w:t>Hantzis</w:t>
      </w:r>
      <w:proofErr w:type="spellEnd"/>
    </w:p>
    <w:p w14:paraId="12080C49" w14:textId="10F4C150" w:rsidR="0045080F" w:rsidRDefault="0045080F" w:rsidP="0045080F">
      <w:pPr>
        <w:pStyle w:val="ListParagraph"/>
        <w:numPr>
          <w:ilvl w:val="2"/>
          <w:numId w:val="13"/>
        </w:numPr>
        <w:rPr>
          <w:sz w:val="20"/>
        </w:rPr>
      </w:pPr>
      <w:r>
        <w:rPr>
          <w:sz w:val="20"/>
        </w:rPr>
        <w:t>Without duplicative living expenses, there simply is no “home” under §162 – traveling circus employee</w:t>
      </w:r>
    </w:p>
    <w:p w14:paraId="18A8C3F3" w14:textId="5CAF85F8" w:rsidR="009E21E7" w:rsidRDefault="009E21E7" w:rsidP="0045080F">
      <w:pPr>
        <w:pStyle w:val="ListParagraph"/>
        <w:numPr>
          <w:ilvl w:val="2"/>
          <w:numId w:val="13"/>
        </w:numPr>
        <w:rPr>
          <w:sz w:val="20"/>
        </w:rPr>
      </w:pPr>
      <w:r>
        <w:rPr>
          <w:sz w:val="20"/>
        </w:rPr>
        <w:t>Congressperson’s home is their home district, but only $3,000 of living expenses in D.C. are deductible - §162(a)</w:t>
      </w:r>
    </w:p>
    <w:p w14:paraId="2920BC80" w14:textId="6E09F660" w:rsidR="00AB605D" w:rsidRDefault="00AA0766" w:rsidP="00AB605D">
      <w:pPr>
        <w:pStyle w:val="ListParagraph"/>
        <w:numPr>
          <w:ilvl w:val="0"/>
          <w:numId w:val="13"/>
        </w:numPr>
        <w:rPr>
          <w:sz w:val="20"/>
        </w:rPr>
      </w:pPr>
      <w:r w:rsidRPr="00B55D5C">
        <w:rPr>
          <w:b/>
          <w:sz w:val="20"/>
        </w:rPr>
        <w:t>No</w:t>
      </w:r>
      <w:r>
        <w:rPr>
          <w:sz w:val="20"/>
        </w:rPr>
        <w:t xml:space="preserve"> deduction is allowed for entertainment, amusement or recreation expenses, </w:t>
      </w:r>
      <w:r w:rsidR="00AB605D" w:rsidRPr="00B55D5C">
        <w:rPr>
          <w:b/>
          <w:sz w:val="20"/>
        </w:rPr>
        <w:t>unless</w:t>
      </w:r>
      <w:r w:rsidR="00AB605D">
        <w:rPr>
          <w:sz w:val="20"/>
        </w:rPr>
        <w:t xml:space="preserve">: </w:t>
      </w:r>
      <w:r>
        <w:rPr>
          <w:sz w:val="20"/>
        </w:rPr>
        <w:t>§274(a)(1)(A)</w:t>
      </w:r>
    </w:p>
    <w:p w14:paraId="04AE6AA5" w14:textId="6EB0299F" w:rsidR="00AB605D" w:rsidRPr="00AB605D" w:rsidRDefault="00AB605D" w:rsidP="00AB605D">
      <w:pPr>
        <w:pStyle w:val="ListParagraph"/>
        <w:numPr>
          <w:ilvl w:val="1"/>
          <w:numId w:val="13"/>
        </w:numPr>
        <w:rPr>
          <w:sz w:val="16"/>
        </w:rPr>
      </w:pPr>
      <w:r>
        <w:rPr>
          <w:sz w:val="20"/>
        </w:rPr>
        <w:t>There is</w:t>
      </w:r>
      <w:r w:rsidRPr="00AB605D">
        <w:rPr>
          <w:sz w:val="20"/>
        </w:rPr>
        <w:t xml:space="preserve"> more than a general expectation of deriving business benefit</w:t>
      </w:r>
    </w:p>
    <w:p w14:paraId="7CEDB123" w14:textId="1B6FB73C" w:rsidR="00AB605D" w:rsidRPr="00AB605D" w:rsidRDefault="00AB605D" w:rsidP="00AB605D">
      <w:pPr>
        <w:pStyle w:val="ListParagraph"/>
        <w:numPr>
          <w:ilvl w:val="1"/>
          <w:numId w:val="13"/>
        </w:numPr>
        <w:rPr>
          <w:sz w:val="16"/>
        </w:rPr>
      </w:pPr>
      <w:r w:rsidRPr="00AB605D">
        <w:rPr>
          <w:sz w:val="20"/>
        </w:rPr>
        <w:t xml:space="preserve">Business discussions either during or immediately </w:t>
      </w:r>
      <w:r>
        <w:rPr>
          <w:sz w:val="20"/>
        </w:rPr>
        <w:t xml:space="preserve">following the expensed event </w:t>
      </w:r>
    </w:p>
    <w:p w14:paraId="1D35B1FF" w14:textId="4155D762" w:rsidR="00AB605D" w:rsidRPr="00AB605D" w:rsidRDefault="00AB605D" w:rsidP="00AB605D">
      <w:pPr>
        <w:pStyle w:val="ListParagraph"/>
        <w:numPr>
          <w:ilvl w:val="1"/>
          <w:numId w:val="13"/>
        </w:numPr>
        <w:rPr>
          <w:sz w:val="16"/>
        </w:rPr>
      </w:pPr>
      <w:r>
        <w:rPr>
          <w:sz w:val="20"/>
        </w:rPr>
        <w:t xml:space="preserve">Principal reason for expense </w:t>
      </w:r>
      <w:r w:rsidRPr="00AB605D">
        <w:rPr>
          <w:sz w:val="20"/>
        </w:rPr>
        <w:t>was active conduct of business</w:t>
      </w:r>
    </w:p>
    <w:p w14:paraId="42AE86B2" w14:textId="2711A2C7" w:rsidR="002E2499" w:rsidRDefault="002E2499" w:rsidP="00AB605D">
      <w:pPr>
        <w:pStyle w:val="ListParagraph"/>
        <w:numPr>
          <w:ilvl w:val="2"/>
          <w:numId w:val="13"/>
        </w:numPr>
        <w:rPr>
          <w:sz w:val="20"/>
        </w:rPr>
      </w:pPr>
      <w:r>
        <w:rPr>
          <w:sz w:val="20"/>
        </w:rPr>
        <w:t>Although occasional lunches to improve social cohesio</w:t>
      </w:r>
      <w:r w:rsidR="00307D2A">
        <w:rPr>
          <w:sz w:val="20"/>
        </w:rPr>
        <w:t>n might have been deductible,</w:t>
      </w:r>
      <w:r>
        <w:rPr>
          <w:sz w:val="20"/>
        </w:rPr>
        <w:t xml:space="preserve"> da</w:t>
      </w:r>
      <w:r w:rsidR="00307D2A">
        <w:rPr>
          <w:sz w:val="20"/>
        </w:rPr>
        <w:t>ily lunch to discuss business, though ordinary &amp;</w:t>
      </w:r>
      <w:r>
        <w:rPr>
          <w:sz w:val="20"/>
        </w:rPr>
        <w:t xml:space="preserve"> necessary, was not deductible – </w:t>
      </w:r>
      <w:r>
        <w:rPr>
          <w:i/>
          <w:sz w:val="20"/>
        </w:rPr>
        <w:t>Moss</w:t>
      </w:r>
    </w:p>
    <w:p w14:paraId="1605776D" w14:textId="77777777" w:rsidR="00AB605D" w:rsidRDefault="00AB605D" w:rsidP="00AB605D">
      <w:pPr>
        <w:pStyle w:val="ListParagraph"/>
        <w:numPr>
          <w:ilvl w:val="1"/>
          <w:numId w:val="13"/>
        </w:numPr>
        <w:rPr>
          <w:sz w:val="20"/>
        </w:rPr>
      </w:pPr>
      <w:r>
        <w:rPr>
          <w:sz w:val="20"/>
        </w:rPr>
        <w:t>Subject to significant reporting requirements in §274(d)</w:t>
      </w:r>
    </w:p>
    <w:p w14:paraId="512F154A" w14:textId="1C74E8BE" w:rsidR="00643516" w:rsidRDefault="00BC4A7F" w:rsidP="002E2499">
      <w:pPr>
        <w:pStyle w:val="ListParagraph"/>
        <w:numPr>
          <w:ilvl w:val="1"/>
          <w:numId w:val="13"/>
        </w:numPr>
        <w:rPr>
          <w:sz w:val="20"/>
        </w:rPr>
      </w:pPr>
      <w:r>
        <w:rPr>
          <w:sz w:val="20"/>
        </w:rPr>
        <w:t>No deductions for lavish/extra</w:t>
      </w:r>
      <w:r w:rsidR="00307D2A">
        <w:rPr>
          <w:sz w:val="20"/>
        </w:rPr>
        <w:t xml:space="preserve">vagant business meals, or if </w:t>
      </w:r>
      <w:r>
        <w:rPr>
          <w:sz w:val="20"/>
        </w:rPr>
        <w:t xml:space="preserve">taxpayer </w:t>
      </w:r>
      <w:r w:rsidR="00307D2A">
        <w:rPr>
          <w:sz w:val="20"/>
        </w:rPr>
        <w:t>(or employee) isn’t present for</w:t>
      </w:r>
      <w:r>
        <w:rPr>
          <w:sz w:val="20"/>
        </w:rPr>
        <w:t xml:space="preserve"> meal - §274(k)</w:t>
      </w:r>
    </w:p>
    <w:p w14:paraId="0982187A" w14:textId="259E66D6" w:rsidR="00F81D34" w:rsidRDefault="00F81D34" w:rsidP="002E2499">
      <w:pPr>
        <w:pStyle w:val="ListParagraph"/>
        <w:numPr>
          <w:ilvl w:val="1"/>
          <w:numId w:val="13"/>
        </w:numPr>
        <w:rPr>
          <w:sz w:val="20"/>
        </w:rPr>
      </w:pPr>
      <w:r>
        <w:rPr>
          <w:sz w:val="20"/>
        </w:rPr>
        <w:t>Conventions must meet necessity requirements to be held outside the North American area</w:t>
      </w:r>
      <w:r w:rsidR="00564702">
        <w:rPr>
          <w:sz w:val="20"/>
        </w:rPr>
        <w:t>, and geographic limitations if they will be on cruise ships</w:t>
      </w:r>
      <w:r>
        <w:rPr>
          <w:sz w:val="20"/>
        </w:rPr>
        <w:t xml:space="preserve"> - §274(h)</w:t>
      </w:r>
    </w:p>
    <w:p w14:paraId="7BD7B724" w14:textId="359392AA" w:rsidR="00564702" w:rsidRDefault="00564702" w:rsidP="002E2499">
      <w:pPr>
        <w:pStyle w:val="ListParagraph"/>
        <w:numPr>
          <w:ilvl w:val="1"/>
          <w:numId w:val="13"/>
        </w:numPr>
        <w:rPr>
          <w:sz w:val="20"/>
        </w:rPr>
      </w:pPr>
      <w:r>
        <w:rPr>
          <w:sz w:val="20"/>
        </w:rPr>
        <w:t>The cost of skyboxes is only deductible to the extent of normal stadium seating - §274(l)(2)</w:t>
      </w:r>
    </w:p>
    <w:p w14:paraId="796E4B89" w14:textId="448C7FD2" w:rsidR="006D4BE8" w:rsidRDefault="006D4BE8" w:rsidP="002E2499">
      <w:pPr>
        <w:pStyle w:val="ListParagraph"/>
        <w:numPr>
          <w:ilvl w:val="1"/>
          <w:numId w:val="13"/>
        </w:numPr>
        <w:rPr>
          <w:sz w:val="20"/>
        </w:rPr>
      </w:pPr>
      <w:r>
        <w:rPr>
          <w:sz w:val="20"/>
        </w:rPr>
        <w:t>No deductions for membership/dues for a club - §274(a)(3)</w:t>
      </w:r>
    </w:p>
    <w:p w14:paraId="40E8BE5E" w14:textId="0BC93277" w:rsidR="005A2B54" w:rsidRDefault="00307D2A" w:rsidP="005A2B54">
      <w:pPr>
        <w:pStyle w:val="ListParagraph"/>
        <w:numPr>
          <w:ilvl w:val="0"/>
          <w:numId w:val="13"/>
        </w:numPr>
        <w:rPr>
          <w:sz w:val="20"/>
        </w:rPr>
      </w:pPr>
      <w:r>
        <w:rPr>
          <w:sz w:val="20"/>
        </w:rPr>
        <w:t>No deduction with respect to use of a dwelling used as</w:t>
      </w:r>
      <w:r w:rsidR="00364A17">
        <w:rPr>
          <w:sz w:val="20"/>
        </w:rPr>
        <w:t xml:space="preserve"> residence, unless a portion of the residence is exclusively used on a regular basis as the </w:t>
      </w:r>
      <w:r>
        <w:rPr>
          <w:sz w:val="20"/>
        </w:rPr>
        <w:t xml:space="preserve">taxpayer’s </w:t>
      </w:r>
      <w:r w:rsidR="00364A17">
        <w:rPr>
          <w:sz w:val="20"/>
        </w:rPr>
        <w:t>principal place of business, a place of business used by clients in dealing with the taxpayer or (if a separate structure), if used in connection with the taxpayer’s business - §280A(c)</w:t>
      </w:r>
    </w:p>
    <w:p w14:paraId="7C6C993F" w14:textId="46CFD9B6" w:rsidR="00B07653" w:rsidRDefault="00B07653" w:rsidP="00B07653">
      <w:pPr>
        <w:pStyle w:val="ListParagraph"/>
        <w:numPr>
          <w:ilvl w:val="1"/>
          <w:numId w:val="13"/>
        </w:numPr>
        <w:rPr>
          <w:sz w:val="20"/>
        </w:rPr>
      </w:pPr>
      <w:r>
        <w:rPr>
          <w:sz w:val="20"/>
        </w:rPr>
        <w:t xml:space="preserve">A home office is the taxpayer’s principal place of business under two factors: 1) the relative importance of the activities performed at each business location, and 2) the time spent at each place – </w:t>
      </w:r>
      <w:r>
        <w:rPr>
          <w:i/>
          <w:sz w:val="20"/>
        </w:rPr>
        <w:t xml:space="preserve">Popov </w:t>
      </w:r>
      <w:r>
        <w:rPr>
          <w:sz w:val="20"/>
        </w:rPr>
        <w:t>(music studio in a violinists’ one-bedroom apartment living room)</w:t>
      </w:r>
    </w:p>
    <w:p w14:paraId="2EDFFA47" w14:textId="7D6C8305" w:rsidR="008C6858" w:rsidRDefault="008C6858" w:rsidP="00B07653">
      <w:pPr>
        <w:pStyle w:val="ListParagraph"/>
        <w:numPr>
          <w:ilvl w:val="1"/>
          <w:numId w:val="13"/>
        </w:numPr>
        <w:rPr>
          <w:sz w:val="20"/>
        </w:rPr>
      </w:pPr>
      <w:r>
        <w:rPr>
          <w:sz w:val="20"/>
        </w:rPr>
        <w:t>“Principal place of business”</w:t>
      </w:r>
      <w:r w:rsidRPr="008C6858">
        <w:rPr>
          <w:sz w:val="20"/>
        </w:rPr>
        <w:t xml:space="preserve"> includes a place </w:t>
      </w:r>
      <w:r>
        <w:rPr>
          <w:sz w:val="20"/>
        </w:rPr>
        <w:t>used by taxpayer for</w:t>
      </w:r>
      <w:r w:rsidR="00307D2A">
        <w:rPr>
          <w:sz w:val="20"/>
        </w:rPr>
        <w:t xml:space="preserve"> business’s</w:t>
      </w:r>
      <w:r>
        <w:rPr>
          <w:sz w:val="20"/>
        </w:rPr>
        <w:t xml:space="preserve"> </w:t>
      </w:r>
      <w:r w:rsidRPr="008C6858">
        <w:rPr>
          <w:sz w:val="20"/>
        </w:rPr>
        <w:t xml:space="preserve">administrative </w:t>
      </w:r>
      <w:r>
        <w:rPr>
          <w:sz w:val="20"/>
        </w:rPr>
        <w:t>acti</w:t>
      </w:r>
      <w:r w:rsidRPr="008C6858">
        <w:rPr>
          <w:sz w:val="20"/>
        </w:rPr>
        <w:t>vities</w:t>
      </w:r>
      <w:r>
        <w:rPr>
          <w:sz w:val="20"/>
        </w:rPr>
        <w:t xml:space="preserve"> </w:t>
      </w:r>
      <w:r w:rsidRPr="008C6858">
        <w:rPr>
          <w:sz w:val="20"/>
        </w:rPr>
        <w:t xml:space="preserve">if there is </w:t>
      </w:r>
      <w:r w:rsidR="00307D2A">
        <w:rPr>
          <w:sz w:val="20"/>
        </w:rPr>
        <w:t xml:space="preserve">no other fixed location where </w:t>
      </w:r>
      <w:r w:rsidRPr="008C6858">
        <w:rPr>
          <w:sz w:val="20"/>
        </w:rPr>
        <w:t>taxpayer cond</w:t>
      </w:r>
      <w:r>
        <w:rPr>
          <w:sz w:val="20"/>
        </w:rPr>
        <w:t>ucts such activities</w:t>
      </w:r>
    </w:p>
    <w:p w14:paraId="654F9836" w14:textId="0C74484C" w:rsidR="00F07CB9" w:rsidRDefault="00F07CB9" w:rsidP="00B07653">
      <w:pPr>
        <w:pStyle w:val="ListParagraph"/>
        <w:numPr>
          <w:ilvl w:val="1"/>
          <w:numId w:val="13"/>
        </w:numPr>
        <w:rPr>
          <w:sz w:val="20"/>
        </w:rPr>
      </w:pPr>
      <w:r>
        <w:rPr>
          <w:sz w:val="20"/>
        </w:rPr>
        <w:t>§280</w:t>
      </w:r>
      <w:r w:rsidR="008B1723">
        <w:rPr>
          <w:sz w:val="20"/>
        </w:rPr>
        <w:t>A</w:t>
      </w:r>
      <w:r>
        <w:rPr>
          <w:sz w:val="20"/>
        </w:rPr>
        <w:t xml:space="preserve">(g) includes a de </w:t>
      </w:r>
      <w:proofErr w:type="spellStart"/>
      <w:r>
        <w:rPr>
          <w:sz w:val="20"/>
        </w:rPr>
        <w:t>minimis</w:t>
      </w:r>
      <w:proofErr w:type="spellEnd"/>
      <w:r>
        <w:rPr>
          <w:sz w:val="20"/>
        </w:rPr>
        <w:t xml:space="preserve"> exception for rental income – </w:t>
      </w:r>
      <w:r w:rsidR="00307D2A">
        <w:rPr>
          <w:sz w:val="20"/>
        </w:rPr>
        <w:t xml:space="preserve">if less than 15 days, neither deduction </w:t>
      </w:r>
      <w:r>
        <w:rPr>
          <w:sz w:val="20"/>
        </w:rPr>
        <w:t>no</w:t>
      </w:r>
      <w:r w:rsidR="00307D2A">
        <w:rPr>
          <w:sz w:val="20"/>
        </w:rPr>
        <w:t>r</w:t>
      </w:r>
      <w:r>
        <w:rPr>
          <w:sz w:val="20"/>
        </w:rPr>
        <w:t xml:space="preserve"> income</w:t>
      </w:r>
    </w:p>
    <w:p w14:paraId="00B95230" w14:textId="0895B212" w:rsidR="00F07CB9" w:rsidRDefault="00F07CB9" w:rsidP="00F07CB9">
      <w:pPr>
        <w:pStyle w:val="ListParagraph"/>
        <w:numPr>
          <w:ilvl w:val="2"/>
          <w:numId w:val="13"/>
        </w:numPr>
        <w:rPr>
          <w:sz w:val="20"/>
        </w:rPr>
      </w:pPr>
      <w:r>
        <w:rPr>
          <w:sz w:val="20"/>
        </w:rPr>
        <w:t>Can Extreme Home Makeover use this as a tax evasion strategy?</w:t>
      </w:r>
    </w:p>
    <w:p w14:paraId="71DD1C4D" w14:textId="4CC96421" w:rsidR="008B1723" w:rsidRDefault="00544814" w:rsidP="008B1723">
      <w:pPr>
        <w:pStyle w:val="ListParagraph"/>
        <w:numPr>
          <w:ilvl w:val="0"/>
          <w:numId w:val="13"/>
        </w:numPr>
        <w:rPr>
          <w:sz w:val="20"/>
        </w:rPr>
      </w:pPr>
      <w:r>
        <w:rPr>
          <w:sz w:val="20"/>
        </w:rPr>
        <w:t xml:space="preserve">Losses from activities not engaged in for profit (hobby losses) </w:t>
      </w:r>
      <w:r>
        <w:rPr>
          <w:b/>
          <w:sz w:val="20"/>
        </w:rPr>
        <w:t xml:space="preserve">are not </w:t>
      </w:r>
      <w:r>
        <w:rPr>
          <w:sz w:val="20"/>
        </w:rPr>
        <w:t>deductible</w:t>
      </w:r>
      <w:r w:rsidR="00307D2A">
        <w:rPr>
          <w:sz w:val="20"/>
        </w:rPr>
        <w:t>. The only deductions allowed are those permitted outside</w:t>
      </w:r>
      <w:r w:rsidR="009D3B63">
        <w:rPr>
          <w:sz w:val="20"/>
        </w:rPr>
        <w:t xml:space="preserve"> §183, and</w:t>
      </w:r>
      <w:r w:rsidR="00307D2A">
        <w:rPr>
          <w:sz w:val="20"/>
        </w:rPr>
        <w:t xml:space="preserve"> losses to the extent </w:t>
      </w:r>
      <w:r w:rsidR="009D3B63">
        <w:rPr>
          <w:sz w:val="20"/>
        </w:rPr>
        <w:t>income exceeds the deductions allowed - §183</w:t>
      </w:r>
    </w:p>
    <w:p w14:paraId="0AC7301A" w14:textId="5C38C6D8" w:rsidR="009D3B63" w:rsidRDefault="009D3B63" w:rsidP="009D3B63">
      <w:pPr>
        <w:pStyle w:val="ListParagraph"/>
        <w:numPr>
          <w:ilvl w:val="1"/>
          <w:numId w:val="13"/>
        </w:numPr>
        <w:rPr>
          <w:sz w:val="20"/>
        </w:rPr>
      </w:pPr>
      <w:r>
        <w:rPr>
          <w:sz w:val="20"/>
        </w:rPr>
        <w:t>If an activity makes a profit for three of five years, it is presumed to be “for profit” - §183(d)</w:t>
      </w:r>
    </w:p>
    <w:p w14:paraId="0931360C" w14:textId="604720D1" w:rsidR="009D3B63" w:rsidRDefault="009D3B63" w:rsidP="009D3B63">
      <w:pPr>
        <w:pStyle w:val="ListParagraph"/>
        <w:numPr>
          <w:ilvl w:val="2"/>
          <w:numId w:val="13"/>
        </w:numPr>
        <w:rPr>
          <w:sz w:val="20"/>
        </w:rPr>
      </w:pPr>
      <w:r>
        <w:rPr>
          <w:sz w:val="20"/>
        </w:rPr>
        <w:t xml:space="preserve">This is a pro-taxpayer, objective test that is not hard for hobbyists to meet since they can manipulate cash flows to create profit in a </w:t>
      </w:r>
      <w:r w:rsidR="00307D2A">
        <w:rPr>
          <w:sz w:val="20"/>
        </w:rPr>
        <w:t>needed year</w:t>
      </w:r>
    </w:p>
    <w:p w14:paraId="6FDE9D09" w14:textId="70D90531" w:rsidR="004B4C40" w:rsidRPr="00DC0D5C" w:rsidRDefault="004B4C40" w:rsidP="004B4C40">
      <w:pPr>
        <w:pStyle w:val="ListParagraph"/>
        <w:numPr>
          <w:ilvl w:val="1"/>
          <w:numId w:val="13"/>
        </w:numPr>
        <w:rPr>
          <w:sz w:val="20"/>
        </w:rPr>
      </w:pPr>
      <w:r>
        <w:rPr>
          <w:sz w:val="20"/>
        </w:rPr>
        <w:t xml:space="preserve">Whether an activity is for profit is </w:t>
      </w:r>
      <w:r w:rsidR="00566779">
        <w:rPr>
          <w:sz w:val="20"/>
        </w:rPr>
        <w:t>highly fact-specific</w:t>
      </w:r>
      <w:r>
        <w:rPr>
          <w:sz w:val="20"/>
        </w:rPr>
        <w:t xml:space="preserve">, turning on 9 distinct factors </w:t>
      </w:r>
      <w:r w:rsidR="00DC0D5C">
        <w:rPr>
          <w:sz w:val="20"/>
        </w:rPr>
        <w:t>–</w:t>
      </w:r>
      <w:r>
        <w:rPr>
          <w:sz w:val="20"/>
        </w:rPr>
        <w:t xml:space="preserve"> </w:t>
      </w:r>
      <w:proofErr w:type="spellStart"/>
      <w:r>
        <w:rPr>
          <w:i/>
          <w:sz w:val="20"/>
        </w:rPr>
        <w:t>Storey</w:t>
      </w:r>
      <w:proofErr w:type="spellEnd"/>
    </w:p>
    <w:p w14:paraId="44A240EE" w14:textId="2BC86ECF" w:rsidR="00DC0D5C" w:rsidRDefault="0085355B" w:rsidP="00DC0D5C">
      <w:pPr>
        <w:pStyle w:val="ListParagraph"/>
        <w:numPr>
          <w:ilvl w:val="0"/>
          <w:numId w:val="13"/>
        </w:numPr>
        <w:rPr>
          <w:sz w:val="20"/>
        </w:rPr>
      </w:pPr>
      <w:r>
        <w:rPr>
          <w:sz w:val="20"/>
        </w:rPr>
        <w:t xml:space="preserve">Deductions for educational expenses </w:t>
      </w:r>
      <w:r>
        <w:rPr>
          <w:b/>
          <w:sz w:val="20"/>
        </w:rPr>
        <w:t xml:space="preserve">are </w:t>
      </w:r>
      <w:r>
        <w:rPr>
          <w:sz w:val="20"/>
        </w:rPr>
        <w:t>allowed</w:t>
      </w:r>
      <w:r w:rsidR="00603CBC">
        <w:rPr>
          <w:sz w:val="20"/>
        </w:rPr>
        <w:t xml:space="preserve"> under §162</w:t>
      </w:r>
      <w:r>
        <w:rPr>
          <w:sz w:val="20"/>
        </w:rPr>
        <w:t xml:space="preserve">, if two separate tests are met: </w:t>
      </w:r>
      <w:r w:rsidR="0021647B">
        <w:rPr>
          <w:sz w:val="20"/>
        </w:rPr>
        <w:t>(</w:t>
      </w:r>
      <w:proofErr w:type="spellStart"/>
      <w:r w:rsidR="0021647B">
        <w:rPr>
          <w:i/>
          <w:sz w:val="20"/>
        </w:rPr>
        <w:t>Wassena</w:t>
      </w:r>
      <w:r w:rsidR="006F75DC">
        <w:rPr>
          <w:i/>
          <w:sz w:val="20"/>
        </w:rPr>
        <w:t>a</w:t>
      </w:r>
      <w:r w:rsidR="0021647B">
        <w:rPr>
          <w:i/>
          <w:sz w:val="20"/>
        </w:rPr>
        <w:t>r</w:t>
      </w:r>
      <w:proofErr w:type="spellEnd"/>
      <w:r w:rsidR="0021647B">
        <w:rPr>
          <w:sz w:val="20"/>
        </w:rPr>
        <w:t>)</w:t>
      </w:r>
    </w:p>
    <w:p w14:paraId="3817C9D0" w14:textId="3510178B" w:rsidR="0085355B" w:rsidRDefault="0085355B" w:rsidP="0085355B">
      <w:pPr>
        <w:pStyle w:val="ListParagraph"/>
        <w:numPr>
          <w:ilvl w:val="1"/>
          <w:numId w:val="13"/>
        </w:numPr>
        <w:rPr>
          <w:sz w:val="20"/>
        </w:rPr>
      </w:pPr>
      <w:r>
        <w:rPr>
          <w:sz w:val="20"/>
        </w:rPr>
        <w:t>The educational expenses cannot qualify the taxpayer for a new field of employment</w:t>
      </w:r>
    </w:p>
    <w:p w14:paraId="15AABFCF" w14:textId="493DD8AF" w:rsidR="006F75DC" w:rsidRDefault="006F75DC" w:rsidP="006F75DC">
      <w:pPr>
        <w:pStyle w:val="ListParagraph"/>
        <w:numPr>
          <w:ilvl w:val="2"/>
          <w:numId w:val="13"/>
        </w:numPr>
        <w:rPr>
          <w:sz w:val="20"/>
        </w:rPr>
      </w:pPr>
      <w:r>
        <w:rPr>
          <w:sz w:val="20"/>
        </w:rPr>
        <w:lastRenderedPageBreak/>
        <w:t>Minimum education requirements (such as bachelor’s degree) are generally not deductible because they “qualify” the taxpayer for a new job</w:t>
      </w:r>
    </w:p>
    <w:p w14:paraId="64AE86EA" w14:textId="7046594C" w:rsidR="00E121ED" w:rsidRDefault="00E121ED" w:rsidP="006F75DC">
      <w:pPr>
        <w:pStyle w:val="ListParagraph"/>
        <w:numPr>
          <w:ilvl w:val="2"/>
          <w:numId w:val="13"/>
        </w:numPr>
        <w:rPr>
          <w:sz w:val="20"/>
        </w:rPr>
      </w:pPr>
      <w:r>
        <w:rPr>
          <w:sz w:val="20"/>
        </w:rPr>
        <w:t>Law students generally fail on this test; MBAs usually pass</w:t>
      </w:r>
    </w:p>
    <w:p w14:paraId="54D662C9" w14:textId="72EB53B7" w:rsidR="0085355B" w:rsidRDefault="00F25D4B" w:rsidP="0085355B">
      <w:pPr>
        <w:pStyle w:val="ListParagraph"/>
        <w:numPr>
          <w:ilvl w:val="1"/>
          <w:numId w:val="13"/>
        </w:numPr>
        <w:rPr>
          <w:sz w:val="20"/>
        </w:rPr>
      </w:pPr>
      <w:r>
        <w:rPr>
          <w:sz w:val="20"/>
        </w:rPr>
        <w:t>E</w:t>
      </w:r>
      <w:r w:rsidR="006F75DC">
        <w:rPr>
          <w:sz w:val="20"/>
        </w:rPr>
        <w:t>ducat</w:t>
      </w:r>
      <w:r>
        <w:rPr>
          <w:sz w:val="20"/>
        </w:rPr>
        <w:t>ional expenses must maintain/</w:t>
      </w:r>
      <w:r w:rsidR="006F75DC">
        <w:rPr>
          <w:sz w:val="20"/>
        </w:rPr>
        <w:t xml:space="preserve">improve skills necessary to </w:t>
      </w:r>
      <w:r w:rsidR="0085355B">
        <w:rPr>
          <w:sz w:val="20"/>
        </w:rPr>
        <w:t>taxpayer’s current employment</w:t>
      </w:r>
    </w:p>
    <w:p w14:paraId="78FBDF9D" w14:textId="380ED60A" w:rsidR="006F75DC" w:rsidRDefault="0046535E" w:rsidP="0085355B">
      <w:pPr>
        <w:pStyle w:val="ListParagraph"/>
        <w:numPr>
          <w:ilvl w:val="1"/>
          <w:numId w:val="13"/>
        </w:numPr>
        <w:rPr>
          <w:sz w:val="20"/>
        </w:rPr>
      </w:pPr>
      <w:r>
        <w:rPr>
          <w:sz w:val="20"/>
        </w:rPr>
        <w:t>Compare income exclusion for educational expenses (§§127 (employer contributions), 135 (Income from U.S. savings bonds)) with deduction for tuition - §222</w:t>
      </w:r>
    </w:p>
    <w:p w14:paraId="2C361740" w14:textId="1E4225BE" w:rsidR="00B46C5B" w:rsidRDefault="00B46C5B" w:rsidP="00B46C5B">
      <w:pPr>
        <w:pStyle w:val="ListParagraph"/>
        <w:numPr>
          <w:ilvl w:val="2"/>
          <w:numId w:val="13"/>
        </w:numPr>
        <w:rPr>
          <w:sz w:val="20"/>
        </w:rPr>
      </w:pPr>
      <w:r>
        <w:rPr>
          <w:sz w:val="20"/>
        </w:rPr>
        <w:t>§222 contains hard dollar limits – past a certain point, no deduction is allowed</w:t>
      </w:r>
    </w:p>
    <w:p w14:paraId="6AAE9960" w14:textId="5CDABB28" w:rsidR="001473BB" w:rsidRDefault="001473BB" w:rsidP="001473BB">
      <w:pPr>
        <w:pStyle w:val="ListParagraph"/>
        <w:numPr>
          <w:ilvl w:val="3"/>
          <w:numId w:val="13"/>
        </w:numPr>
        <w:rPr>
          <w:sz w:val="20"/>
        </w:rPr>
      </w:pPr>
      <w:r>
        <w:rPr>
          <w:sz w:val="20"/>
        </w:rPr>
        <w:t>Example of a particularly egregious “cliff effect” – one additional dollar destroys the entire deduction</w:t>
      </w:r>
    </w:p>
    <w:p w14:paraId="02B8C27E" w14:textId="4315B5B3" w:rsidR="001473BB" w:rsidRDefault="001473BB" w:rsidP="00B46C5B">
      <w:pPr>
        <w:pStyle w:val="ListParagraph"/>
        <w:numPr>
          <w:ilvl w:val="2"/>
          <w:numId w:val="13"/>
        </w:numPr>
        <w:rPr>
          <w:sz w:val="20"/>
        </w:rPr>
      </w:pPr>
      <w:r>
        <w:rPr>
          <w:sz w:val="20"/>
        </w:rPr>
        <w:t>§25A includes two tax credits, the American Opportunity Credit (first four years of undergrad) and the Lifetime Learning Credit</w:t>
      </w:r>
    </w:p>
    <w:p w14:paraId="32E87C7A" w14:textId="5BA0DEAF" w:rsidR="005867A8" w:rsidRDefault="005867A8" w:rsidP="005867A8">
      <w:pPr>
        <w:pStyle w:val="ListParagraph"/>
        <w:numPr>
          <w:ilvl w:val="3"/>
          <w:numId w:val="13"/>
        </w:numPr>
        <w:rPr>
          <w:sz w:val="20"/>
        </w:rPr>
      </w:pPr>
      <w:r>
        <w:rPr>
          <w:sz w:val="20"/>
        </w:rPr>
        <w:t xml:space="preserve">Election to take either credits invalidates </w:t>
      </w:r>
      <w:r w:rsidR="00F25D4B">
        <w:rPr>
          <w:sz w:val="20"/>
        </w:rPr>
        <w:t xml:space="preserve">§222’s education expense deduction </w:t>
      </w:r>
    </w:p>
    <w:p w14:paraId="24A43EA0" w14:textId="67B04236" w:rsidR="00C336A3" w:rsidRDefault="003D757E" w:rsidP="00C336A3">
      <w:pPr>
        <w:pStyle w:val="ListParagraph"/>
        <w:numPr>
          <w:ilvl w:val="2"/>
          <w:numId w:val="13"/>
        </w:numPr>
        <w:rPr>
          <w:sz w:val="20"/>
        </w:rPr>
      </w:pPr>
      <w:r>
        <w:rPr>
          <w:sz w:val="20"/>
        </w:rPr>
        <w:t>§529 accounts provide tax-free interest and distributions to students if proceeds are used for college expenses</w:t>
      </w:r>
    </w:p>
    <w:p w14:paraId="6FE91244" w14:textId="09DC8ECA" w:rsidR="00603CBC" w:rsidRDefault="00252E47" w:rsidP="00603CBC">
      <w:pPr>
        <w:pStyle w:val="ListParagraph"/>
        <w:numPr>
          <w:ilvl w:val="0"/>
          <w:numId w:val="13"/>
        </w:numPr>
        <w:rPr>
          <w:sz w:val="20"/>
        </w:rPr>
      </w:pPr>
      <w:r>
        <w:rPr>
          <w:sz w:val="20"/>
        </w:rPr>
        <w:t xml:space="preserve">Expenses incurred in seeking new employment within the same trade/business </w:t>
      </w:r>
      <w:r w:rsidRPr="00252E47">
        <w:rPr>
          <w:b/>
          <w:sz w:val="20"/>
        </w:rPr>
        <w:t>are</w:t>
      </w:r>
      <w:r>
        <w:rPr>
          <w:sz w:val="20"/>
        </w:rPr>
        <w:t xml:space="preserve"> deductible under §162 </w:t>
      </w:r>
    </w:p>
    <w:p w14:paraId="6D5E8E8E" w14:textId="5BBB6970" w:rsidR="00252E47" w:rsidRPr="00D7078F" w:rsidRDefault="00F25D4B" w:rsidP="00252E47">
      <w:pPr>
        <w:pStyle w:val="ListParagraph"/>
        <w:numPr>
          <w:ilvl w:val="1"/>
          <w:numId w:val="13"/>
        </w:numPr>
        <w:rPr>
          <w:sz w:val="20"/>
        </w:rPr>
      </w:pPr>
      <w:r>
        <w:rPr>
          <w:sz w:val="20"/>
        </w:rPr>
        <w:t>E</w:t>
      </w:r>
      <w:r w:rsidR="00252E47">
        <w:rPr>
          <w:sz w:val="20"/>
        </w:rPr>
        <w:t xml:space="preserve">xpenses </w:t>
      </w:r>
      <w:r w:rsidR="00252E47">
        <w:rPr>
          <w:b/>
          <w:sz w:val="20"/>
        </w:rPr>
        <w:t xml:space="preserve">are not </w:t>
      </w:r>
      <w:r w:rsidR="00252E47">
        <w:rPr>
          <w:sz w:val="20"/>
        </w:rPr>
        <w:t xml:space="preserve">deductible if employment is sought in a new trade/business – </w:t>
      </w:r>
      <w:r w:rsidR="00252E47">
        <w:rPr>
          <w:i/>
          <w:sz w:val="20"/>
        </w:rPr>
        <w:t>Rev. Rul. 75-120</w:t>
      </w:r>
    </w:p>
    <w:p w14:paraId="57A5A361" w14:textId="1561A609" w:rsidR="00D7078F" w:rsidRDefault="00D7078F" w:rsidP="00252E47">
      <w:pPr>
        <w:pStyle w:val="ListParagraph"/>
        <w:numPr>
          <w:ilvl w:val="1"/>
          <w:numId w:val="13"/>
        </w:numPr>
        <w:rPr>
          <w:sz w:val="20"/>
        </w:rPr>
      </w:pPr>
      <w:r>
        <w:rPr>
          <w:sz w:val="20"/>
        </w:rPr>
        <w:t>If unemployed, old trade/business applies if there is not a substantial lack of continuity</w:t>
      </w:r>
    </w:p>
    <w:p w14:paraId="5E2B52BA" w14:textId="67E54E55" w:rsidR="0051201A" w:rsidRPr="00EE1561" w:rsidRDefault="0051201A" w:rsidP="00252E47">
      <w:pPr>
        <w:pStyle w:val="ListParagraph"/>
        <w:numPr>
          <w:ilvl w:val="1"/>
          <w:numId w:val="13"/>
        </w:numPr>
        <w:rPr>
          <w:sz w:val="20"/>
        </w:rPr>
      </w:pPr>
      <w:r>
        <w:rPr>
          <w:sz w:val="20"/>
        </w:rPr>
        <w:t xml:space="preserve">Payments to individuals for reimbursement of travel expenses associated with job interviews </w:t>
      </w:r>
      <w:r>
        <w:rPr>
          <w:b/>
          <w:sz w:val="20"/>
        </w:rPr>
        <w:t xml:space="preserve">are not </w:t>
      </w:r>
      <w:r>
        <w:rPr>
          <w:sz w:val="20"/>
        </w:rPr>
        <w:t xml:space="preserve">includible in gross income – </w:t>
      </w:r>
      <w:r>
        <w:rPr>
          <w:i/>
          <w:sz w:val="20"/>
        </w:rPr>
        <w:t>Rev. Rul. 63-77</w:t>
      </w:r>
    </w:p>
    <w:p w14:paraId="62FB05D1" w14:textId="01AF32B9" w:rsidR="00EE1561" w:rsidRDefault="00EE1561" w:rsidP="00EE1561">
      <w:pPr>
        <w:pStyle w:val="Heading4"/>
        <w:rPr>
          <w:sz w:val="20"/>
        </w:rPr>
      </w:pPr>
      <w:r>
        <w:rPr>
          <w:sz w:val="20"/>
        </w:rPr>
        <w:t>Personal Deductions</w:t>
      </w:r>
    </w:p>
    <w:p w14:paraId="536A92CA" w14:textId="3DE003FC" w:rsidR="00562332" w:rsidRDefault="00562332" w:rsidP="00EE1561">
      <w:pPr>
        <w:pStyle w:val="ListParagraph"/>
        <w:numPr>
          <w:ilvl w:val="0"/>
          <w:numId w:val="15"/>
        </w:numPr>
        <w:rPr>
          <w:sz w:val="20"/>
        </w:rPr>
      </w:pPr>
      <w:r>
        <w:rPr>
          <w:sz w:val="20"/>
        </w:rPr>
        <w:t>Deductions tend to benefit the wealthy (who actually have sufficient income to take advantage of deductions) and have the assets that are capable of deductions (mortgage interest, etc.)</w:t>
      </w:r>
    </w:p>
    <w:p w14:paraId="361D5168" w14:textId="6D3989DB" w:rsidR="00EE1561" w:rsidRDefault="00EE1561" w:rsidP="00EE1561">
      <w:pPr>
        <w:pStyle w:val="ListParagraph"/>
        <w:numPr>
          <w:ilvl w:val="0"/>
          <w:numId w:val="15"/>
        </w:numPr>
        <w:rPr>
          <w:sz w:val="20"/>
        </w:rPr>
      </w:pPr>
      <w:r>
        <w:rPr>
          <w:sz w:val="20"/>
        </w:rPr>
        <w:t>§163(a) permits a deduction for interest, but this is largely limited by subsequent sections</w:t>
      </w:r>
    </w:p>
    <w:p w14:paraId="04555CD3" w14:textId="503CA343" w:rsidR="00EE1561" w:rsidRDefault="00EE1561" w:rsidP="00EE1561">
      <w:pPr>
        <w:pStyle w:val="ListParagraph"/>
        <w:numPr>
          <w:ilvl w:val="1"/>
          <w:numId w:val="15"/>
        </w:numPr>
        <w:rPr>
          <w:sz w:val="20"/>
        </w:rPr>
      </w:pPr>
      <w:r>
        <w:rPr>
          <w:sz w:val="20"/>
        </w:rPr>
        <w:t xml:space="preserve">Deductibility of interest </w:t>
      </w:r>
      <w:r>
        <w:rPr>
          <w:i/>
          <w:sz w:val="20"/>
        </w:rPr>
        <w:t xml:space="preserve">increases </w:t>
      </w:r>
      <w:r>
        <w:rPr>
          <w:sz w:val="20"/>
        </w:rPr>
        <w:t xml:space="preserve">value of accelerated consumption by making it more profitable for me to borrow before I receive payment and deduct interest from </w:t>
      </w:r>
      <w:r w:rsidR="00E26EC9">
        <w:rPr>
          <w:sz w:val="20"/>
        </w:rPr>
        <w:t>future tax liability</w:t>
      </w:r>
    </w:p>
    <w:p w14:paraId="41501D34" w14:textId="57696264" w:rsidR="00EB4AE2" w:rsidRDefault="00EB4AE2" w:rsidP="00EB4AE2">
      <w:pPr>
        <w:pStyle w:val="ListParagraph"/>
        <w:numPr>
          <w:ilvl w:val="2"/>
          <w:numId w:val="15"/>
        </w:numPr>
        <w:rPr>
          <w:sz w:val="20"/>
        </w:rPr>
      </w:pPr>
      <w:r>
        <w:rPr>
          <w:sz w:val="20"/>
        </w:rPr>
        <w:t xml:space="preserve">Personal interest in particular is severely limited because Congress is concerned about incentives for </w:t>
      </w:r>
      <w:r w:rsidR="009026D2">
        <w:rPr>
          <w:sz w:val="20"/>
        </w:rPr>
        <w:t xml:space="preserve">(not) </w:t>
      </w:r>
      <w:r>
        <w:rPr>
          <w:sz w:val="20"/>
        </w:rPr>
        <w:t>saving that interest deductibility creates</w:t>
      </w:r>
    </w:p>
    <w:p w14:paraId="00F080BB" w14:textId="15341431" w:rsidR="00D86B6C" w:rsidRDefault="00F25D4B" w:rsidP="00EB4AE2">
      <w:pPr>
        <w:pStyle w:val="ListParagraph"/>
        <w:numPr>
          <w:ilvl w:val="2"/>
          <w:numId w:val="15"/>
        </w:numPr>
        <w:rPr>
          <w:sz w:val="20"/>
        </w:rPr>
      </w:pPr>
      <w:r>
        <w:rPr>
          <w:sz w:val="20"/>
        </w:rPr>
        <w:t>I</w:t>
      </w:r>
      <w:r w:rsidR="00D86B6C">
        <w:rPr>
          <w:sz w:val="20"/>
        </w:rPr>
        <w:t>f interest inc</w:t>
      </w:r>
      <w:r>
        <w:rPr>
          <w:sz w:val="20"/>
        </w:rPr>
        <w:t xml:space="preserve">ome is taxed, should </w:t>
      </w:r>
      <w:r w:rsidR="00D86B6C">
        <w:rPr>
          <w:sz w:val="20"/>
        </w:rPr>
        <w:t xml:space="preserve">deduction be allowed for “negative” interest income? </w:t>
      </w:r>
    </w:p>
    <w:p w14:paraId="7A44E47A" w14:textId="559C56F5" w:rsidR="00D86B6C" w:rsidRDefault="00D86B6C" w:rsidP="00D86B6C">
      <w:pPr>
        <w:pStyle w:val="ListParagraph"/>
        <w:numPr>
          <w:ilvl w:val="3"/>
          <w:numId w:val="15"/>
        </w:numPr>
        <w:rPr>
          <w:sz w:val="20"/>
        </w:rPr>
      </w:pPr>
      <w:r>
        <w:rPr>
          <w:sz w:val="20"/>
        </w:rPr>
        <w:t>Also achieves horizontal equity for people who consume out of their own assets or those who borrow against those assets</w:t>
      </w:r>
    </w:p>
    <w:p w14:paraId="7044E33D" w14:textId="00300992" w:rsidR="00E26EC9" w:rsidRDefault="00E26EC9" w:rsidP="00EE1561">
      <w:pPr>
        <w:pStyle w:val="ListParagraph"/>
        <w:numPr>
          <w:ilvl w:val="1"/>
          <w:numId w:val="15"/>
        </w:numPr>
        <w:rPr>
          <w:sz w:val="20"/>
        </w:rPr>
      </w:pPr>
      <w:r>
        <w:rPr>
          <w:sz w:val="20"/>
        </w:rPr>
        <w:t>How is it possible to trace which purposes borrowed money is being used for? Money is fungible!</w:t>
      </w:r>
    </w:p>
    <w:p w14:paraId="4DEBE07C" w14:textId="3E8C5740" w:rsidR="009B2A72" w:rsidRDefault="009B2A72" w:rsidP="00EE1561">
      <w:pPr>
        <w:pStyle w:val="ListParagraph"/>
        <w:numPr>
          <w:ilvl w:val="1"/>
          <w:numId w:val="15"/>
        </w:numPr>
        <w:rPr>
          <w:sz w:val="20"/>
        </w:rPr>
      </w:pPr>
      <w:r>
        <w:rPr>
          <w:sz w:val="20"/>
        </w:rPr>
        <w:t>Deduction for investment interest is only deductible up to the amount of investment gains (but may be carried forward indefinitely)</w:t>
      </w:r>
      <w:r w:rsidR="00FA1CBD">
        <w:rPr>
          <w:sz w:val="20"/>
        </w:rPr>
        <w:t xml:space="preserve"> - §163(d)</w:t>
      </w:r>
    </w:p>
    <w:p w14:paraId="6982C327" w14:textId="064DDE94" w:rsidR="00FA1CBD" w:rsidRDefault="00FA1CBD" w:rsidP="00FA1CBD">
      <w:pPr>
        <w:pStyle w:val="ListParagraph"/>
        <w:numPr>
          <w:ilvl w:val="2"/>
          <w:numId w:val="15"/>
        </w:numPr>
        <w:rPr>
          <w:sz w:val="20"/>
        </w:rPr>
      </w:pPr>
      <w:r>
        <w:rPr>
          <w:sz w:val="20"/>
        </w:rPr>
        <w:t xml:space="preserve">Investment income does </w:t>
      </w:r>
      <w:r>
        <w:rPr>
          <w:b/>
          <w:sz w:val="20"/>
        </w:rPr>
        <w:t xml:space="preserve">not </w:t>
      </w:r>
      <w:r>
        <w:rPr>
          <w:sz w:val="20"/>
        </w:rPr>
        <w:t>include dividends or capital gains (unless taxpayer elects to have capital gains taxed as ordinary income)</w:t>
      </w:r>
    </w:p>
    <w:p w14:paraId="74607AE0" w14:textId="6DA38CA7" w:rsidR="0027507C" w:rsidRDefault="0027507C" w:rsidP="00FA1CBD">
      <w:pPr>
        <w:pStyle w:val="ListParagraph"/>
        <w:numPr>
          <w:ilvl w:val="2"/>
          <w:numId w:val="15"/>
        </w:numPr>
        <w:rPr>
          <w:sz w:val="20"/>
        </w:rPr>
      </w:pPr>
      <w:r>
        <w:rPr>
          <w:sz w:val="20"/>
        </w:rPr>
        <w:t>If a business consists solely on investing, interest expenses are fully deductible</w:t>
      </w:r>
    </w:p>
    <w:p w14:paraId="25AE090D" w14:textId="2F89E74F" w:rsidR="00FA1CBD" w:rsidRDefault="00FA1CBD" w:rsidP="00FA1CBD">
      <w:pPr>
        <w:pStyle w:val="ListParagraph"/>
        <w:numPr>
          <w:ilvl w:val="1"/>
          <w:numId w:val="15"/>
        </w:numPr>
        <w:rPr>
          <w:sz w:val="20"/>
        </w:rPr>
      </w:pPr>
      <w:r>
        <w:rPr>
          <w:sz w:val="20"/>
        </w:rPr>
        <w:t>There is no deduction for interest incurred for personal reasons</w:t>
      </w:r>
      <w:r w:rsidR="000E2268">
        <w:rPr>
          <w:sz w:val="20"/>
        </w:rPr>
        <w:t xml:space="preserve"> - §163(h)</w:t>
      </w:r>
    </w:p>
    <w:p w14:paraId="2F5D8336" w14:textId="0DD8D707" w:rsidR="00B608D9" w:rsidRDefault="00B608D9" w:rsidP="00B608D9">
      <w:pPr>
        <w:pStyle w:val="ListParagraph"/>
        <w:numPr>
          <w:ilvl w:val="2"/>
          <w:numId w:val="15"/>
        </w:numPr>
        <w:rPr>
          <w:sz w:val="20"/>
        </w:rPr>
      </w:pPr>
      <w:r>
        <w:rPr>
          <w:sz w:val="20"/>
        </w:rPr>
        <w:t>Any interest for a debt not allocable to a trade or business is personal interest</w:t>
      </w:r>
    </w:p>
    <w:p w14:paraId="25A1BACB" w14:textId="10AA30EF" w:rsidR="00B22711" w:rsidRDefault="005236D3" w:rsidP="005236D3">
      <w:pPr>
        <w:pStyle w:val="ListParagraph"/>
        <w:numPr>
          <w:ilvl w:val="2"/>
          <w:numId w:val="15"/>
        </w:numPr>
        <w:rPr>
          <w:sz w:val="20"/>
        </w:rPr>
      </w:pPr>
      <w:r>
        <w:rPr>
          <w:sz w:val="20"/>
        </w:rPr>
        <w:t>Exceptions for home equity loans (capped at $100k) and mortgages for two residences (capped at $1 million)</w:t>
      </w:r>
    </w:p>
    <w:p w14:paraId="6C23E9CF" w14:textId="6E0AF6F2" w:rsidR="00794433" w:rsidRDefault="00794433" w:rsidP="00794433">
      <w:pPr>
        <w:pStyle w:val="ListParagraph"/>
        <w:numPr>
          <w:ilvl w:val="3"/>
          <w:numId w:val="15"/>
        </w:numPr>
        <w:rPr>
          <w:sz w:val="20"/>
        </w:rPr>
      </w:pPr>
      <w:r>
        <w:rPr>
          <w:sz w:val="20"/>
        </w:rPr>
        <w:t>According to 9</w:t>
      </w:r>
      <w:r w:rsidRPr="00794433">
        <w:rPr>
          <w:sz w:val="20"/>
          <w:vertAlign w:val="superscript"/>
        </w:rPr>
        <w:t>th</w:t>
      </w:r>
      <w:r>
        <w:rPr>
          <w:sz w:val="20"/>
        </w:rPr>
        <w:t xml:space="preserve"> Circuit, $1 million cap applies per mortgage, </w:t>
      </w:r>
      <w:r>
        <w:rPr>
          <w:i/>
          <w:sz w:val="20"/>
        </w:rPr>
        <w:t xml:space="preserve">not </w:t>
      </w:r>
      <w:r>
        <w:rPr>
          <w:sz w:val="20"/>
        </w:rPr>
        <w:t>per person</w:t>
      </w:r>
    </w:p>
    <w:p w14:paraId="5D1BB323" w14:textId="2223E9AD" w:rsidR="005236D3" w:rsidRDefault="00B22711" w:rsidP="00B22711">
      <w:pPr>
        <w:pStyle w:val="ListParagraph"/>
        <w:numPr>
          <w:ilvl w:val="3"/>
          <w:numId w:val="15"/>
        </w:numPr>
        <w:rPr>
          <w:sz w:val="20"/>
        </w:rPr>
      </w:pPr>
      <w:r>
        <w:rPr>
          <w:sz w:val="20"/>
        </w:rPr>
        <w:t xml:space="preserve">Mortgage insurance premiums may also be treated as mortgage interest, subject to a phase out from $100k to </w:t>
      </w:r>
      <w:r w:rsidR="00E360CB">
        <w:rPr>
          <w:sz w:val="20"/>
        </w:rPr>
        <w:t>$110k</w:t>
      </w:r>
      <w:r w:rsidR="005236D3">
        <w:rPr>
          <w:sz w:val="20"/>
        </w:rPr>
        <w:t xml:space="preserve"> </w:t>
      </w:r>
    </w:p>
    <w:p w14:paraId="56C859A1" w14:textId="0B6CCFDD" w:rsidR="00BF5330" w:rsidRDefault="00BF5330" w:rsidP="00B22711">
      <w:pPr>
        <w:pStyle w:val="ListParagraph"/>
        <w:numPr>
          <w:ilvl w:val="3"/>
          <w:numId w:val="15"/>
        </w:numPr>
        <w:rPr>
          <w:sz w:val="20"/>
        </w:rPr>
      </w:pPr>
      <w:r>
        <w:rPr>
          <w:sz w:val="20"/>
        </w:rPr>
        <w:t xml:space="preserve">This is a </w:t>
      </w:r>
      <w:r>
        <w:rPr>
          <w:i/>
          <w:sz w:val="20"/>
        </w:rPr>
        <w:t xml:space="preserve">huge </w:t>
      </w:r>
      <w:r>
        <w:rPr>
          <w:sz w:val="20"/>
        </w:rPr>
        <w:t xml:space="preserve">benefit for wealthy individuals who can afford to own their own homes (in addition to imputed income, property tax deduction, etc.) </w:t>
      </w:r>
    </w:p>
    <w:p w14:paraId="426D65C5" w14:textId="77777777" w:rsidR="00255C3F" w:rsidRDefault="00255C3F" w:rsidP="00255C3F">
      <w:pPr>
        <w:pStyle w:val="ListParagraph"/>
        <w:numPr>
          <w:ilvl w:val="2"/>
          <w:numId w:val="15"/>
        </w:numPr>
        <w:rPr>
          <w:sz w:val="20"/>
        </w:rPr>
      </w:pPr>
      <w:r>
        <w:rPr>
          <w:sz w:val="20"/>
        </w:rPr>
        <w:t>Interest on educational loans is deductible (up to $2,500 per year) - §221</w:t>
      </w:r>
    </w:p>
    <w:p w14:paraId="686F117F" w14:textId="01A82B39" w:rsidR="00255C3F" w:rsidRDefault="00255C3F" w:rsidP="00255C3F">
      <w:pPr>
        <w:pStyle w:val="ListParagraph"/>
        <w:numPr>
          <w:ilvl w:val="3"/>
          <w:numId w:val="15"/>
        </w:numPr>
        <w:rPr>
          <w:sz w:val="20"/>
        </w:rPr>
      </w:pPr>
      <w:r>
        <w:rPr>
          <w:sz w:val="20"/>
        </w:rPr>
        <w:t xml:space="preserve">Ratio-based phase out if AGI is between $50k and $65k (adjusted for inflation) </w:t>
      </w:r>
    </w:p>
    <w:p w14:paraId="4412FF43" w14:textId="3F596C7B" w:rsidR="00B608D9" w:rsidRDefault="00DD0B64" w:rsidP="00B608D9">
      <w:pPr>
        <w:pStyle w:val="ListParagraph"/>
        <w:numPr>
          <w:ilvl w:val="1"/>
          <w:numId w:val="15"/>
        </w:numPr>
        <w:rPr>
          <w:sz w:val="20"/>
        </w:rPr>
      </w:pPr>
      <w:r>
        <w:rPr>
          <w:sz w:val="20"/>
        </w:rPr>
        <w:t xml:space="preserve">Business interest is </w:t>
      </w:r>
      <w:r w:rsidR="00B608D9">
        <w:rPr>
          <w:sz w:val="20"/>
        </w:rPr>
        <w:t>deductible as an ordinary &amp; necessary expense under §162</w:t>
      </w:r>
    </w:p>
    <w:p w14:paraId="5EA044E1" w14:textId="4BFFBBCD" w:rsidR="00255C3F" w:rsidRDefault="00255C3F" w:rsidP="00255C3F">
      <w:pPr>
        <w:pStyle w:val="ListParagraph"/>
        <w:numPr>
          <w:ilvl w:val="2"/>
          <w:numId w:val="15"/>
        </w:numPr>
        <w:rPr>
          <w:sz w:val="20"/>
        </w:rPr>
      </w:pPr>
      <w:r>
        <w:rPr>
          <w:sz w:val="20"/>
        </w:rPr>
        <w:lastRenderedPageBreak/>
        <w:t>Interest must be capitalized on assets built by the taxpayer with a long useful life or long construction time - §263A(f)(1)</w:t>
      </w:r>
    </w:p>
    <w:p w14:paraId="2CD474CD" w14:textId="162A145C" w:rsidR="000B4196" w:rsidRDefault="000B4196" w:rsidP="000B4196">
      <w:pPr>
        <w:pStyle w:val="ListParagraph"/>
        <w:numPr>
          <w:ilvl w:val="1"/>
          <w:numId w:val="15"/>
        </w:numPr>
        <w:rPr>
          <w:sz w:val="20"/>
        </w:rPr>
      </w:pPr>
      <w:r>
        <w:rPr>
          <w:sz w:val="20"/>
        </w:rPr>
        <w:t>No deduction for interest incurred to purchase</w:t>
      </w:r>
      <w:r w:rsidR="00DD0B64">
        <w:rPr>
          <w:sz w:val="20"/>
        </w:rPr>
        <w:t xml:space="preserve"> tax-exempt bonds </w:t>
      </w:r>
      <w:r w:rsidR="00562332">
        <w:rPr>
          <w:sz w:val="20"/>
        </w:rPr>
        <w:t>- §265(a)(2)</w:t>
      </w:r>
    </w:p>
    <w:p w14:paraId="0750A626" w14:textId="5687B276" w:rsidR="00885C74" w:rsidRDefault="00885C74" w:rsidP="00885C74">
      <w:pPr>
        <w:pStyle w:val="ListParagraph"/>
        <w:numPr>
          <w:ilvl w:val="2"/>
          <w:numId w:val="15"/>
        </w:numPr>
        <w:rPr>
          <w:sz w:val="20"/>
        </w:rPr>
      </w:pPr>
      <w:r>
        <w:rPr>
          <w:sz w:val="20"/>
        </w:rPr>
        <w:t xml:space="preserve">Congress </w:t>
      </w:r>
      <w:r>
        <w:rPr>
          <w:i/>
          <w:sz w:val="20"/>
        </w:rPr>
        <w:t xml:space="preserve">could </w:t>
      </w:r>
      <w:r>
        <w:rPr>
          <w:sz w:val="20"/>
        </w:rPr>
        <w:t>repeal §265(a)(2) and eliminate the windfall of tax-exempt bonds for high taxpayers, since all taxpayers who could would try to take advantage of the negative tax rate, increasing demand and lowering interest rates on the bonds</w:t>
      </w:r>
    </w:p>
    <w:p w14:paraId="5081E05C" w14:textId="5AD4504C" w:rsidR="000B4196" w:rsidRDefault="00DD0B64" w:rsidP="000B4196">
      <w:pPr>
        <w:pStyle w:val="ListParagraph"/>
        <w:numPr>
          <w:ilvl w:val="2"/>
          <w:numId w:val="15"/>
        </w:numPr>
        <w:rPr>
          <w:sz w:val="20"/>
        </w:rPr>
      </w:pPr>
      <w:r>
        <w:rPr>
          <w:sz w:val="20"/>
        </w:rPr>
        <w:t>Taxpayer can get</w:t>
      </w:r>
      <w:r w:rsidR="000B4196">
        <w:rPr>
          <w:sz w:val="20"/>
        </w:rPr>
        <w:t xml:space="preserve"> a n</w:t>
      </w:r>
      <w:r>
        <w:rPr>
          <w:sz w:val="20"/>
        </w:rPr>
        <w:t>egative tax rate by combining</w:t>
      </w:r>
      <w:r w:rsidR="000B4196">
        <w:rPr>
          <w:sz w:val="20"/>
        </w:rPr>
        <w:t xml:space="preserve"> in</w:t>
      </w:r>
      <w:r>
        <w:rPr>
          <w:sz w:val="20"/>
        </w:rPr>
        <w:t>terest deduction with a 0</w:t>
      </w:r>
      <w:r w:rsidR="000B4196">
        <w:rPr>
          <w:sz w:val="20"/>
        </w:rPr>
        <w:t xml:space="preserve"> </w:t>
      </w:r>
      <w:r>
        <w:rPr>
          <w:sz w:val="20"/>
        </w:rPr>
        <w:t>tax rate</w:t>
      </w:r>
    </w:p>
    <w:p w14:paraId="3D38AB46" w14:textId="720E41C6" w:rsidR="000B4196" w:rsidRDefault="000B4196" w:rsidP="000B4196">
      <w:pPr>
        <w:pStyle w:val="ListParagraph"/>
        <w:numPr>
          <w:ilvl w:val="2"/>
          <w:numId w:val="15"/>
        </w:numPr>
        <w:rPr>
          <w:sz w:val="20"/>
        </w:rPr>
      </w:pPr>
      <w:r>
        <w:rPr>
          <w:sz w:val="20"/>
        </w:rPr>
        <w:t>Tax arbitrage might also be possible if the immediate expensing of an asset is permitted</w:t>
      </w:r>
    </w:p>
    <w:p w14:paraId="7AD01483" w14:textId="17CE040B" w:rsidR="00157FD5" w:rsidRDefault="00157FD5" w:rsidP="000B4196">
      <w:pPr>
        <w:pStyle w:val="ListParagraph"/>
        <w:numPr>
          <w:ilvl w:val="2"/>
          <w:numId w:val="15"/>
        </w:numPr>
        <w:rPr>
          <w:sz w:val="20"/>
        </w:rPr>
      </w:pPr>
      <w:r>
        <w:rPr>
          <w:sz w:val="20"/>
        </w:rPr>
        <w:t xml:space="preserve">All other tax-exempt income (scholarships, etc.) </w:t>
      </w:r>
      <w:r>
        <w:rPr>
          <w:i/>
          <w:sz w:val="20"/>
        </w:rPr>
        <w:t xml:space="preserve">also </w:t>
      </w:r>
      <w:r>
        <w:rPr>
          <w:sz w:val="20"/>
        </w:rPr>
        <w:t>disallowed under §265(a)(1)</w:t>
      </w:r>
    </w:p>
    <w:p w14:paraId="7F556C11" w14:textId="77777777" w:rsidR="00827A89" w:rsidRPr="00CB38D2" w:rsidRDefault="00827A89" w:rsidP="00827A89">
      <w:pPr>
        <w:pStyle w:val="ListParagraph"/>
        <w:numPr>
          <w:ilvl w:val="0"/>
          <w:numId w:val="15"/>
        </w:numPr>
        <w:rPr>
          <w:sz w:val="20"/>
        </w:rPr>
      </w:pPr>
      <w:r>
        <w:rPr>
          <w:sz w:val="20"/>
        </w:rPr>
        <w:t xml:space="preserve">Courts invented economic substance transaction to address perceived “sham” transactions that only served as tax dodges – </w:t>
      </w:r>
      <w:proofErr w:type="spellStart"/>
      <w:r w:rsidRPr="00CB38D2">
        <w:rPr>
          <w:i/>
          <w:sz w:val="20"/>
        </w:rPr>
        <w:t>Knetsch</w:t>
      </w:r>
      <w:proofErr w:type="spellEnd"/>
    </w:p>
    <w:p w14:paraId="0B1FC22A" w14:textId="77777777" w:rsidR="00827A89" w:rsidRDefault="00827A89" w:rsidP="00827A89">
      <w:pPr>
        <w:pStyle w:val="ListParagraph"/>
        <w:numPr>
          <w:ilvl w:val="1"/>
          <w:numId w:val="15"/>
        </w:numPr>
        <w:rPr>
          <w:sz w:val="20"/>
        </w:rPr>
      </w:pPr>
      <w:r>
        <w:rPr>
          <w:sz w:val="20"/>
        </w:rPr>
        <w:t xml:space="preserve">Expanded in </w:t>
      </w:r>
      <w:r>
        <w:rPr>
          <w:i/>
          <w:sz w:val="20"/>
        </w:rPr>
        <w:t xml:space="preserve">Goldstein </w:t>
      </w:r>
      <w:r>
        <w:rPr>
          <w:sz w:val="20"/>
        </w:rPr>
        <w:t>to cover non-sham transaction with sole purpose of tax avoidance/deferral</w:t>
      </w:r>
    </w:p>
    <w:p w14:paraId="49451F66" w14:textId="5C686DA5" w:rsidR="00827A89" w:rsidRDefault="00827A89" w:rsidP="00827A89">
      <w:pPr>
        <w:pStyle w:val="ListParagraph"/>
        <w:numPr>
          <w:ilvl w:val="2"/>
          <w:numId w:val="15"/>
        </w:numPr>
        <w:rPr>
          <w:sz w:val="20"/>
        </w:rPr>
      </w:pPr>
      <w:r>
        <w:rPr>
          <w:sz w:val="20"/>
        </w:rPr>
        <w:t xml:space="preserve">Or did </w:t>
      </w:r>
      <w:r>
        <w:rPr>
          <w:i/>
          <w:sz w:val="20"/>
        </w:rPr>
        <w:t xml:space="preserve">Goldstein </w:t>
      </w:r>
      <w:r>
        <w:rPr>
          <w:sz w:val="20"/>
        </w:rPr>
        <w:t>simply redefine a sham transaction as one where there is no realistic opportunity for profit?</w:t>
      </w:r>
    </w:p>
    <w:p w14:paraId="71E3B33D" w14:textId="77777777" w:rsidR="00827A89" w:rsidRDefault="000C58E1" w:rsidP="00827A89">
      <w:pPr>
        <w:pStyle w:val="ListParagraph"/>
        <w:numPr>
          <w:ilvl w:val="1"/>
          <w:numId w:val="15"/>
        </w:numPr>
        <w:rPr>
          <w:sz w:val="20"/>
        </w:rPr>
      </w:pPr>
      <w:r>
        <w:rPr>
          <w:sz w:val="20"/>
        </w:rPr>
        <w:t>In order to avoid the economic substance doctrine, a transaction must: §7701(o)</w:t>
      </w:r>
    </w:p>
    <w:p w14:paraId="3155234C" w14:textId="0B6F9C30" w:rsidR="00827A89" w:rsidRDefault="00827A89" w:rsidP="00827A89">
      <w:pPr>
        <w:pStyle w:val="ListParagraph"/>
        <w:numPr>
          <w:ilvl w:val="2"/>
          <w:numId w:val="15"/>
        </w:numPr>
        <w:rPr>
          <w:sz w:val="20"/>
        </w:rPr>
      </w:pPr>
      <w:r w:rsidRPr="00827A89">
        <w:rPr>
          <w:sz w:val="20"/>
        </w:rPr>
        <w:t>A</w:t>
      </w:r>
      <w:r>
        <w:rPr>
          <w:sz w:val="20"/>
        </w:rPr>
        <w:t>s a threshold matter,</w:t>
      </w:r>
      <w:r w:rsidRPr="00827A89">
        <w:rPr>
          <w:sz w:val="20"/>
        </w:rPr>
        <w:t xml:space="preserve"> court must make the determination that the doctrine </w:t>
      </w:r>
      <w:r>
        <w:rPr>
          <w:sz w:val="20"/>
        </w:rPr>
        <w:t>applies</w:t>
      </w:r>
      <w:r w:rsidR="00ED34EF">
        <w:rPr>
          <w:sz w:val="20"/>
        </w:rPr>
        <w:t xml:space="preserve">, using the </w:t>
      </w:r>
      <w:proofErr w:type="spellStart"/>
      <w:r w:rsidR="00ED34EF">
        <w:rPr>
          <w:i/>
          <w:sz w:val="20"/>
        </w:rPr>
        <w:t>Knetsch</w:t>
      </w:r>
      <w:proofErr w:type="spellEnd"/>
      <w:r w:rsidR="00ED34EF">
        <w:rPr>
          <w:i/>
          <w:sz w:val="20"/>
        </w:rPr>
        <w:t xml:space="preserve">/Goldstein </w:t>
      </w:r>
      <w:r w:rsidR="00ED34EF">
        <w:rPr>
          <w:sz w:val="20"/>
        </w:rPr>
        <w:t>framework</w:t>
      </w:r>
    </w:p>
    <w:p w14:paraId="6FB5E15F" w14:textId="4D848874" w:rsidR="00827A89" w:rsidRPr="00827A89" w:rsidRDefault="00827A89" w:rsidP="00827A89">
      <w:pPr>
        <w:pStyle w:val="ListParagraph"/>
        <w:numPr>
          <w:ilvl w:val="3"/>
          <w:numId w:val="15"/>
        </w:numPr>
        <w:rPr>
          <w:sz w:val="20"/>
        </w:rPr>
      </w:pPr>
      <w:r>
        <w:rPr>
          <w:sz w:val="20"/>
        </w:rPr>
        <w:t>Courts can get around this requirement any time they want!</w:t>
      </w:r>
    </w:p>
    <w:p w14:paraId="1F6454AB" w14:textId="3CF131FD" w:rsidR="00827A89" w:rsidRDefault="00827A89" w:rsidP="000C58E1">
      <w:pPr>
        <w:pStyle w:val="ListParagraph"/>
        <w:numPr>
          <w:ilvl w:val="2"/>
          <w:numId w:val="15"/>
        </w:numPr>
        <w:rPr>
          <w:sz w:val="20"/>
        </w:rPr>
      </w:pPr>
      <w:r>
        <w:rPr>
          <w:sz w:val="20"/>
        </w:rPr>
        <w:t>Assuming economic substance doctrine applies</w:t>
      </w:r>
      <w:r w:rsidR="00D01637">
        <w:rPr>
          <w:sz w:val="20"/>
        </w:rPr>
        <w:t>, a transaction must</w:t>
      </w:r>
      <w:r>
        <w:rPr>
          <w:sz w:val="20"/>
        </w:rPr>
        <w:t xml:space="preserve">: </w:t>
      </w:r>
    </w:p>
    <w:p w14:paraId="4D9B5C3B" w14:textId="02DA2E15" w:rsidR="000C58E1" w:rsidRDefault="00D01637" w:rsidP="00827A89">
      <w:pPr>
        <w:pStyle w:val="ListParagraph"/>
        <w:numPr>
          <w:ilvl w:val="3"/>
          <w:numId w:val="15"/>
        </w:numPr>
        <w:rPr>
          <w:sz w:val="20"/>
        </w:rPr>
      </w:pPr>
      <w:r>
        <w:rPr>
          <w:sz w:val="20"/>
        </w:rPr>
        <w:t>Meaningfully c</w:t>
      </w:r>
      <w:r w:rsidR="000C58E1">
        <w:rPr>
          <w:sz w:val="20"/>
        </w:rPr>
        <w:t>han</w:t>
      </w:r>
      <w:r>
        <w:rPr>
          <w:sz w:val="20"/>
        </w:rPr>
        <w:t>ge taxpayer’s economic position</w:t>
      </w:r>
      <w:r w:rsidR="000C58E1">
        <w:rPr>
          <w:sz w:val="20"/>
        </w:rPr>
        <w:t xml:space="preserve"> (apart</w:t>
      </w:r>
      <w:r>
        <w:rPr>
          <w:sz w:val="20"/>
        </w:rPr>
        <w:t xml:space="preserve"> </w:t>
      </w:r>
      <w:r w:rsidR="000C58E1">
        <w:rPr>
          <w:sz w:val="20"/>
        </w:rPr>
        <w:t xml:space="preserve">from </w:t>
      </w:r>
      <w:r>
        <w:rPr>
          <w:sz w:val="20"/>
        </w:rPr>
        <w:t>t</w:t>
      </w:r>
      <w:r w:rsidR="000C58E1">
        <w:rPr>
          <w:sz w:val="20"/>
        </w:rPr>
        <w:t>ax effects)</w:t>
      </w:r>
    </w:p>
    <w:p w14:paraId="5C1BC081" w14:textId="1B0859F1" w:rsidR="00827A89" w:rsidRDefault="00827A89" w:rsidP="00827A89">
      <w:pPr>
        <w:pStyle w:val="ListParagraph"/>
        <w:numPr>
          <w:ilvl w:val="4"/>
          <w:numId w:val="15"/>
        </w:numPr>
        <w:rPr>
          <w:sz w:val="20"/>
        </w:rPr>
      </w:pPr>
      <w:r>
        <w:rPr>
          <w:sz w:val="20"/>
        </w:rPr>
        <w:t>Present value of economic benefits can indicate a change in economic position if</w:t>
      </w:r>
      <w:r>
        <w:rPr>
          <w:sz w:val="20"/>
        </w:rPr>
        <w:t xml:space="preserve"> substantial compared</w:t>
      </w:r>
      <w:r>
        <w:rPr>
          <w:sz w:val="20"/>
        </w:rPr>
        <w:t xml:space="preserve"> to present value of tax benefits</w:t>
      </w:r>
    </w:p>
    <w:p w14:paraId="4A45C5B0" w14:textId="3AE55DE5" w:rsidR="00664DE1" w:rsidRPr="00827A89" w:rsidRDefault="000C58E1" w:rsidP="00827A89">
      <w:pPr>
        <w:pStyle w:val="ListParagraph"/>
        <w:numPr>
          <w:ilvl w:val="3"/>
          <w:numId w:val="15"/>
        </w:numPr>
        <w:rPr>
          <w:sz w:val="20"/>
        </w:rPr>
      </w:pPr>
      <w:r>
        <w:rPr>
          <w:sz w:val="20"/>
        </w:rPr>
        <w:t xml:space="preserve">Have a substantial purpose </w:t>
      </w:r>
      <w:r>
        <w:rPr>
          <w:i/>
          <w:sz w:val="20"/>
        </w:rPr>
        <w:t xml:space="preserve">other than </w:t>
      </w:r>
      <w:r>
        <w:rPr>
          <w:sz w:val="20"/>
        </w:rPr>
        <w:t>income tax effects</w:t>
      </w:r>
    </w:p>
    <w:tbl>
      <w:tblPr>
        <w:tblW w:w="0" w:type="auto"/>
        <w:jc w:val="center"/>
        <w:tblLayout w:type="fixed"/>
        <w:tblLook w:val="0000" w:firstRow="0" w:lastRow="0" w:firstColumn="0" w:lastColumn="0" w:noHBand="0" w:noVBand="0"/>
      </w:tblPr>
      <w:tblGrid>
        <w:gridCol w:w="1296"/>
        <w:gridCol w:w="1296"/>
        <w:gridCol w:w="1296"/>
        <w:gridCol w:w="1296"/>
        <w:gridCol w:w="1296"/>
        <w:gridCol w:w="1296"/>
      </w:tblGrid>
      <w:tr w:rsidR="000C58E1" w14:paraId="22C06966" w14:textId="77777777" w:rsidTr="000C58E1">
        <w:trPr>
          <w:cantSplit/>
          <w:trHeight w:val="720"/>
          <w:jc w:val="center"/>
        </w:trPr>
        <w:tc>
          <w:tcPr>
            <w:tcW w:w="12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8AB7153" w14:textId="2CB88A0A" w:rsidR="000C58E1" w:rsidRPr="000C58E1" w:rsidRDefault="000C58E1" w:rsidP="000C58E1">
            <w:pPr>
              <w:jc w:val="center"/>
              <w:rPr>
                <w:sz w:val="20"/>
                <w:szCs w:val="20"/>
              </w:rPr>
            </w:pPr>
          </w:p>
        </w:tc>
        <w:tc>
          <w:tcPr>
            <w:tcW w:w="1296"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bottom w:w="0" w:type="dxa"/>
              <w:right w:w="0" w:type="dxa"/>
            </w:tcMar>
            <w:vAlign w:val="center"/>
          </w:tcPr>
          <w:p w14:paraId="115E612F" w14:textId="0AE47582" w:rsidR="000C58E1" w:rsidRPr="000C58E1" w:rsidRDefault="000C58E1" w:rsidP="00867568">
            <w:pPr>
              <w:jc w:val="center"/>
              <w:rPr>
                <w:b/>
                <w:sz w:val="20"/>
                <w:szCs w:val="20"/>
              </w:rPr>
            </w:pPr>
            <w:r w:rsidRPr="000C58E1">
              <w:rPr>
                <w:b/>
                <w:sz w:val="20"/>
                <w:szCs w:val="20"/>
              </w:rPr>
              <w:t>Tax-exempt bon</w:t>
            </w:r>
            <w:r w:rsidR="00867568">
              <w:rPr>
                <w:b/>
                <w:sz w:val="20"/>
                <w:szCs w:val="20"/>
              </w:rPr>
              <w:t>ds</w:t>
            </w:r>
          </w:p>
        </w:tc>
        <w:tc>
          <w:tcPr>
            <w:tcW w:w="1296"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bottom w:w="0" w:type="dxa"/>
              <w:right w:w="0" w:type="dxa"/>
            </w:tcMar>
            <w:vAlign w:val="center"/>
          </w:tcPr>
          <w:p w14:paraId="6CC31267" w14:textId="77777777" w:rsidR="000C58E1" w:rsidRPr="000C58E1" w:rsidRDefault="000C58E1" w:rsidP="000C58E1">
            <w:pPr>
              <w:jc w:val="center"/>
              <w:rPr>
                <w:b/>
                <w:sz w:val="20"/>
                <w:szCs w:val="20"/>
              </w:rPr>
            </w:pPr>
            <w:r w:rsidRPr="000C58E1">
              <w:rPr>
                <w:b/>
                <w:sz w:val="20"/>
                <w:szCs w:val="20"/>
              </w:rPr>
              <w:t>Home</w:t>
            </w:r>
          </w:p>
        </w:tc>
        <w:tc>
          <w:tcPr>
            <w:tcW w:w="1296"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bottom w:w="0" w:type="dxa"/>
              <w:right w:w="0" w:type="dxa"/>
            </w:tcMar>
            <w:vAlign w:val="center"/>
          </w:tcPr>
          <w:p w14:paraId="12A5DA74" w14:textId="77777777" w:rsidR="000C58E1" w:rsidRPr="000C58E1" w:rsidRDefault="000C58E1" w:rsidP="000C58E1">
            <w:pPr>
              <w:jc w:val="center"/>
              <w:rPr>
                <w:b/>
                <w:sz w:val="20"/>
                <w:szCs w:val="20"/>
              </w:rPr>
            </w:pPr>
            <w:r w:rsidRPr="000C58E1">
              <w:rPr>
                <w:b/>
                <w:sz w:val="20"/>
                <w:szCs w:val="20"/>
              </w:rPr>
              <w:t>Depreciable Assets</w:t>
            </w:r>
          </w:p>
        </w:tc>
        <w:tc>
          <w:tcPr>
            <w:tcW w:w="1296"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bottom w:w="0" w:type="dxa"/>
              <w:right w:w="0" w:type="dxa"/>
            </w:tcMar>
            <w:vAlign w:val="center"/>
          </w:tcPr>
          <w:p w14:paraId="7FBA504E" w14:textId="77777777" w:rsidR="000C58E1" w:rsidRPr="000C58E1" w:rsidRDefault="000C58E1" w:rsidP="000C58E1">
            <w:pPr>
              <w:jc w:val="center"/>
              <w:rPr>
                <w:b/>
                <w:sz w:val="20"/>
                <w:szCs w:val="20"/>
              </w:rPr>
            </w:pPr>
            <w:r w:rsidRPr="000C58E1">
              <w:rPr>
                <w:b/>
                <w:sz w:val="20"/>
                <w:szCs w:val="20"/>
              </w:rPr>
              <w:t>Investment Income</w:t>
            </w:r>
          </w:p>
        </w:tc>
        <w:tc>
          <w:tcPr>
            <w:tcW w:w="1296"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bottom w:w="0" w:type="dxa"/>
              <w:right w:w="0" w:type="dxa"/>
            </w:tcMar>
            <w:vAlign w:val="center"/>
          </w:tcPr>
          <w:p w14:paraId="29A7BB12" w14:textId="77777777" w:rsidR="000C58E1" w:rsidRPr="000C58E1" w:rsidRDefault="000C58E1" w:rsidP="000C58E1">
            <w:pPr>
              <w:jc w:val="center"/>
              <w:rPr>
                <w:b/>
                <w:sz w:val="20"/>
                <w:szCs w:val="20"/>
              </w:rPr>
            </w:pPr>
            <w:r w:rsidRPr="000C58E1">
              <w:rPr>
                <w:b/>
                <w:sz w:val="20"/>
                <w:szCs w:val="20"/>
              </w:rPr>
              <w:t>Construction Period Interest</w:t>
            </w:r>
          </w:p>
        </w:tc>
      </w:tr>
      <w:tr w:rsidR="000C58E1" w14:paraId="7052D5C0" w14:textId="77777777" w:rsidTr="000C58E1">
        <w:trPr>
          <w:cantSplit/>
          <w:trHeight w:val="720"/>
          <w:jc w:val="center"/>
        </w:trPr>
        <w:tc>
          <w:tcPr>
            <w:tcW w:w="1296"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bottom w:w="0" w:type="dxa"/>
              <w:right w:w="0" w:type="dxa"/>
            </w:tcMar>
            <w:vAlign w:val="center"/>
          </w:tcPr>
          <w:p w14:paraId="09BB3BD6" w14:textId="7C0A5E7E" w:rsidR="000C58E1" w:rsidRPr="000C58E1" w:rsidRDefault="000C58E1" w:rsidP="000C58E1">
            <w:pPr>
              <w:spacing w:line="240" w:lineRule="auto"/>
              <w:jc w:val="center"/>
              <w:rPr>
                <w:b/>
                <w:sz w:val="20"/>
                <w:szCs w:val="20"/>
              </w:rPr>
            </w:pPr>
            <w:r w:rsidRPr="000C58E1">
              <w:rPr>
                <w:b/>
                <w:sz w:val="20"/>
                <w:szCs w:val="20"/>
              </w:rPr>
              <w:t>Income</w:t>
            </w:r>
            <w:r>
              <w:rPr>
                <w:b/>
                <w:sz w:val="20"/>
                <w:szCs w:val="20"/>
              </w:rPr>
              <w:br/>
              <w:t>(less than full taxation)</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EF32754" w14:textId="77777777" w:rsidR="000C58E1" w:rsidRPr="000C58E1" w:rsidRDefault="000C58E1" w:rsidP="000C58E1">
            <w:pPr>
              <w:jc w:val="center"/>
              <w:rPr>
                <w:sz w:val="20"/>
                <w:szCs w:val="20"/>
              </w:rPr>
            </w:pPr>
            <w:r w:rsidRPr="000C58E1">
              <w:rPr>
                <w:sz w:val="20"/>
                <w:szCs w:val="20"/>
              </w:rPr>
              <w:t>Interest from bonds is exempt</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6CEBFCC" w14:textId="4F4A9848" w:rsidR="000C58E1" w:rsidRPr="000C58E1" w:rsidRDefault="000C58E1" w:rsidP="000C58E1">
            <w:pPr>
              <w:jc w:val="center"/>
              <w:rPr>
                <w:sz w:val="20"/>
                <w:szCs w:val="20"/>
              </w:rPr>
            </w:pPr>
            <w:r>
              <w:rPr>
                <w:sz w:val="20"/>
                <w:szCs w:val="20"/>
              </w:rPr>
              <w:t>Imputed rental income excluded</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88AC581" w14:textId="6742549F" w:rsidR="000C58E1" w:rsidRPr="000C58E1" w:rsidRDefault="000C58E1" w:rsidP="000C58E1">
            <w:pPr>
              <w:jc w:val="center"/>
              <w:rPr>
                <w:sz w:val="20"/>
                <w:szCs w:val="20"/>
              </w:rPr>
            </w:pPr>
            <w:r>
              <w:rPr>
                <w:sz w:val="20"/>
                <w:szCs w:val="20"/>
              </w:rPr>
              <w:t>Accelerated depreciation</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EC7C8EC" w14:textId="77777777" w:rsidR="000C58E1" w:rsidRPr="000C58E1" w:rsidRDefault="000C58E1" w:rsidP="000C58E1">
            <w:pPr>
              <w:jc w:val="center"/>
              <w:rPr>
                <w:sz w:val="20"/>
                <w:szCs w:val="20"/>
              </w:rPr>
            </w:pPr>
            <w:r w:rsidRPr="000C58E1">
              <w:rPr>
                <w:sz w:val="20"/>
                <w:szCs w:val="20"/>
              </w:rPr>
              <w:t>Deferred Gain</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173BE28" w14:textId="77777777" w:rsidR="000C58E1" w:rsidRPr="000C58E1" w:rsidRDefault="000C58E1" w:rsidP="000C58E1">
            <w:pPr>
              <w:jc w:val="center"/>
              <w:rPr>
                <w:sz w:val="20"/>
                <w:szCs w:val="20"/>
              </w:rPr>
            </w:pPr>
            <w:r w:rsidRPr="000C58E1">
              <w:rPr>
                <w:sz w:val="20"/>
                <w:szCs w:val="20"/>
              </w:rPr>
              <w:t>Deferred income from construction</w:t>
            </w:r>
          </w:p>
        </w:tc>
      </w:tr>
      <w:tr w:rsidR="000C58E1" w14:paraId="70164573" w14:textId="77777777" w:rsidTr="000C58E1">
        <w:trPr>
          <w:cantSplit/>
          <w:trHeight w:val="720"/>
          <w:jc w:val="center"/>
        </w:trPr>
        <w:tc>
          <w:tcPr>
            <w:tcW w:w="1296"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bottom w:w="0" w:type="dxa"/>
              <w:right w:w="0" w:type="dxa"/>
            </w:tcMar>
            <w:vAlign w:val="center"/>
          </w:tcPr>
          <w:p w14:paraId="6F50B71C" w14:textId="0E044078" w:rsidR="000C58E1" w:rsidRPr="000C58E1" w:rsidRDefault="000C58E1" w:rsidP="000C58E1">
            <w:pPr>
              <w:jc w:val="center"/>
              <w:rPr>
                <w:b/>
                <w:sz w:val="20"/>
                <w:szCs w:val="20"/>
              </w:rPr>
            </w:pPr>
            <w:r w:rsidRPr="000C58E1">
              <w:rPr>
                <w:b/>
                <w:sz w:val="20"/>
                <w:szCs w:val="20"/>
              </w:rPr>
              <w:t>Deduction of Interest</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68DA403" w14:textId="77777777" w:rsidR="000C58E1" w:rsidRPr="000C58E1" w:rsidRDefault="000C58E1" w:rsidP="000C58E1">
            <w:pPr>
              <w:jc w:val="center"/>
              <w:rPr>
                <w:sz w:val="20"/>
                <w:szCs w:val="20"/>
              </w:rPr>
            </w:pPr>
            <w:r w:rsidRPr="000C58E1">
              <w:rPr>
                <w:sz w:val="20"/>
                <w:szCs w:val="20"/>
              </w:rPr>
              <w:t>No deduction</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2D9BDDE" w14:textId="665BC643" w:rsidR="000C58E1" w:rsidRPr="000C58E1" w:rsidRDefault="000C58E1" w:rsidP="000C58E1">
            <w:pPr>
              <w:jc w:val="center"/>
              <w:rPr>
                <w:sz w:val="20"/>
                <w:szCs w:val="20"/>
              </w:rPr>
            </w:pPr>
            <w:r w:rsidRPr="000C58E1">
              <w:rPr>
                <w:sz w:val="20"/>
                <w:szCs w:val="20"/>
              </w:rPr>
              <w:t>Ful</w:t>
            </w:r>
            <w:r>
              <w:rPr>
                <w:sz w:val="20"/>
                <w:szCs w:val="20"/>
              </w:rPr>
              <w:t>ly deductible</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CCE48EA" w14:textId="2FBAA0B5" w:rsidR="000C58E1" w:rsidRPr="000C58E1" w:rsidRDefault="000C58E1" w:rsidP="000C58E1">
            <w:pPr>
              <w:jc w:val="center"/>
              <w:rPr>
                <w:sz w:val="20"/>
                <w:szCs w:val="20"/>
              </w:rPr>
            </w:pPr>
            <w:r w:rsidRPr="000C58E1">
              <w:rPr>
                <w:sz w:val="20"/>
                <w:szCs w:val="20"/>
              </w:rPr>
              <w:t>Ful</w:t>
            </w:r>
            <w:r>
              <w:rPr>
                <w:sz w:val="20"/>
                <w:szCs w:val="20"/>
              </w:rPr>
              <w:t>ly deductible</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0D0085C" w14:textId="71B2BC08" w:rsidR="000C58E1" w:rsidRPr="000C58E1" w:rsidRDefault="000C58E1" w:rsidP="000C58E1">
            <w:pPr>
              <w:jc w:val="center"/>
              <w:rPr>
                <w:sz w:val="20"/>
                <w:szCs w:val="20"/>
              </w:rPr>
            </w:pPr>
            <w:r>
              <w:rPr>
                <w:sz w:val="20"/>
                <w:szCs w:val="20"/>
              </w:rPr>
              <w:t>Deduction limited to gains</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582A590" w14:textId="4030C832" w:rsidR="000C58E1" w:rsidRPr="000C58E1" w:rsidRDefault="000C58E1" w:rsidP="000C58E1">
            <w:pPr>
              <w:jc w:val="center"/>
              <w:rPr>
                <w:sz w:val="20"/>
                <w:szCs w:val="20"/>
              </w:rPr>
            </w:pPr>
            <w:r w:rsidRPr="000C58E1">
              <w:rPr>
                <w:sz w:val="20"/>
                <w:szCs w:val="20"/>
              </w:rPr>
              <w:t>Interest capitalize</w:t>
            </w:r>
            <w:r>
              <w:rPr>
                <w:sz w:val="20"/>
                <w:szCs w:val="20"/>
              </w:rPr>
              <w:t xml:space="preserve">d if </w:t>
            </w:r>
            <w:r>
              <w:rPr>
                <w:sz w:val="20"/>
                <w:szCs w:val="20"/>
              </w:rPr>
              <w:br/>
              <w:t>no income yet</w:t>
            </w:r>
          </w:p>
        </w:tc>
      </w:tr>
      <w:tr w:rsidR="000C58E1" w14:paraId="70915F99" w14:textId="77777777" w:rsidTr="000C58E1">
        <w:trPr>
          <w:cantSplit/>
          <w:trHeight w:val="720"/>
          <w:jc w:val="center"/>
        </w:trPr>
        <w:tc>
          <w:tcPr>
            <w:tcW w:w="1296"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bottom w:w="0" w:type="dxa"/>
              <w:right w:w="0" w:type="dxa"/>
            </w:tcMar>
            <w:vAlign w:val="center"/>
          </w:tcPr>
          <w:p w14:paraId="5C662D12" w14:textId="61A82D0F" w:rsidR="000C58E1" w:rsidRPr="000C58E1" w:rsidRDefault="000C58E1" w:rsidP="000C58E1">
            <w:pPr>
              <w:jc w:val="center"/>
              <w:rPr>
                <w:b/>
                <w:sz w:val="20"/>
                <w:szCs w:val="20"/>
              </w:rPr>
            </w:pPr>
            <w:r w:rsidRPr="000C58E1">
              <w:rPr>
                <w:b/>
                <w:sz w:val="20"/>
                <w:szCs w:val="20"/>
              </w:rPr>
              <w:t>Treatment of Tax Arbitrage</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6DBF9AF" w14:textId="542429E3" w:rsidR="000C58E1" w:rsidRPr="000C58E1" w:rsidRDefault="000C58E1" w:rsidP="000C58E1">
            <w:pPr>
              <w:jc w:val="center"/>
              <w:rPr>
                <w:sz w:val="20"/>
                <w:szCs w:val="20"/>
              </w:rPr>
            </w:pPr>
            <w:r>
              <w:rPr>
                <w:sz w:val="20"/>
                <w:szCs w:val="20"/>
              </w:rPr>
              <w:t>Disallowed</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00688DD" w14:textId="7E5B8BF3" w:rsidR="000C58E1" w:rsidRPr="000C58E1" w:rsidRDefault="000C58E1" w:rsidP="000C58E1">
            <w:pPr>
              <w:jc w:val="center"/>
              <w:rPr>
                <w:sz w:val="20"/>
                <w:szCs w:val="20"/>
              </w:rPr>
            </w:pPr>
            <w:r>
              <w:rPr>
                <w:sz w:val="20"/>
                <w:szCs w:val="20"/>
              </w:rPr>
              <w:t>Allowed</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5BD5B68" w14:textId="51AF6784" w:rsidR="000C58E1" w:rsidRPr="000C58E1" w:rsidRDefault="000C58E1" w:rsidP="000C58E1">
            <w:pPr>
              <w:jc w:val="center"/>
              <w:rPr>
                <w:sz w:val="20"/>
                <w:szCs w:val="20"/>
              </w:rPr>
            </w:pPr>
            <w:r>
              <w:rPr>
                <w:sz w:val="20"/>
                <w:szCs w:val="20"/>
              </w:rPr>
              <w:t>Allowed</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C686571" w14:textId="6D1A2DF9" w:rsidR="000C58E1" w:rsidRPr="000C58E1" w:rsidRDefault="000C58E1" w:rsidP="000C58E1">
            <w:pPr>
              <w:jc w:val="center"/>
              <w:rPr>
                <w:sz w:val="20"/>
                <w:szCs w:val="20"/>
              </w:rPr>
            </w:pPr>
            <w:r>
              <w:rPr>
                <w:sz w:val="20"/>
                <w:szCs w:val="20"/>
              </w:rPr>
              <w:t>Disallowed</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C0896E2" w14:textId="62447891" w:rsidR="000C58E1" w:rsidRPr="000C58E1" w:rsidRDefault="000C58E1" w:rsidP="000C58E1">
            <w:pPr>
              <w:jc w:val="center"/>
              <w:rPr>
                <w:sz w:val="20"/>
                <w:szCs w:val="20"/>
              </w:rPr>
            </w:pPr>
            <w:r>
              <w:rPr>
                <w:sz w:val="20"/>
                <w:szCs w:val="20"/>
              </w:rPr>
              <w:t>Disallowed</w:t>
            </w:r>
          </w:p>
        </w:tc>
      </w:tr>
    </w:tbl>
    <w:p w14:paraId="36828D75" w14:textId="2FD43ABA" w:rsidR="00885C74" w:rsidRDefault="00885C74" w:rsidP="00885C74">
      <w:pPr>
        <w:pStyle w:val="ListParagraph"/>
        <w:numPr>
          <w:ilvl w:val="0"/>
          <w:numId w:val="15"/>
        </w:numPr>
        <w:rPr>
          <w:sz w:val="20"/>
        </w:rPr>
      </w:pPr>
      <w:r>
        <w:rPr>
          <w:sz w:val="20"/>
        </w:rPr>
        <w:t>Taxes associated with asset purchases generally must be capitalized, but state and local income and property taxes may be deducted</w:t>
      </w:r>
      <w:r w:rsidR="0033745F">
        <w:rPr>
          <w:sz w:val="20"/>
        </w:rPr>
        <w:t xml:space="preserve"> - §164</w:t>
      </w:r>
    </w:p>
    <w:p w14:paraId="18913D11" w14:textId="1C6C2B53" w:rsidR="00885C74" w:rsidRDefault="00885C74" w:rsidP="00885C74">
      <w:pPr>
        <w:pStyle w:val="ListParagraph"/>
        <w:numPr>
          <w:ilvl w:val="1"/>
          <w:numId w:val="15"/>
        </w:numPr>
        <w:rPr>
          <w:sz w:val="20"/>
        </w:rPr>
      </w:pPr>
      <w:r>
        <w:rPr>
          <w:sz w:val="20"/>
        </w:rPr>
        <w:t>Reflects a th</w:t>
      </w:r>
      <w:r w:rsidR="00D01637">
        <w:rPr>
          <w:sz w:val="20"/>
        </w:rPr>
        <w:t xml:space="preserve">eory that local taxes are </w:t>
      </w:r>
      <w:r>
        <w:rPr>
          <w:sz w:val="20"/>
        </w:rPr>
        <w:t>a cost of doing business, properly exemp</w:t>
      </w:r>
      <w:r w:rsidR="00D01637">
        <w:rPr>
          <w:sz w:val="20"/>
        </w:rPr>
        <w:t>ted as not</w:t>
      </w:r>
      <w:r>
        <w:rPr>
          <w:sz w:val="20"/>
        </w:rPr>
        <w:t xml:space="preserve"> income? </w:t>
      </w:r>
    </w:p>
    <w:p w14:paraId="1D0B5F18" w14:textId="3AE47160" w:rsidR="00885C74" w:rsidRDefault="00885C74" w:rsidP="00885C74">
      <w:pPr>
        <w:pStyle w:val="ListParagraph"/>
        <w:numPr>
          <w:ilvl w:val="1"/>
          <w:numId w:val="15"/>
        </w:numPr>
        <w:rPr>
          <w:sz w:val="20"/>
        </w:rPr>
      </w:pPr>
      <w:r>
        <w:rPr>
          <w:sz w:val="20"/>
        </w:rPr>
        <w:t xml:space="preserve">Deductibility of state/local taxes benefit wealthy </w:t>
      </w:r>
      <w:r>
        <w:rPr>
          <w:i/>
          <w:sz w:val="20"/>
        </w:rPr>
        <w:t>again</w:t>
      </w:r>
      <w:r w:rsidR="00D01637">
        <w:rPr>
          <w:sz w:val="20"/>
        </w:rPr>
        <w:t xml:space="preserve"> since poor </w:t>
      </w:r>
      <w:r>
        <w:rPr>
          <w:sz w:val="20"/>
        </w:rPr>
        <w:t>don’t pay federal tax</w:t>
      </w:r>
      <w:r w:rsidR="00D01637">
        <w:rPr>
          <w:sz w:val="20"/>
        </w:rPr>
        <w:t>es, and</w:t>
      </w:r>
      <w:r w:rsidR="00466309">
        <w:rPr>
          <w:sz w:val="20"/>
        </w:rPr>
        <w:t xml:space="preserve"> wealthy individuals have a higher marginal</w:t>
      </w:r>
      <w:r w:rsidR="00D01637">
        <w:rPr>
          <w:sz w:val="20"/>
        </w:rPr>
        <w:t xml:space="preserve"> tax rate leading to lower</w:t>
      </w:r>
      <w:r w:rsidR="00466309">
        <w:rPr>
          <w:sz w:val="20"/>
        </w:rPr>
        <w:t xml:space="preserve"> effective state tax rate</w:t>
      </w:r>
    </w:p>
    <w:p w14:paraId="0C6F81B5" w14:textId="60F8D2B6" w:rsidR="000D3C1B" w:rsidRDefault="004E7F21" w:rsidP="003C42BD">
      <w:pPr>
        <w:pStyle w:val="ListParagraph"/>
        <w:numPr>
          <w:ilvl w:val="0"/>
          <w:numId w:val="15"/>
        </w:numPr>
        <w:rPr>
          <w:sz w:val="20"/>
        </w:rPr>
      </w:pPr>
      <w:r>
        <w:rPr>
          <w:sz w:val="20"/>
        </w:rPr>
        <w:t>Casualty losses are limited to uninsured losses of more than $100 and must exceed 10% of AGI - §165(h)</w:t>
      </w:r>
    </w:p>
    <w:p w14:paraId="6D341292" w14:textId="584B5288" w:rsidR="004767C7" w:rsidRDefault="004767C7" w:rsidP="003C42BD">
      <w:pPr>
        <w:pStyle w:val="ListParagraph"/>
        <w:numPr>
          <w:ilvl w:val="1"/>
          <w:numId w:val="15"/>
        </w:numPr>
        <w:rPr>
          <w:sz w:val="20"/>
        </w:rPr>
      </w:pPr>
      <w:r>
        <w:rPr>
          <w:sz w:val="20"/>
        </w:rPr>
        <w:t>Loss must be sudden, unexpected, violent or unusual and not something you can guard against</w:t>
      </w:r>
    </w:p>
    <w:p w14:paraId="655BA678" w14:textId="4577C507" w:rsidR="004B0137" w:rsidRPr="004B0137" w:rsidRDefault="00A01739" w:rsidP="004B0137">
      <w:pPr>
        <w:pStyle w:val="ListParagraph"/>
        <w:numPr>
          <w:ilvl w:val="2"/>
          <w:numId w:val="15"/>
        </w:numPr>
        <w:rPr>
          <w:sz w:val="20"/>
        </w:rPr>
      </w:pPr>
      <w:r>
        <w:rPr>
          <w:sz w:val="20"/>
        </w:rPr>
        <w:t xml:space="preserve">Helps </w:t>
      </w:r>
      <w:r w:rsidR="003535E9">
        <w:rPr>
          <w:sz w:val="20"/>
        </w:rPr>
        <w:t xml:space="preserve">get around </w:t>
      </w:r>
      <w:r>
        <w:rPr>
          <w:sz w:val="20"/>
        </w:rPr>
        <w:t xml:space="preserve">realization </w:t>
      </w:r>
      <w:r w:rsidR="003535E9">
        <w:rPr>
          <w:sz w:val="20"/>
        </w:rPr>
        <w:t xml:space="preserve">(loss can’t be deducted until realized) and depreciation requirements (ordinary wear and tear </w:t>
      </w:r>
      <w:r>
        <w:rPr>
          <w:sz w:val="20"/>
        </w:rPr>
        <w:t xml:space="preserve">on personal property </w:t>
      </w:r>
      <w:r w:rsidR="003535E9">
        <w:rPr>
          <w:sz w:val="20"/>
        </w:rPr>
        <w:t>is nondeductible</w:t>
      </w:r>
      <w:r>
        <w:rPr>
          <w:sz w:val="20"/>
        </w:rPr>
        <w:t>)</w:t>
      </w:r>
    </w:p>
    <w:p w14:paraId="72DACD35" w14:textId="6ECD3FA2" w:rsidR="004B0137" w:rsidRDefault="00294449" w:rsidP="004B0137">
      <w:pPr>
        <w:pStyle w:val="ListParagraph"/>
        <w:numPr>
          <w:ilvl w:val="1"/>
          <w:numId w:val="15"/>
        </w:numPr>
        <w:rPr>
          <w:sz w:val="20"/>
        </w:rPr>
      </w:pPr>
      <w:r>
        <w:rPr>
          <w:sz w:val="20"/>
        </w:rPr>
        <w:t>If casualty gains exceed casualty losses, excess is taxed as capital gain</w:t>
      </w:r>
    </w:p>
    <w:p w14:paraId="530F0C28" w14:textId="06EDEFC7" w:rsidR="004B0137" w:rsidRPr="004B0137" w:rsidRDefault="004B0137" w:rsidP="004B0137">
      <w:pPr>
        <w:pStyle w:val="ListParagraph"/>
        <w:numPr>
          <w:ilvl w:val="2"/>
          <w:numId w:val="15"/>
        </w:numPr>
        <w:rPr>
          <w:sz w:val="20"/>
        </w:rPr>
      </w:pPr>
      <w:r>
        <w:rPr>
          <w:sz w:val="20"/>
        </w:rPr>
        <w:t xml:space="preserve">Deduction on personal property is limited to </w:t>
      </w:r>
      <w:proofErr w:type="spellStart"/>
      <w:r>
        <w:rPr>
          <w:sz w:val="20"/>
        </w:rPr>
        <w:t>FMV</w:t>
      </w:r>
      <w:r>
        <w:rPr>
          <w:sz w:val="20"/>
          <w:vertAlign w:val="subscript"/>
        </w:rPr>
        <w:t>pre</w:t>
      </w:r>
      <w:proofErr w:type="spellEnd"/>
      <w:r>
        <w:rPr>
          <w:sz w:val="20"/>
          <w:vertAlign w:val="subscript"/>
        </w:rPr>
        <w:t xml:space="preserve">-casualty </w:t>
      </w:r>
      <w:r>
        <w:rPr>
          <w:sz w:val="20"/>
        </w:rPr>
        <w:t xml:space="preserve">– </w:t>
      </w:r>
      <w:proofErr w:type="spellStart"/>
      <w:r>
        <w:rPr>
          <w:sz w:val="20"/>
        </w:rPr>
        <w:t>FMV</w:t>
      </w:r>
      <w:r>
        <w:rPr>
          <w:sz w:val="20"/>
          <w:vertAlign w:val="subscript"/>
        </w:rPr>
        <w:t>post</w:t>
      </w:r>
      <w:proofErr w:type="spellEnd"/>
      <w:r>
        <w:rPr>
          <w:sz w:val="20"/>
          <w:vertAlign w:val="subscript"/>
        </w:rPr>
        <w:t xml:space="preserve">-casualty </w:t>
      </w:r>
      <w:r>
        <w:rPr>
          <w:i/>
          <w:sz w:val="20"/>
        </w:rPr>
        <w:t xml:space="preserve">or </w:t>
      </w:r>
      <w:r>
        <w:rPr>
          <w:sz w:val="20"/>
        </w:rPr>
        <w:t>basis</w:t>
      </w:r>
    </w:p>
    <w:p w14:paraId="50BB74AB" w14:textId="77777777" w:rsidR="00D258B7" w:rsidRDefault="00466309" w:rsidP="00466309">
      <w:pPr>
        <w:pStyle w:val="ListParagraph"/>
        <w:numPr>
          <w:ilvl w:val="1"/>
          <w:numId w:val="15"/>
        </w:numPr>
        <w:rPr>
          <w:sz w:val="20"/>
        </w:rPr>
      </w:pPr>
      <w:r>
        <w:rPr>
          <w:sz w:val="20"/>
        </w:rPr>
        <w:lastRenderedPageBreak/>
        <w:t>Is this a recognition of deduction of net worth (and presumed inability to pay) or a subsidy?</w:t>
      </w:r>
    </w:p>
    <w:p w14:paraId="67D7E5B8" w14:textId="4B0E73B2" w:rsidR="009E3DF2" w:rsidRDefault="009E3DF2" w:rsidP="009E3DF2">
      <w:pPr>
        <w:pStyle w:val="ListParagraph"/>
        <w:numPr>
          <w:ilvl w:val="2"/>
          <w:numId w:val="15"/>
        </w:numPr>
        <w:rPr>
          <w:sz w:val="20"/>
        </w:rPr>
      </w:pPr>
      <w:r>
        <w:rPr>
          <w:sz w:val="20"/>
        </w:rPr>
        <w:t>If it’s a subsidy, i</w:t>
      </w:r>
      <w:r w:rsidR="00D01637">
        <w:rPr>
          <w:sz w:val="20"/>
        </w:rPr>
        <w:t>t’s a strange one – since it’s a deduction, it</w:t>
      </w:r>
      <w:r>
        <w:rPr>
          <w:sz w:val="20"/>
        </w:rPr>
        <w:t xml:space="preserve"> benefits wealth</w:t>
      </w:r>
      <w:r w:rsidR="00D01637">
        <w:rPr>
          <w:sz w:val="20"/>
        </w:rPr>
        <w:t>y</w:t>
      </w:r>
      <w:r>
        <w:rPr>
          <w:sz w:val="20"/>
        </w:rPr>
        <w:t xml:space="preserve"> taxpayers</w:t>
      </w:r>
    </w:p>
    <w:p w14:paraId="13A1A948" w14:textId="384542E1" w:rsidR="009E3DF2" w:rsidRDefault="009E3DF2" w:rsidP="009E3DF2">
      <w:pPr>
        <w:pStyle w:val="ListParagraph"/>
        <w:numPr>
          <w:ilvl w:val="2"/>
          <w:numId w:val="15"/>
        </w:numPr>
        <w:rPr>
          <w:sz w:val="20"/>
        </w:rPr>
      </w:pPr>
      <w:r>
        <w:rPr>
          <w:sz w:val="20"/>
        </w:rPr>
        <w:t>But that creates disincentive to buy insurance, since the government will insure you</w:t>
      </w:r>
    </w:p>
    <w:p w14:paraId="5423892E" w14:textId="175EDC6D" w:rsidR="00D01637" w:rsidRDefault="00D01637" w:rsidP="00BF066E">
      <w:pPr>
        <w:pStyle w:val="ListParagraph"/>
        <w:numPr>
          <w:ilvl w:val="3"/>
          <w:numId w:val="15"/>
        </w:numPr>
        <w:rPr>
          <w:sz w:val="20"/>
        </w:rPr>
      </w:pPr>
      <w:r>
        <w:rPr>
          <w:sz w:val="20"/>
        </w:rPr>
        <w:t>High limits (only deductible past 10% of AGI) eliminates this disincentive</w:t>
      </w:r>
    </w:p>
    <w:p w14:paraId="498A48AD" w14:textId="3C26CF88" w:rsidR="0080634D" w:rsidRDefault="009E3DF2" w:rsidP="00BF066E">
      <w:pPr>
        <w:pStyle w:val="ListParagraph"/>
        <w:numPr>
          <w:ilvl w:val="1"/>
          <w:numId w:val="15"/>
        </w:numPr>
        <w:rPr>
          <w:sz w:val="20"/>
        </w:rPr>
      </w:pPr>
      <w:r>
        <w:rPr>
          <w:sz w:val="20"/>
        </w:rPr>
        <w:t xml:space="preserve">Losses from </w:t>
      </w:r>
      <w:r w:rsidR="00BF066E">
        <w:rPr>
          <w:sz w:val="20"/>
        </w:rPr>
        <w:t>for-profit transactions</w:t>
      </w:r>
      <w:r>
        <w:rPr>
          <w:sz w:val="20"/>
        </w:rPr>
        <w:t>, even if not connected to a trade/business, are deductible - §165(c)(2)</w:t>
      </w:r>
    </w:p>
    <w:p w14:paraId="44B87CEA" w14:textId="1A0239EB" w:rsidR="00466309" w:rsidRDefault="0080634D" w:rsidP="00BF066E">
      <w:pPr>
        <w:pStyle w:val="ListParagraph"/>
        <w:numPr>
          <w:ilvl w:val="0"/>
          <w:numId w:val="15"/>
        </w:numPr>
        <w:rPr>
          <w:sz w:val="20"/>
        </w:rPr>
      </w:pPr>
      <w:r>
        <w:rPr>
          <w:sz w:val="20"/>
        </w:rPr>
        <w:t>Medical</w:t>
      </w:r>
      <w:r w:rsidR="00CC61FF">
        <w:rPr>
          <w:sz w:val="20"/>
        </w:rPr>
        <w:t xml:space="preserve"> expenses</w:t>
      </w:r>
      <w:r>
        <w:rPr>
          <w:sz w:val="20"/>
        </w:rPr>
        <w:t xml:space="preserve"> not compensated by insurance and that exceed 10% of AGI </w:t>
      </w:r>
      <w:r>
        <w:rPr>
          <w:b/>
          <w:sz w:val="20"/>
        </w:rPr>
        <w:t xml:space="preserve">are </w:t>
      </w:r>
      <w:r>
        <w:rPr>
          <w:sz w:val="20"/>
        </w:rPr>
        <w:t xml:space="preserve">deductible - </w:t>
      </w:r>
      <w:r w:rsidR="00B7472D">
        <w:rPr>
          <w:sz w:val="20"/>
        </w:rPr>
        <w:t>§213</w:t>
      </w:r>
      <w:r w:rsidR="00466309">
        <w:rPr>
          <w:sz w:val="20"/>
        </w:rPr>
        <w:t xml:space="preserve"> </w:t>
      </w:r>
    </w:p>
    <w:p w14:paraId="6274BB92" w14:textId="7B09179B" w:rsidR="00CC61FF" w:rsidRDefault="00CC61FF" w:rsidP="00BF066E">
      <w:pPr>
        <w:pStyle w:val="ListParagraph"/>
        <w:numPr>
          <w:ilvl w:val="1"/>
          <w:numId w:val="15"/>
        </w:numPr>
        <w:rPr>
          <w:sz w:val="20"/>
        </w:rPr>
      </w:pPr>
      <w:r>
        <w:rPr>
          <w:sz w:val="20"/>
        </w:rPr>
        <w:t>Limited to prescription drugs and insulin – cosmetic surgery costs are not included unless necessary to promote proper function of the body or prevent/treat disease</w:t>
      </w:r>
    </w:p>
    <w:p w14:paraId="26DB93B7" w14:textId="2690CEFC" w:rsidR="00EA087E" w:rsidRPr="00BE05F0" w:rsidRDefault="00EA087E" w:rsidP="00BF066E">
      <w:pPr>
        <w:pStyle w:val="ListParagraph"/>
        <w:numPr>
          <w:ilvl w:val="1"/>
          <w:numId w:val="15"/>
        </w:numPr>
        <w:rPr>
          <w:sz w:val="20"/>
        </w:rPr>
      </w:pPr>
      <w:r>
        <w:rPr>
          <w:sz w:val="20"/>
        </w:rPr>
        <w:t xml:space="preserve">Capital expenditure may be a medical expense if it has a primary purpose of medical care – </w:t>
      </w:r>
      <w:r>
        <w:rPr>
          <w:i/>
          <w:sz w:val="20"/>
        </w:rPr>
        <w:t>Rev. Rul. 87-106</w:t>
      </w:r>
    </w:p>
    <w:p w14:paraId="53A3EB23" w14:textId="4EE3B9C1" w:rsidR="000C35CA" w:rsidRPr="000C35CA" w:rsidRDefault="00BE05F0" w:rsidP="00BF066E">
      <w:pPr>
        <w:pStyle w:val="ListParagraph"/>
        <w:numPr>
          <w:ilvl w:val="0"/>
          <w:numId w:val="15"/>
        </w:numPr>
        <w:rPr>
          <w:sz w:val="20"/>
        </w:rPr>
      </w:pPr>
      <w:r>
        <w:rPr>
          <w:sz w:val="20"/>
        </w:rPr>
        <w:t>Charitable contributions are deductible under §170 up to a limit of 50% of AGI, but donations to a subset of charities are only deductible up to 30% (§170(b)(1)(B))</w:t>
      </w:r>
    </w:p>
    <w:p w14:paraId="4EA299D8" w14:textId="1C0C2017" w:rsidR="00A22279" w:rsidRDefault="00A22279" w:rsidP="00BF066E">
      <w:pPr>
        <w:pStyle w:val="ListParagraph"/>
        <w:numPr>
          <w:ilvl w:val="1"/>
          <w:numId w:val="15"/>
        </w:numPr>
        <w:rPr>
          <w:sz w:val="20"/>
        </w:rPr>
      </w:pPr>
      <w:r>
        <w:rPr>
          <w:sz w:val="20"/>
        </w:rPr>
        <w:t>Corporate charitable contributions are only deductible up to 10% of taxable income - §170(b)(2)</w:t>
      </w:r>
    </w:p>
    <w:p w14:paraId="1837C90E" w14:textId="1057092C" w:rsidR="000C35CA" w:rsidRDefault="000C35CA" w:rsidP="00BF066E">
      <w:pPr>
        <w:pStyle w:val="ListParagraph"/>
        <w:numPr>
          <w:ilvl w:val="2"/>
          <w:numId w:val="15"/>
        </w:numPr>
        <w:rPr>
          <w:sz w:val="20"/>
        </w:rPr>
      </w:pPr>
      <w:r>
        <w:rPr>
          <w:sz w:val="20"/>
        </w:rPr>
        <w:t>What is the rationale behind the charitable contribution deduction</w:t>
      </w:r>
      <w:r w:rsidR="001534E4">
        <w:rPr>
          <w:sz w:val="20"/>
        </w:rPr>
        <w:t>? If it is a subsidy, why are there</w:t>
      </w:r>
      <w:r>
        <w:rPr>
          <w:sz w:val="20"/>
        </w:rPr>
        <w:t xml:space="preserve"> limits? </w:t>
      </w:r>
    </w:p>
    <w:p w14:paraId="1772657B" w14:textId="19C6E66E" w:rsidR="000C35CA" w:rsidRDefault="000C35CA" w:rsidP="00BF066E">
      <w:pPr>
        <w:pStyle w:val="ListParagraph"/>
        <w:numPr>
          <w:ilvl w:val="3"/>
          <w:numId w:val="15"/>
        </w:numPr>
        <w:rPr>
          <w:sz w:val="20"/>
        </w:rPr>
      </w:pPr>
      <w:r>
        <w:rPr>
          <w:sz w:val="20"/>
        </w:rPr>
        <w:t>We don’t want taxpayers to avoid all liability</w:t>
      </w:r>
    </w:p>
    <w:p w14:paraId="7E82B7BD" w14:textId="58934C94" w:rsidR="000C35CA" w:rsidRDefault="000C35CA" w:rsidP="00BF066E">
      <w:pPr>
        <w:pStyle w:val="ListParagraph"/>
        <w:numPr>
          <w:ilvl w:val="2"/>
          <w:numId w:val="15"/>
        </w:numPr>
        <w:rPr>
          <w:sz w:val="20"/>
        </w:rPr>
      </w:pPr>
      <w:r>
        <w:rPr>
          <w:sz w:val="20"/>
        </w:rPr>
        <w:t>Why isn’t it a credit? Especially if we want to encourage lower-income people to give to charities since we’re concerned that wealthy and poor people give to different charities</w:t>
      </w:r>
    </w:p>
    <w:p w14:paraId="25EDB48A" w14:textId="141EBCEC" w:rsidR="00CD2A5F" w:rsidRDefault="00CD2A5F" w:rsidP="00BF066E">
      <w:pPr>
        <w:pStyle w:val="ListParagraph"/>
        <w:numPr>
          <w:ilvl w:val="3"/>
          <w:numId w:val="15"/>
        </w:numPr>
        <w:rPr>
          <w:sz w:val="20"/>
        </w:rPr>
      </w:pPr>
      <w:r>
        <w:rPr>
          <w:sz w:val="20"/>
        </w:rPr>
        <w:t xml:space="preserve">This may be doubly harmful, because §170 is only deductible if </w:t>
      </w:r>
      <w:r w:rsidR="002C5B55">
        <w:rPr>
          <w:sz w:val="20"/>
        </w:rPr>
        <w:t>deductions are itemized (unlikely for poorer taxpayers)</w:t>
      </w:r>
    </w:p>
    <w:p w14:paraId="7A42568A" w14:textId="5D465B6E" w:rsidR="00001159" w:rsidRDefault="00001159" w:rsidP="00BF066E">
      <w:pPr>
        <w:pStyle w:val="ListParagraph"/>
        <w:numPr>
          <w:ilvl w:val="3"/>
          <w:numId w:val="15"/>
        </w:numPr>
        <w:rPr>
          <w:sz w:val="20"/>
        </w:rPr>
      </w:pPr>
      <w:r>
        <w:rPr>
          <w:sz w:val="20"/>
        </w:rPr>
        <w:t xml:space="preserve">But rich people tend to give more to charity </w:t>
      </w:r>
      <w:r w:rsidR="001534E4">
        <w:rPr>
          <w:sz w:val="20"/>
        </w:rPr>
        <w:t>anyway</w:t>
      </w:r>
    </w:p>
    <w:p w14:paraId="5070D806" w14:textId="087D3332" w:rsidR="00C72CA4" w:rsidRDefault="001212BC" w:rsidP="00BF066E">
      <w:pPr>
        <w:pStyle w:val="ListParagraph"/>
        <w:numPr>
          <w:ilvl w:val="1"/>
          <w:numId w:val="15"/>
        </w:numPr>
        <w:rPr>
          <w:sz w:val="20"/>
        </w:rPr>
      </w:pPr>
      <w:r>
        <w:rPr>
          <w:sz w:val="20"/>
        </w:rPr>
        <w:t xml:space="preserve">Although the contribution may only be given to a specific set of </w:t>
      </w:r>
      <w:proofErr w:type="spellStart"/>
      <w:r w:rsidR="00B17D02">
        <w:rPr>
          <w:sz w:val="20"/>
        </w:rPr>
        <w:t>donees</w:t>
      </w:r>
      <w:proofErr w:type="spellEnd"/>
      <w:r>
        <w:rPr>
          <w:sz w:val="20"/>
        </w:rPr>
        <w:t xml:space="preserve"> (§170(c)), the gift can be restricted to make sure that a specific person will be the recipient of the gift</w:t>
      </w:r>
    </w:p>
    <w:p w14:paraId="4621C933" w14:textId="69C9380D" w:rsidR="008F4940" w:rsidRDefault="00BB032E" w:rsidP="00BF066E">
      <w:pPr>
        <w:pStyle w:val="ListParagraph"/>
        <w:numPr>
          <w:ilvl w:val="1"/>
          <w:numId w:val="15"/>
        </w:numPr>
        <w:rPr>
          <w:sz w:val="20"/>
        </w:rPr>
      </w:pPr>
      <w:r>
        <w:rPr>
          <w:sz w:val="20"/>
        </w:rPr>
        <w:t>A contribution is not</w:t>
      </w:r>
      <w:r w:rsidR="002F060E">
        <w:rPr>
          <w:sz w:val="20"/>
        </w:rPr>
        <w:t xml:space="preserve"> deductible if it is</w:t>
      </w:r>
      <w:r w:rsidR="008F4940">
        <w:rPr>
          <w:sz w:val="20"/>
        </w:rPr>
        <w:t xml:space="preserve"> a quid pro quo – </w:t>
      </w:r>
      <w:r w:rsidR="008F4940">
        <w:rPr>
          <w:i/>
          <w:sz w:val="20"/>
        </w:rPr>
        <w:t xml:space="preserve">Hernandez </w:t>
      </w:r>
      <w:r w:rsidR="008F4940">
        <w:rPr>
          <w:sz w:val="20"/>
        </w:rPr>
        <w:t>(scientologist contribution)</w:t>
      </w:r>
    </w:p>
    <w:p w14:paraId="08364214" w14:textId="4A62AFBC" w:rsidR="00566122" w:rsidRDefault="00566122" w:rsidP="00BF066E">
      <w:pPr>
        <w:pStyle w:val="ListParagraph"/>
        <w:numPr>
          <w:ilvl w:val="1"/>
          <w:numId w:val="15"/>
        </w:numPr>
        <w:rPr>
          <w:sz w:val="20"/>
        </w:rPr>
      </w:pPr>
      <w:r>
        <w:rPr>
          <w:sz w:val="20"/>
        </w:rPr>
        <w:t>There are a number of rules tha</w:t>
      </w:r>
      <w:r w:rsidR="00245E6E">
        <w:rPr>
          <w:sz w:val="20"/>
        </w:rPr>
        <w:t>t alter a</w:t>
      </w:r>
      <w:r>
        <w:rPr>
          <w:sz w:val="20"/>
        </w:rPr>
        <w:t xml:space="preserve"> charitable contribution’s deductibility if the gift is an appreciated asset</w:t>
      </w:r>
      <w:r w:rsidR="005E634E">
        <w:rPr>
          <w:sz w:val="20"/>
        </w:rPr>
        <w:t xml:space="preserve"> </w:t>
      </w:r>
    </w:p>
    <w:p w14:paraId="3F01C9A9" w14:textId="1B9D7B80" w:rsidR="00566122" w:rsidRDefault="00566122" w:rsidP="00BF066E">
      <w:pPr>
        <w:pStyle w:val="ListParagraph"/>
        <w:numPr>
          <w:ilvl w:val="2"/>
          <w:numId w:val="15"/>
        </w:numPr>
        <w:rPr>
          <w:sz w:val="20"/>
        </w:rPr>
      </w:pPr>
      <w:r>
        <w:rPr>
          <w:sz w:val="20"/>
        </w:rPr>
        <w:t xml:space="preserve">The amount of the charitable contribution will </w:t>
      </w:r>
      <w:r w:rsidR="00CE3C52" w:rsidRPr="00CE3C52">
        <w:rPr>
          <w:b/>
          <w:sz w:val="20"/>
        </w:rPr>
        <w:t>always</w:t>
      </w:r>
      <w:r w:rsidR="00CE3C52">
        <w:rPr>
          <w:sz w:val="20"/>
        </w:rPr>
        <w:t xml:space="preserve"> </w:t>
      </w:r>
      <w:r w:rsidRPr="00CE3C52">
        <w:rPr>
          <w:sz w:val="20"/>
        </w:rPr>
        <w:t>be</w:t>
      </w:r>
      <w:r>
        <w:rPr>
          <w:sz w:val="20"/>
        </w:rPr>
        <w:t xml:space="preserve"> reduced by the amount of </w:t>
      </w:r>
      <w:r>
        <w:rPr>
          <w:b/>
          <w:sz w:val="20"/>
        </w:rPr>
        <w:t>non</w:t>
      </w:r>
      <w:r>
        <w:rPr>
          <w:sz w:val="20"/>
        </w:rPr>
        <w:t>-long term capital gain the donor would have realized if sold at FMV - §170(e)(1)(A)</w:t>
      </w:r>
    </w:p>
    <w:p w14:paraId="745FDFAF" w14:textId="426C222D" w:rsidR="002856D8" w:rsidRDefault="002856D8" w:rsidP="00BF066E">
      <w:pPr>
        <w:pStyle w:val="ListParagraph"/>
        <w:numPr>
          <w:ilvl w:val="2"/>
          <w:numId w:val="15"/>
        </w:numPr>
        <w:rPr>
          <w:sz w:val="20"/>
        </w:rPr>
      </w:pPr>
      <w:r>
        <w:rPr>
          <w:sz w:val="20"/>
        </w:rPr>
        <w:t xml:space="preserve">The amount of a </w:t>
      </w:r>
      <w:r w:rsidR="008D2089">
        <w:rPr>
          <w:sz w:val="20"/>
        </w:rPr>
        <w:t xml:space="preserve">charitable contribution </w:t>
      </w:r>
      <w:r>
        <w:rPr>
          <w:sz w:val="20"/>
        </w:rPr>
        <w:t xml:space="preserve">will be reduced by the amount of </w:t>
      </w:r>
      <w:r>
        <w:rPr>
          <w:b/>
          <w:sz w:val="20"/>
        </w:rPr>
        <w:t xml:space="preserve">long-term </w:t>
      </w:r>
      <w:r>
        <w:rPr>
          <w:sz w:val="20"/>
        </w:rPr>
        <w:t xml:space="preserve">capital gain </w:t>
      </w:r>
      <w:r w:rsidR="00001159">
        <w:rPr>
          <w:sz w:val="20"/>
        </w:rPr>
        <w:t xml:space="preserve">the donor would have realized </w:t>
      </w:r>
      <w:r w:rsidR="00245E6E">
        <w:rPr>
          <w:sz w:val="20"/>
        </w:rPr>
        <w:t xml:space="preserve">if </w:t>
      </w:r>
      <w:r w:rsidR="00001159">
        <w:rPr>
          <w:sz w:val="20"/>
        </w:rPr>
        <w:t>s</w:t>
      </w:r>
      <w:r w:rsidR="00864657">
        <w:rPr>
          <w:sz w:val="20"/>
        </w:rPr>
        <w:t xml:space="preserve">old at FMV </w:t>
      </w:r>
      <w:r w:rsidR="00864657" w:rsidRPr="00B46934">
        <w:rPr>
          <w:b/>
          <w:sz w:val="20"/>
        </w:rPr>
        <w:t>if</w:t>
      </w:r>
      <w:r w:rsidR="00245E6E">
        <w:rPr>
          <w:sz w:val="20"/>
        </w:rPr>
        <w:t xml:space="preserve"> donation is</w:t>
      </w:r>
      <w:r>
        <w:rPr>
          <w:sz w:val="20"/>
        </w:rPr>
        <w:t>:</w:t>
      </w:r>
      <w:r w:rsidR="005E634E">
        <w:rPr>
          <w:sz w:val="20"/>
        </w:rPr>
        <w:t xml:space="preserve"> §170(e)(1)(B)</w:t>
      </w:r>
    </w:p>
    <w:p w14:paraId="5D916DE1" w14:textId="52280BC5" w:rsidR="004E263E" w:rsidRDefault="007B2F36" w:rsidP="00BF066E">
      <w:pPr>
        <w:pStyle w:val="ListParagraph"/>
        <w:numPr>
          <w:ilvl w:val="3"/>
          <w:numId w:val="15"/>
        </w:numPr>
        <w:rPr>
          <w:sz w:val="20"/>
        </w:rPr>
      </w:pPr>
      <w:r>
        <w:rPr>
          <w:sz w:val="20"/>
        </w:rPr>
        <w:t>T</w:t>
      </w:r>
      <w:r w:rsidR="002856D8" w:rsidRPr="004E263E">
        <w:rPr>
          <w:sz w:val="20"/>
        </w:rPr>
        <w:t>angible</w:t>
      </w:r>
      <w:r w:rsidR="004E263E" w:rsidRPr="004E263E">
        <w:rPr>
          <w:sz w:val="20"/>
        </w:rPr>
        <w:t>,</w:t>
      </w:r>
      <w:r w:rsidR="002856D8" w:rsidRPr="004E263E">
        <w:rPr>
          <w:sz w:val="20"/>
        </w:rPr>
        <w:t xml:space="preserve"> personal property</w:t>
      </w:r>
      <w:r w:rsidR="002856D8">
        <w:rPr>
          <w:sz w:val="20"/>
        </w:rPr>
        <w:t xml:space="preserve"> </w:t>
      </w:r>
    </w:p>
    <w:p w14:paraId="0B249399" w14:textId="032E470F" w:rsidR="002856D8" w:rsidRDefault="007B2F36" w:rsidP="00BF066E">
      <w:pPr>
        <w:pStyle w:val="ListParagraph"/>
        <w:numPr>
          <w:ilvl w:val="4"/>
          <w:numId w:val="15"/>
        </w:numPr>
        <w:rPr>
          <w:sz w:val="20"/>
        </w:rPr>
      </w:pPr>
      <w:r>
        <w:rPr>
          <w:sz w:val="20"/>
        </w:rPr>
        <w:t>U</w:t>
      </w:r>
      <w:r w:rsidR="002856D8">
        <w:rPr>
          <w:sz w:val="20"/>
        </w:rPr>
        <w:t>nrelated to the charitable organization’s purpose</w:t>
      </w:r>
    </w:p>
    <w:p w14:paraId="1B2B87C8" w14:textId="5F26EEAF" w:rsidR="002856D8" w:rsidRDefault="007B2F36" w:rsidP="00BF066E">
      <w:pPr>
        <w:pStyle w:val="ListParagraph"/>
        <w:numPr>
          <w:ilvl w:val="4"/>
          <w:numId w:val="15"/>
        </w:numPr>
        <w:rPr>
          <w:sz w:val="20"/>
        </w:rPr>
      </w:pPr>
      <w:r>
        <w:rPr>
          <w:sz w:val="20"/>
        </w:rPr>
        <w:t>R</w:t>
      </w:r>
      <w:r w:rsidR="00245E6E">
        <w:rPr>
          <w:sz w:val="20"/>
        </w:rPr>
        <w:t xml:space="preserve">elated to </w:t>
      </w:r>
      <w:r w:rsidR="00C660DB">
        <w:rPr>
          <w:sz w:val="20"/>
        </w:rPr>
        <w:t>org.</w:t>
      </w:r>
      <w:r w:rsidR="002856D8">
        <w:rPr>
          <w:sz w:val="20"/>
        </w:rPr>
        <w:t>’s</w:t>
      </w:r>
      <w:r w:rsidR="00245E6E">
        <w:rPr>
          <w:sz w:val="20"/>
        </w:rPr>
        <w:t xml:space="preserve"> purpose but </w:t>
      </w:r>
      <w:r w:rsidR="00C660DB">
        <w:rPr>
          <w:sz w:val="20"/>
        </w:rPr>
        <w:t>discarded</w:t>
      </w:r>
      <w:r w:rsidR="002856D8">
        <w:rPr>
          <w:sz w:val="20"/>
        </w:rPr>
        <w:t xml:space="preserve"> </w:t>
      </w:r>
      <w:r w:rsidR="00245E6E">
        <w:rPr>
          <w:sz w:val="20"/>
        </w:rPr>
        <w:t>by donee within the</w:t>
      </w:r>
      <w:r w:rsidR="002856D8">
        <w:rPr>
          <w:sz w:val="20"/>
        </w:rPr>
        <w:t xml:space="preserve"> year</w:t>
      </w:r>
    </w:p>
    <w:p w14:paraId="40FAC327" w14:textId="0A89535B" w:rsidR="002856D8" w:rsidRDefault="007B2F36" w:rsidP="00BF066E">
      <w:pPr>
        <w:pStyle w:val="ListParagraph"/>
        <w:numPr>
          <w:ilvl w:val="3"/>
          <w:numId w:val="15"/>
        </w:numPr>
        <w:rPr>
          <w:sz w:val="20"/>
        </w:rPr>
      </w:pPr>
      <w:r>
        <w:rPr>
          <w:sz w:val="20"/>
        </w:rPr>
        <w:t>T</w:t>
      </w:r>
      <w:r w:rsidR="002856D8">
        <w:rPr>
          <w:sz w:val="20"/>
        </w:rPr>
        <w:t xml:space="preserve">o a private foundation </w:t>
      </w:r>
    </w:p>
    <w:p w14:paraId="7DD9BECA" w14:textId="340A45C5" w:rsidR="004E263E" w:rsidRDefault="007B2F36" w:rsidP="00BF066E">
      <w:pPr>
        <w:pStyle w:val="ListParagraph"/>
        <w:numPr>
          <w:ilvl w:val="3"/>
          <w:numId w:val="15"/>
        </w:numPr>
        <w:rPr>
          <w:sz w:val="20"/>
        </w:rPr>
      </w:pPr>
      <w:r>
        <w:rPr>
          <w:sz w:val="20"/>
        </w:rPr>
        <w:t>A</w:t>
      </w:r>
      <w:r w:rsidR="002856D8">
        <w:rPr>
          <w:sz w:val="20"/>
        </w:rPr>
        <w:t xml:space="preserve"> gift of other intangibles/taxidermy</w:t>
      </w:r>
    </w:p>
    <w:p w14:paraId="38CC620D" w14:textId="25B5FF1F" w:rsidR="004E263E" w:rsidRDefault="004E263E" w:rsidP="00BF066E">
      <w:pPr>
        <w:pStyle w:val="ListParagraph"/>
        <w:numPr>
          <w:ilvl w:val="2"/>
          <w:numId w:val="15"/>
        </w:numPr>
        <w:rPr>
          <w:sz w:val="20"/>
        </w:rPr>
      </w:pPr>
      <w:r>
        <w:rPr>
          <w:sz w:val="20"/>
        </w:rPr>
        <w:t xml:space="preserve">All other property </w:t>
      </w:r>
      <w:r w:rsidR="00966BBB">
        <w:rPr>
          <w:sz w:val="20"/>
        </w:rPr>
        <w:t xml:space="preserve">with long-term capital gain </w:t>
      </w:r>
      <w:r>
        <w:rPr>
          <w:sz w:val="20"/>
        </w:rPr>
        <w:t>(real property, securities, etc.) get a double benefit – neither donor nor donee will be taxed on appreciation of asset</w:t>
      </w:r>
    </w:p>
    <w:p w14:paraId="56E87359" w14:textId="21F7C4C6" w:rsidR="00A24AAD" w:rsidRDefault="004E263E" w:rsidP="00BF066E">
      <w:pPr>
        <w:pStyle w:val="ListParagraph"/>
        <w:numPr>
          <w:ilvl w:val="3"/>
          <w:numId w:val="15"/>
        </w:numPr>
        <w:rPr>
          <w:sz w:val="20"/>
        </w:rPr>
      </w:pPr>
      <w:r>
        <w:rPr>
          <w:sz w:val="20"/>
        </w:rPr>
        <w:t>Charities that receive donations from wealthy individuals argue that the double benefit is necessary – otherwise, wealthy people will just not donate and realize a stepped-up basis when they die</w:t>
      </w:r>
    </w:p>
    <w:p w14:paraId="3944B619" w14:textId="69AADB4F" w:rsidR="00667014" w:rsidRDefault="00667014" w:rsidP="00BF066E">
      <w:pPr>
        <w:pStyle w:val="ListParagraph"/>
        <w:numPr>
          <w:ilvl w:val="3"/>
          <w:numId w:val="15"/>
        </w:numPr>
        <w:rPr>
          <w:sz w:val="20"/>
        </w:rPr>
      </w:pPr>
      <w:r>
        <w:rPr>
          <w:sz w:val="20"/>
        </w:rPr>
        <w:t>If capital gain property not within (e)(1)(B) is donated, total amount of deductible contributions is limited to 30% of AGI - §170(b)(1)(C)(</w:t>
      </w:r>
      <w:proofErr w:type="spellStart"/>
      <w:r>
        <w:rPr>
          <w:sz w:val="20"/>
        </w:rPr>
        <w:t>i</w:t>
      </w:r>
      <w:proofErr w:type="spellEnd"/>
      <w:r>
        <w:rPr>
          <w:sz w:val="20"/>
        </w:rPr>
        <w:t>)</w:t>
      </w:r>
    </w:p>
    <w:p w14:paraId="736CDF33" w14:textId="63E622AC" w:rsidR="00966BBB" w:rsidRPr="00966BBB" w:rsidRDefault="00966BBB" w:rsidP="00BF066E">
      <w:pPr>
        <w:pStyle w:val="ListParagraph"/>
        <w:numPr>
          <w:ilvl w:val="2"/>
          <w:numId w:val="15"/>
        </w:numPr>
        <w:rPr>
          <w:sz w:val="20"/>
        </w:rPr>
      </w:pPr>
      <w:r>
        <w:rPr>
          <w:sz w:val="20"/>
        </w:rPr>
        <w:t xml:space="preserve">Only gifts of capital – NOT labor – are deductible (i.e., if artist donates painting, no capital asset, therefore no double benefit)   </w:t>
      </w:r>
    </w:p>
    <w:p w14:paraId="33D36934" w14:textId="10489A67" w:rsidR="004F3695" w:rsidRDefault="00A24AAD" w:rsidP="00BF066E">
      <w:pPr>
        <w:pStyle w:val="ListParagraph"/>
        <w:numPr>
          <w:ilvl w:val="1"/>
          <w:numId w:val="15"/>
        </w:numPr>
        <w:rPr>
          <w:sz w:val="20"/>
        </w:rPr>
      </w:pPr>
      <w:r>
        <w:rPr>
          <w:sz w:val="20"/>
        </w:rPr>
        <w:t>Bargain sales to charities</w:t>
      </w:r>
      <w:r w:rsidR="002F060E">
        <w:rPr>
          <w:sz w:val="20"/>
        </w:rPr>
        <w:t xml:space="preserve"> of appreciated property result</w:t>
      </w:r>
      <w:r>
        <w:rPr>
          <w:sz w:val="20"/>
        </w:rPr>
        <w:t xml:space="preserve"> in gain proportional to amount realized over FMV – if property is sold for</w:t>
      </w:r>
      <w:r w:rsidR="002F060E">
        <w:rPr>
          <w:sz w:val="20"/>
        </w:rPr>
        <w:t xml:space="preserve"> 50% of FMV, 50% of basis is</w:t>
      </w:r>
      <w:r>
        <w:rPr>
          <w:sz w:val="20"/>
        </w:rPr>
        <w:t xml:space="preserve"> used, and the rest is taxed as gain</w:t>
      </w:r>
    </w:p>
    <w:p w14:paraId="176FF1E3" w14:textId="1677F446" w:rsidR="00711A7D" w:rsidRDefault="00711A7D" w:rsidP="00BF066E">
      <w:pPr>
        <w:pStyle w:val="ListParagraph"/>
        <w:numPr>
          <w:ilvl w:val="1"/>
          <w:numId w:val="15"/>
        </w:numPr>
        <w:rPr>
          <w:sz w:val="20"/>
        </w:rPr>
      </w:pPr>
      <w:r>
        <w:rPr>
          <w:sz w:val="20"/>
        </w:rPr>
        <w:t>80% of the contribution is allowable as a deduction if contribution is to an educational institution that allows donor generally unavailable opportunity to purchase tickets to sports events</w:t>
      </w:r>
      <w:r w:rsidR="00393734">
        <w:rPr>
          <w:sz w:val="20"/>
        </w:rPr>
        <w:t xml:space="preserve"> - §170(l)</w:t>
      </w:r>
    </w:p>
    <w:p w14:paraId="391000D7" w14:textId="07155B76" w:rsidR="00457437" w:rsidRPr="00457437" w:rsidRDefault="00B04EC5" w:rsidP="00457437">
      <w:pPr>
        <w:pStyle w:val="Heading3"/>
        <w:rPr>
          <w:sz w:val="22"/>
        </w:rPr>
      </w:pPr>
      <w:r>
        <w:rPr>
          <w:sz w:val="22"/>
        </w:rPr>
        <w:lastRenderedPageBreak/>
        <w:t>Computation of Tax</w:t>
      </w:r>
    </w:p>
    <w:p w14:paraId="2309DB47" w14:textId="4C972B98" w:rsidR="00457437" w:rsidRPr="00457437" w:rsidRDefault="00457437" w:rsidP="00457437">
      <w:pPr>
        <w:spacing w:after="0" w:line="240" w:lineRule="auto"/>
        <w:ind w:left="720"/>
        <w:rPr>
          <w:rFonts w:ascii="Courier New" w:hAnsi="Courier New"/>
          <w:sz w:val="20"/>
        </w:rPr>
      </w:pPr>
      <w:r>
        <w:rPr>
          <w:rFonts w:ascii="Courier New" w:hAnsi="Courier New"/>
          <w:noProof/>
          <w:sz w:val="20"/>
        </w:rPr>
        <mc:AlternateContent>
          <mc:Choice Requires="wps">
            <w:drawing>
              <wp:anchor distT="0" distB="0" distL="114300" distR="114300" simplePos="0" relativeHeight="251672576" behindDoc="0" locked="0" layoutInCell="1" allowOverlap="1" wp14:anchorId="48DFC000" wp14:editId="05853527">
                <wp:simplePos x="0" y="0"/>
                <wp:positionH relativeFrom="column">
                  <wp:posOffset>4057650</wp:posOffset>
                </wp:positionH>
                <wp:positionV relativeFrom="paragraph">
                  <wp:posOffset>224790</wp:posOffset>
                </wp:positionV>
                <wp:extent cx="349250" cy="127000"/>
                <wp:effectExtent l="0" t="0" r="31750" b="25400"/>
                <wp:wrapNone/>
                <wp:docPr id="14" name="Straight Connector 14"/>
                <wp:cNvGraphicFramePr/>
                <a:graphic xmlns:a="http://schemas.openxmlformats.org/drawingml/2006/main">
                  <a:graphicData uri="http://schemas.microsoft.com/office/word/2010/wordprocessingShape">
                    <wps:wsp>
                      <wps:cNvCnPr/>
                      <wps:spPr>
                        <a:xfrm>
                          <a:off x="0" y="0"/>
                          <a:ext cx="349250" cy="1270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4D775A" id="Straight Connector 1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9.5pt,17.7pt" to="347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" strokecolor="#5b9bd5 [3204]" strokeweight="1pt">
                <v:stroke joinstyle="miter"/>
              </v:line>
            </w:pict>
          </mc:Fallback>
        </mc:AlternateContent>
      </w:r>
      <w:r>
        <w:rPr>
          <w:rFonts w:ascii="Courier New" w:hAnsi="Courier New"/>
          <w:noProof/>
          <w:sz w:val="20"/>
        </w:rPr>
        <w:drawing>
          <wp:inline distT="0" distB="0" distL="0" distR="0" wp14:anchorId="7E8FE961" wp14:editId="4E0686EC">
            <wp:extent cx="5486400" cy="863600"/>
            <wp:effectExtent l="57150" t="0" r="19050" b="0"/>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733EEC34" w14:textId="5146C53F" w:rsidR="00606A18" w:rsidRPr="00606A18" w:rsidRDefault="00606A18" w:rsidP="001534E4">
      <w:pPr>
        <w:pStyle w:val="ListParagraph"/>
        <w:numPr>
          <w:ilvl w:val="0"/>
          <w:numId w:val="18"/>
        </w:numPr>
        <w:spacing w:after="0"/>
      </w:pPr>
      <w:r>
        <w:rPr>
          <w:sz w:val="20"/>
        </w:rPr>
        <w:t>There are four basic justifications for a progressive income tax structure:</w:t>
      </w:r>
    </w:p>
    <w:p w14:paraId="0A983999" w14:textId="6FBE0AE7" w:rsidR="00606A18" w:rsidRPr="00606A18" w:rsidRDefault="00606A18" w:rsidP="001534E4">
      <w:pPr>
        <w:pStyle w:val="ListParagraph"/>
        <w:numPr>
          <w:ilvl w:val="1"/>
          <w:numId w:val="18"/>
        </w:numPr>
        <w:spacing w:after="0"/>
      </w:pPr>
      <w:r>
        <w:rPr>
          <w:sz w:val="20"/>
        </w:rPr>
        <w:t>E</w:t>
      </w:r>
      <w:r w:rsidRPr="00606A18">
        <w:rPr>
          <w:sz w:val="20"/>
        </w:rPr>
        <w:t>ssential to taxation based on ability to pay</w:t>
      </w:r>
    </w:p>
    <w:p w14:paraId="0CE64F78" w14:textId="405423F3" w:rsidR="00606A18" w:rsidRPr="00606A18" w:rsidRDefault="00606A18" w:rsidP="001534E4">
      <w:pPr>
        <w:numPr>
          <w:ilvl w:val="1"/>
          <w:numId w:val="18"/>
        </w:numPr>
        <w:spacing w:after="0"/>
        <w:rPr>
          <w:rFonts w:ascii="Courier New" w:hAnsi="Courier New"/>
          <w:sz w:val="20"/>
        </w:rPr>
      </w:pPr>
      <w:r>
        <w:rPr>
          <w:sz w:val="20"/>
        </w:rPr>
        <w:t>D</w:t>
      </w:r>
      <w:r w:rsidRPr="00606A18">
        <w:rPr>
          <w:sz w:val="20"/>
        </w:rPr>
        <w:t>eliberate mechanism for reducing economic inequalities</w:t>
      </w:r>
    </w:p>
    <w:p w14:paraId="7A835A80" w14:textId="3F0BDC43" w:rsidR="00606A18" w:rsidRPr="00606A18" w:rsidRDefault="00606A18" w:rsidP="001534E4">
      <w:pPr>
        <w:numPr>
          <w:ilvl w:val="1"/>
          <w:numId w:val="18"/>
        </w:numPr>
        <w:spacing w:after="0"/>
        <w:rPr>
          <w:rFonts w:ascii="Courier New" w:hAnsi="Courier New"/>
          <w:sz w:val="20"/>
        </w:rPr>
      </w:pPr>
      <w:r>
        <w:rPr>
          <w:sz w:val="20"/>
        </w:rPr>
        <w:t>Equalize</w:t>
      </w:r>
      <w:r w:rsidRPr="00606A18">
        <w:rPr>
          <w:sz w:val="20"/>
        </w:rPr>
        <w:t xml:space="preserve"> overall tax burden by offsetting effects of more regressive taxes (</w:t>
      </w:r>
      <w:r>
        <w:rPr>
          <w:sz w:val="20"/>
        </w:rPr>
        <w:t xml:space="preserve">federal payroll taxes, state/local sales taxes, </w:t>
      </w:r>
      <w:r w:rsidRPr="00606A18">
        <w:rPr>
          <w:sz w:val="20"/>
        </w:rPr>
        <w:t>property taxes</w:t>
      </w:r>
      <w:r>
        <w:rPr>
          <w:sz w:val="20"/>
        </w:rPr>
        <w:t>, etc.</w:t>
      </w:r>
      <w:r w:rsidRPr="00606A18">
        <w:rPr>
          <w:sz w:val="20"/>
        </w:rPr>
        <w:t>)</w:t>
      </w:r>
    </w:p>
    <w:p w14:paraId="0CB2B311" w14:textId="623C185A" w:rsidR="00606A18" w:rsidRPr="004F0427" w:rsidRDefault="00606A18" w:rsidP="001534E4">
      <w:pPr>
        <w:numPr>
          <w:ilvl w:val="1"/>
          <w:numId w:val="18"/>
        </w:numPr>
        <w:spacing w:after="0"/>
        <w:rPr>
          <w:rFonts w:ascii="Courier New" w:hAnsi="Courier New"/>
          <w:sz w:val="20"/>
        </w:rPr>
      </w:pPr>
      <w:r>
        <w:rPr>
          <w:sz w:val="20"/>
        </w:rPr>
        <w:t>Benefits of government</w:t>
      </w:r>
      <w:r w:rsidRPr="00606A18">
        <w:rPr>
          <w:sz w:val="20"/>
        </w:rPr>
        <w:t xml:space="preserve"> expenditur</w:t>
      </w:r>
      <w:r>
        <w:rPr>
          <w:sz w:val="20"/>
        </w:rPr>
        <w:t>es may increase progressively with income</w:t>
      </w:r>
    </w:p>
    <w:p w14:paraId="26A27B55" w14:textId="0F7835B6" w:rsidR="004F0427" w:rsidRPr="004F0427" w:rsidRDefault="004F0427" w:rsidP="001534E4">
      <w:pPr>
        <w:numPr>
          <w:ilvl w:val="0"/>
          <w:numId w:val="18"/>
        </w:numPr>
        <w:spacing w:after="0"/>
        <w:rPr>
          <w:rFonts w:ascii="Courier New" w:hAnsi="Courier New"/>
          <w:sz w:val="20"/>
        </w:rPr>
      </w:pPr>
      <w:r>
        <w:rPr>
          <w:sz w:val="20"/>
        </w:rPr>
        <w:t>§62(a) provides a list of expenses that may be deducted “above the line” in calculating AGI. They include</w:t>
      </w:r>
      <w:r w:rsidR="00AF0933">
        <w:rPr>
          <w:sz w:val="20"/>
        </w:rPr>
        <w:t xml:space="preserve"> (but are not limited to)</w:t>
      </w:r>
      <w:r>
        <w:rPr>
          <w:sz w:val="20"/>
        </w:rPr>
        <w:t>: trade/business deductions, losses from sale/exchange of property, alimony, moving expenses (§217), education loan interest (§221)</w:t>
      </w:r>
      <w:r w:rsidR="007B2F36">
        <w:rPr>
          <w:sz w:val="20"/>
        </w:rPr>
        <w:t>, education expenses (§222), HSAs (§223)</w:t>
      </w:r>
    </w:p>
    <w:p w14:paraId="79EA1165" w14:textId="320477EB" w:rsidR="004F0427" w:rsidRPr="00CE332A" w:rsidRDefault="004F0427" w:rsidP="001534E4">
      <w:pPr>
        <w:numPr>
          <w:ilvl w:val="1"/>
          <w:numId w:val="18"/>
        </w:numPr>
        <w:spacing w:after="0"/>
      </w:pPr>
      <w:r>
        <w:rPr>
          <w:sz w:val="20"/>
        </w:rPr>
        <w:t>Employee business expenses may be deducted above the line if reimbursed by employer – unreimbursed expenses must be itemized deductions</w:t>
      </w:r>
    </w:p>
    <w:p w14:paraId="6FCABD2C" w14:textId="75B8BD5B" w:rsidR="004F0427" w:rsidRPr="004F0427" w:rsidRDefault="004F0427" w:rsidP="001534E4">
      <w:pPr>
        <w:numPr>
          <w:ilvl w:val="2"/>
          <w:numId w:val="18"/>
        </w:numPr>
        <w:spacing w:after="0"/>
      </w:pPr>
      <w:r>
        <w:rPr>
          <w:i/>
          <w:sz w:val="20"/>
        </w:rPr>
        <w:t xml:space="preserve">Huge </w:t>
      </w:r>
      <w:r>
        <w:rPr>
          <w:sz w:val="20"/>
        </w:rPr>
        <w:t xml:space="preserve">pressure for employers to reimburse expenses, especially because below-the-line business expense deductions will </w:t>
      </w:r>
      <w:r>
        <w:rPr>
          <w:i/>
          <w:sz w:val="20"/>
        </w:rPr>
        <w:t xml:space="preserve">also </w:t>
      </w:r>
      <w:r>
        <w:rPr>
          <w:sz w:val="20"/>
        </w:rPr>
        <w:t>be subject to the 2% floor</w:t>
      </w:r>
    </w:p>
    <w:p w14:paraId="2D0A6F81" w14:textId="552F7EA5" w:rsidR="00D66BD1" w:rsidRPr="00D66BD1" w:rsidRDefault="001534E4" w:rsidP="001534E4">
      <w:pPr>
        <w:numPr>
          <w:ilvl w:val="0"/>
          <w:numId w:val="18"/>
        </w:numPr>
        <w:spacing w:after="0"/>
      </w:pPr>
      <w:r>
        <w:rPr>
          <w:sz w:val="20"/>
        </w:rPr>
        <w:t>S</w:t>
      </w:r>
      <w:r w:rsidR="00D66BD1">
        <w:rPr>
          <w:sz w:val="20"/>
        </w:rPr>
        <w:t>tandard deduction is a tool for administrative</w:t>
      </w:r>
      <w:r>
        <w:rPr>
          <w:sz w:val="20"/>
        </w:rPr>
        <w:t xml:space="preserve"> convenience and simplicity – adjustment of</w:t>
      </w:r>
      <w:r w:rsidR="00D66BD1">
        <w:rPr>
          <w:sz w:val="20"/>
        </w:rPr>
        <w:t xml:space="preserve"> rate schedule</w:t>
      </w:r>
    </w:p>
    <w:p w14:paraId="7EE5C15A" w14:textId="7DEB07A4" w:rsidR="008751FB" w:rsidRPr="00457437" w:rsidRDefault="008751FB" w:rsidP="001534E4">
      <w:pPr>
        <w:numPr>
          <w:ilvl w:val="0"/>
          <w:numId w:val="18"/>
        </w:numPr>
        <w:spacing w:after="0"/>
      </w:pPr>
      <w:r>
        <w:rPr>
          <w:sz w:val="20"/>
        </w:rPr>
        <w:t xml:space="preserve">Itemized deductions are those </w:t>
      </w:r>
      <w:r>
        <w:rPr>
          <w:b/>
          <w:sz w:val="20"/>
        </w:rPr>
        <w:t xml:space="preserve">not </w:t>
      </w:r>
      <w:r>
        <w:rPr>
          <w:sz w:val="20"/>
        </w:rPr>
        <w:t xml:space="preserve">included in </w:t>
      </w:r>
      <w:r w:rsidR="004F0427">
        <w:rPr>
          <w:sz w:val="20"/>
        </w:rPr>
        <w:t xml:space="preserve">above-the-line deductions </w:t>
      </w:r>
      <w:r>
        <w:rPr>
          <w:sz w:val="20"/>
        </w:rPr>
        <w:t>and personal exemptions</w:t>
      </w:r>
    </w:p>
    <w:p w14:paraId="51168143" w14:textId="50C403E8" w:rsidR="00457437" w:rsidRPr="00D2772D" w:rsidRDefault="00457437" w:rsidP="001534E4">
      <w:pPr>
        <w:numPr>
          <w:ilvl w:val="1"/>
          <w:numId w:val="18"/>
        </w:numPr>
        <w:spacing w:after="0"/>
      </w:pPr>
      <w:r>
        <w:rPr>
          <w:sz w:val="20"/>
        </w:rPr>
        <w:t xml:space="preserve">Miscellaneous itemized </w:t>
      </w:r>
      <w:r w:rsidR="00370A45">
        <w:rPr>
          <w:sz w:val="20"/>
        </w:rPr>
        <w:t>deductions only allowed if</w:t>
      </w:r>
      <w:r>
        <w:rPr>
          <w:sz w:val="20"/>
        </w:rPr>
        <w:t xml:space="preserve"> they exceed 2% of AGI - §67(a)</w:t>
      </w:r>
    </w:p>
    <w:p w14:paraId="1C23DC95" w14:textId="2B1FEF96" w:rsidR="00D2772D" w:rsidRPr="00370A45" w:rsidRDefault="00D2772D" w:rsidP="001534E4">
      <w:pPr>
        <w:numPr>
          <w:ilvl w:val="2"/>
          <w:numId w:val="18"/>
        </w:numPr>
        <w:spacing w:after="0"/>
      </w:pPr>
      <w:r>
        <w:rPr>
          <w:sz w:val="20"/>
        </w:rPr>
        <w:t>Exceptions to 2% floor include</w:t>
      </w:r>
      <w:r w:rsidR="00AF0933">
        <w:rPr>
          <w:sz w:val="20"/>
        </w:rPr>
        <w:t xml:space="preserve"> (but not limited to)</w:t>
      </w:r>
      <w:r>
        <w:rPr>
          <w:sz w:val="20"/>
        </w:rPr>
        <w:t>: Interest, taxes, casualty/theft losses, charitable contributions, medical/dental expenses</w:t>
      </w:r>
      <w:r w:rsidR="00205DB3">
        <w:rPr>
          <w:sz w:val="20"/>
        </w:rPr>
        <w:t xml:space="preserve"> - §67(b)</w:t>
      </w:r>
    </w:p>
    <w:p w14:paraId="68D21F49" w14:textId="2C8687A3" w:rsidR="00370A45" w:rsidRPr="00370A45" w:rsidRDefault="00370A45" w:rsidP="001534E4">
      <w:pPr>
        <w:numPr>
          <w:ilvl w:val="1"/>
          <w:numId w:val="18"/>
        </w:numPr>
        <w:spacing w:after="0"/>
      </w:pPr>
      <w:r>
        <w:rPr>
          <w:sz w:val="20"/>
        </w:rPr>
        <w:t>Subject to a phase out of 3% of excess of AGI over a specified threshold</w:t>
      </w:r>
      <w:r w:rsidR="00BD4E15">
        <w:rPr>
          <w:sz w:val="20"/>
        </w:rPr>
        <w:t xml:space="preserve"> up to maximum of 80% of itemized deductions</w:t>
      </w:r>
      <w:r w:rsidR="00DF2863">
        <w:rPr>
          <w:sz w:val="20"/>
        </w:rPr>
        <w:t xml:space="preserve"> - </w:t>
      </w:r>
      <w:r w:rsidR="00205DB3">
        <w:rPr>
          <w:sz w:val="20"/>
        </w:rPr>
        <w:t>§68(a)</w:t>
      </w:r>
    </w:p>
    <w:p w14:paraId="623C4472" w14:textId="70C2C98C" w:rsidR="00370A45" w:rsidRPr="00DF2863" w:rsidRDefault="00370A45" w:rsidP="001534E4">
      <w:pPr>
        <w:numPr>
          <w:ilvl w:val="2"/>
          <w:numId w:val="18"/>
        </w:numPr>
        <w:spacing w:after="0"/>
      </w:pPr>
      <w:r>
        <w:rPr>
          <w:sz w:val="20"/>
        </w:rPr>
        <w:t>Medical/dental expenses, investment interest deductions, and casualty/theft losses are not subject to the phase out</w:t>
      </w:r>
      <w:r w:rsidR="00DF2863">
        <w:rPr>
          <w:sz w:val="20"/>
        </w:rPr>
        <w:t xml:space="preserve"> - §68(c)</w:t>
      </w:r>
    </w:p>
    <w:p w14:paraId="532B9934" w14:textId="7DDC9EB1" w:rsidR="00A64103" w:rsidRPr="00D66BD1" w:rsidRDefault="00A64103" w:rsidP="001534E4">
      <w:pPr>
        <w:numPr>
          <w:ilvl w:val="2"/>
          <w:numId w:val="18"/>
        </w:numPr>
        <w:spacing w:after="0"/>
      </w:pPr>
      <w:r>
        <w:rPr>
          <w:sz w:val="20"/>
        </w:rPr>
        <w:t>Phase outs act as a kind of “bonus tax” on wealthy taxpayers – makes it difficult to know what the actual tax rate is</w:t>
      </w:r>
    </w:p>
    <w:p w14:paraId="2E651F31" w14:textId="030532E9" w:rsidR="00D66BD1" w:rsidRPr="00B4600E" w:rsidRDefault="00D61CDC" w:rsidP="001534E4">
      <w:pPr>
        <w:numPr>
          <w:ilvl w:val="0"/>
          <w:numId w:val="18"/>
        </w:numPr>
        <w:spacing w:after="0"/>
      </w:pPr>
      <w:r>
        <w:rPr>
          <w:sz w:val="20"/>
        </w:rPr>
        <w:t>P</w:t>
      </w:r>
      <w:r w:rsidR="00D66BD1">
        <w:rPr>
          <w:sz w:val="20"/>
        </w:rPr>
        <w:t>ersonal deductions are subsidies for those with only subsistence income – especially with children</w:t>
      </w:r>
    </w:p>
    <w:p w14:paraId="18652C9F" w14:textId="1EE4FF0C" w:rsidR="00B4600E" w:rsidRPr="00BD4E15" w:rsidRDefault="00B4600E" w:rsidP="001534E4">
      <w:pPr>
        <w:numPr>
          <w:ilvl w:val="1"/>
          <w:numId w:val="18"/>
        </w:numPr>
        <w:spacing w:after="0"/>
      </w:pPr>
      <w:r>
        <w:rPr>
          <w:sz w:val="20"/>
        </w:rPr>
        <w:t>Family size is only taken into account when considering the number of personal exemptions – should family size be changed to</w:t>
      </w:r>
      <w:r w:rsidR="00DD59B8">
        <w:rPr>
          <w:sz w:val="20"/>
        </w:rPr>
        <w:t xml:space="preserve"> an “above-the-line” deduction?</w:t>
      </w:r>
    </w:p>
    <w:p w14:paraId="58433181" w14:textId="333C8916" w:rsidR="00BD4E15" w:rsidRDefault="00BD4E15" w:rsidP="001534E4">
      <w:pPr>
        <w:numPr>
          <w:ilvl w:val="1"/>
          <w:numId w:val="18"/>
        </w:numPr>
        <w:spacing w:after="0"/>
      </w:pPr>
      <w:r>
        <w:rPr>
          <w:sz w:val="20"/>
        </w:rPr>
        <w:t xml:space="preserve">Personal, spouse and dependent exemptions are also all phased out upon reaching §68 threshold </w:t>
      </w:r>
      <w:r w:rsidR="004922E9">
        <w:rPr>
          <w:sz w:val="20"/>
        </w:rPr>
        <w:t>at 2% per $2500</w:t>
      </w:r>
      <w:r w:rsidR="00916117">
        <w:rPr>
          <w:sz w:val="20"/>
        </w:rPr>
        <w:t xml:space="preserve"> over threshold</w:t>
      </w:r>
      <w:r>
        <w:rPr>
          <w:sz w:val="20"/>
        </w:rPr>
        <w:t>- §151(d)(3)</w:t>
      </w:r>
    </w:p>
    <w:p w14:paraId="6B83500E" w14:textId="2E9ABA67" w:rsidR="00CE332A" w:rsidRPr="00187375" w:rsidRDefault="00CE332A" w:rsidP="001534E4">
      <w:pPr>
        <w:numPr>
          <w:ilvl w:val="0"/>
          <w:numId w:val="18"/>
        </w:numPr>
        <w:spacing w:after="0"/>
        <w:rPr>
          <w:rFonts w:ascii="Courier New" w:hAnsi="Courier New"/>
          <w:sz w:val="20"/>
        </w:rPr>
      </w:pPr>
      <w:r>
        <w:rPr>
          <w:sz w:val="20"/>
        </w:rPr>
        <w:t>§1411 places an additional Medicare tax (3.8%) for if AGI is greater than threshold amount on net investment income or AGI above threshold</w:t>
      </w:r>
    </w:p>
    <w:p w14:paraId="2978CF45" w14:textId="725CD0D2" w:rsidR="00CE332A" w:rsidRPr="00916117" w:rsidRDefault="00CE332A" w:rsidP="001534E4">
      <w:pPr>
        <w:numPr>
          <w:ilvl w:val="1"/>
          <w:numId w:val="18"/>
        </w:numPr>
        <w:spacing w:after="0"/>
      </w:pPr>
      <w:r>
        <w:rPr>
          <w:sz w:val="20"/>
        </w:rPr>
        <w:t>Attempts to place a burden on capital income that already exists on labor income</w:t>
      </w:r>
    </w:p>
    <w:p w14:paraId="6DC3FC6D" w14:textId="4A3D3D58" w:rsidR="00916117" w:rsidRPr="00916117" w:rsidRDefault="00916117" w:rsidP="001534E4">
      <w:pPr>
        <w:numPr>
          <w:ilvl w:val="0"/>
          <w:numId w:val="18"/>
        </w:numPr>
        <w:spacing w:after="0"/>
      </w:pPr>
      <w:r>
        <w:rPr>
          <w:sz w:val="20"/>
        </w:rPr>
        <w:t>AMT was designed to ensure that people could not credit/deduct themselves out of tax liability</w:t>
      </w:r>
    </w:p>
    <w:p w14:paraId="356F8D7B" w14:textId="7293340D" w:rsidR="00916117" w:rsidRPr="00916117" w:rsidRDefault="00916117" w:rsidP="001534E4">
      <w:pPr>
        <w:numPr>
          <w:ilvl w:val="1"/>
          <w:numId w:val="18"/>
        </w:numPr>
        <w:spacing w:after="0"/>
      </w:pPr>
      <w:r>
        <w:rPr>
          <w:sz w:val="20"/>
        </w:rPr>
        <w:t>Due to lack of inflation adjustment, AMT now hurts many more middle-class individuals than intended, but Congress can’t change it because it is such a huge revenue source</w:t>
      </w:r>
    </w:p>
    <w:p w14:paraId="1440DA4D" w14:textId="3809BDBE" w:rsidR="00916117" w:rsidRPr="006108E3" w:rsidRDefault="00916117" w:rsidP="001534E4">
      <w:pPr>
        <w:numPr>
          <w:ilvl w:val="1"/>
          <w:numId w:val="18"/>
        </w:numPr>
        <w:spacing w:after="0"/>
      </w:pPr>
      <w:r>
        <w:rPr>
          <w:sz w:val="20"/>
        </w:rPr>
        <w:t xml:space="preserve">Rates are lower (26% before $175k, 28% after) </w:t>
      </w:r>
      <w:r w:rsidR="003A5B98">
        <w:rPr>
          <w:sz w:val="20"/>
        </w:rPr>
        <w:t>but base is</w:t>
      </w:r>
      <w:r>
        <w:rPr>
          <w:sz w:val="20"/>
        </w:rPr>
        <w:t xml:space="preserve"> broader (fewer deductions)</w:t>
      </w:r>
      <w:r w:rsidR="003A5B98">
        <w:rPr>
          <w:sz w:val="20"/>
        </w:rPr>
        <w:t xml:space="preserve"> - §55(b)</w:t>
      </w:r>
    </w:p>
    <w:p w14:paraId="3117493D" w14:textId="1909EF9D" w:rsidR="006108E3" w:rsidRPr="0016768B" w:rsidRDefault="006108E3" w:rsidP="001534E4">
      <w:pPr>
        <w:numPr>
          <w:ilvl w:val="2"/>
          <w:numId w:val="18"/>
        </w:numPr>
        <w:spacing w:after="0"/>
      </w:pPr>
      <w:r>
        <w:rPr>
          <w:sz w:val="20"/>
        </w:rPr>
        <w:t>Depreciation deduction is reduced to 150% declining method</w:t>
      </w:r>
      <w:r w:rsidR="00C52338">
        <w:rPr>
          <w:sz w:val="20"/>
        </w:rPr>
        <w:t xml:space="preserve"> - §56(a)(1)(A)(ii)</w:t>
      </w:r>
    </w:p>
    <w:p w14:paraId="38C80F65" w14:textId="17AEB210" w:rsidR="00D50576" w:rsidRPr="006108E3" w:rsidRDefault="0016768B" w:rsidP="001534E4">
      <w:pPr>
        <w:numPr>
          <w:ilvl w:val="2"/>
          <w:numId w:val="18"/>
        </w:numPr>
        <w:spacing w:after="0"/>
      </w:pPr>
      <w:r>
        <w:rPr>
          <w:sz w:val="20"/>
        </w:rPr>
        <w:t xml:space="preserve">No miscellaneous itemized deductions (§67b), no qualified housing interest deduction, </w:t>
      </w:r>
      <w:r w:rsidR="00D50576">
        <w:rPr>
          <w:sz w:val="20"/>
        </w:rPr>
        <w:t xml:space="preserve">no state/local tax exemptions, </w:t>
      </w:r>
      <w:r w:rsidR="002F060E">
        <w:rPr>
          <w:sz w:val="20"/>
        </w:rPr>
        <w:t>and no standard deduction/</w:t>
      </w:r>
      <w:r>
        <w:rPr>
          <w:sz w:val="20"/>
        </w:rPr>
        <w:t>personal exemptions</w:t>
      </w:r>
      <w:r w:rsidR="00DD71E1">
        <w:rPr>
          <w:sz w:val="20"/>
        </w:rPr>
        <w:t xml:space="preserve"> - §56(b)</w:t>
      </w:r>
      <w:r w:rsidR="00F84457">
        <w:rPr>
          <w:sz w:val="20"/>
        </w:rPr>
        <w:t xml:space="preserve"> </w:t>
      </w:r>
    </w:p>
    <w:p w14:paraId="1E46F15A" w14:textId="33C19864" w:rsidR="006108E3" w:rsidRPr="00D9585D" w:rsidRDefault="006108E3" w:rsidP="001534E4">
      <w:pPr>
        <w:numPr>
          <w:ilvl w:val="1"/>
          <w:numId w:val="18"/>
        </w:numPr>
        <w:spacing w:after="0"/>
      </w:pPr>
      <w:r>
        <w:rPr>
          <w:sz w:val="20"/>
        </w:rPr>
        <w:t>For corporations, AMT rate is 20% above exemption amount</w:t>
      </w:r>
    </w:p>
    <w:p w14:paraId="24FFFF55" w14:textId="1AB282A6" w:rsidR="00D9585D" w:rsidRPr="00D9585D" w:rsidRDefault="00D9585D" w:rsidP="001534E4">
      <w:pPr>
        <w:numPr>
          <w:ilvl w:val="0"/>
          <w:numId w:val="18"/>
        </w:numPr>
        <w:spacing w:after="0"/>
      </w:pPr>
      <w:r>
        <w:rPr>
          <w:sz w:val="20"/>
        </w:rPr>
        <w:t>Three broad categories of tax credits: status, credits for certain purchases, and working credits</w:t>
      </w:r>
    </w:p>
    <w:p w14:paraId="4D4ADE57" w14:textId="595D1D1E" w:rsidR="00D9585D" w:rsidRPr="00D9585D" w:rsidRDefault="00D9585D" w:rsidP="001534E4">
      <w:pPr>
        <w:numPr>
          <w:ilvl w:val="1"/>
          <w:numId w:val="18"/>
        </w:numPr>
        <w:spacing w:after="0"/>
      </w:pPr>
      <w:r>
        <w:rPr>
          <w:sz w:val="20"/>
        </w:rPr>
        <w:t>Earned income credit (EIC) increases with earned income, then decreases according to a phase out percentage. The phase out amounts are adjusted for inflation §32</w:t>
      </w:r>
    </w:p>
    <w:p w14:paraId="5ADFF128" w14:textId="6D1F6EF6" w:rsidR="00D9585D" w:rsidRPr="00D9585D" w:rsidRDefault="00D9585D" w:rsidP="001534E4">
      <w:pPr>
        <w:numPr>
          <w:ilvl w:val="2"/>
          <w:numId w:val="18"/>
        </w:numPr>
        <w:spacing w:after="0"/>
      </w:pPr>
      <w:r>
        <w:rPr>
          <w:sz w:val="20"/>
        </w:rPr>
        <w:lastRenderedPageBreak/>
        <w:t>Amount of credit increases for 1 and 2+ children</w:t>
      </w:r>
      <w:r w:rsidR="00995CA7">
        <w:rPr>
          <w:sz w:val="20"/>
        </w:rPr>
        <w:t xml:space="preserve"> – currently has a temporary credit percentage increase for 3+ children </w:t>
      </w:r>
    </w:p>
    <w:p w14:paraId="376EF035" w14:textId="07C1DE83" w:rsidR="00D9585D" w:rsidRPr="006E7ACC" w:rsidRDefault="00D9585D" w:rsidP="001534E4">
      <w:pPr>
        <w:numPr>
          <w:ilvl w:val="2"/>
          <w:numId w:val="18"/>
        </w:numPr>
        <w:spacing w:after="0"/>
      </w:pPr>
      <w:r>
        <w:rPr>
          <w:sz w:val="20"/>
        </w:rPr>
        <w:t>Originally used as a way to reduce the burden of payroll taxes on the working poor – now primarily seen as insuring a minimum subsistence level for poor workers</w:t>
      </w:r>
    </w:p>
    <w:p w14:paraId="7963C947" w14:textId="1C630FCD" w:rsidR="003F5C4A" w:rsidRPr="003F5C4A" w:rsidRDefault="003F5C4A" w:rsidP="001534E4">
      <w:pPr>
        <w:numPr>
          <w:ilvl w:val="1"/>
          <w:numId w:val="18"/>
        </w:numPr>
        <w:spacing w:after="0"/>
      </w:pPr>
      <w:r>
        <w:rPr>
          <w:sz w:val="20"/>
        </w:rPr>
        <w:t>Similar to the EIC, §21 provides a credit designed to encourage individuals to work outside the home by crediting dependent care expenses</w:t>
      </w:r>
    </w:p>
    <w:p w14:paraId="3381ED94" w14:textId="419BC3D7" w:rsidR="006E7ACC" w:rsidRPr="003F5C4A" w:rsidRDefault="006E7ACC" w:rsidP="001534E4">
      <w:pPr>
        <w:numPr>
          <w:ilvl w:val="1"/>
          <w:numId w:val="18"/>
        </w:numPr>
        <w:spacing w:after="0"/>
      </w:pPr>
      <w:r>
        <w:rPr>
          <w:sz w:val="20"/>
        </w:rPr>
        <w:t>§22(a) provides a rarely used credit for the elderly and/or disabled</w:t>
      </w:r>
    </w:p>
    <w:p w14:paraId="0FB4E9B2" w14:textId="5035229C" w:rsidR="003F5C4A" w:rsidRPr="00DF243E" w:rsidRDefault="003F5C4A" w:rsidP="001534E4">
      <w:pPr>
        <w:numPr>
          <w:ilvl w:val="1"/>
          <w:numId w:val="18"/>
        </w:numPr>
        <w:spacing w:after="0"/>
      </w:pPr>
      <w:r>
        <w:rPr>
          <w:sz w:val="20"/>
        </w:rPr>
        <w:t xml:space="preserve">§24 creates a </w:t>
      </w:r>
      <w:r w:rsidR="00DF243E">
        <w:rPr>
          <w:sz w:val="20"/>
        </w:rPr>
        <w:t xml:space="preserve">partially refundable </w:t>
      </w:r>
      <w:r>
        <w:rPr>
          <w:sz w:val="20"/>
        </w:rPr>
        <w:t>child credit (in addition to standard deduction)</w:t>
      </w:r>
      <w:r w:rsidR="00106B3A">
        <w:rPr>
          <w:sz w:val="20"/>
        </w:rPr>
        <w:t xml:space="preserve"> of $1k per child</w:t>
      </w:r>
      <w:r>
        <w:rPr>
          <w:sz w:val="20"/>
        </w:rPr>
        <w:t>, subject to a threshold phase out amount</w:t>
      </w:r>
    </w:p>
    <w:p w14:paraId="34039322" w14:textId="78B10FFF" w:rsidR="00DF243E" w:rsidRPr="00563DB8" w:rsidRDefault="00DF243E" w:rsidP="001534E4">
      <w:pPr>
        <w:numPr>
          <w:ilvl w:val="2"/>
          <w:numId w:val="18"/>
        </w:numPr>
        <w:spacing w:after="0"/>
      </w:pPr>
      <w:r>
        <w:rPr>
          <w:sz w:val="20"/>
        </w:rPr>
        <w:t>Stresses ability to pay (people with children unlikely to be able to pay significant taxes)</w:t>
      </w:r>
    </w:p>
    <w:p w14:paraId="2BE06CF8" w14:textId="2AAD465C" w:rsidR="0053485B" w:rsidRDefault="0053485B" w:rsidP="001534E4">
      <w:pPr>
        <w:pStyle w:val="Heading3"/>
        <w:rPr>
          <w:sz w:val="22"/>
        </w:rPr>
      </w:pPr>
      <w:r w:rsidRPr="0053485B">
        <w:rPr>
          <w:sz w:val="22"/>
        </w:rPr>
        <w:t>Taxpayer Choices</w:t>
      </w:r>
    </w:p>
    <w:p w14:paraId="54710BF1" w14:textId="26E1ABBC" w:rsidR="002C5E65" w:rsidRPr="00AD4404" w:rsidRDefault="002C5E65" w:rsidP="001534E4">
      <w:pPr>
        <w:pStyle w:val="ListParagraph"/>
        <w:numPr>
          <w:ilvl w:val="0"/>
          <w:numId w:val="20"/>
        </w:numPr>
      </w:pPr>
      <w:r>
        <w:rPr>
          <w:sz w:val="20"/>
        </w:rPr>
        <w:t xml:space="preserve">The “marriage penalty” is constitutional as an unavoidable consequence of a progressive tax – </w:t>
      </w:r>
      <w:proofErr w:type="spellStart"/>
      <w:r>
        <w:rPr>
          <w:i/>
          <w:sz w:val="20"/>
        </w:rPr>
        <w:t>Druker</w:t>
      </w:r>
      <w:proofErr w:type="spellEnd"/>
    </w:p>
    <w:p w14:paraId="3A8615DA" w14:textId="54584AAD" w:rsidR="00AD4404" w:rsidRPr="00AD4404" w:rsidRDefault="00AD4404" w:rsidP="001534E4">
      <w:pPr>
        <w:pStyle w:val="ListParagraph"/>
        <w:numPr>
          <w:ilvl w:val="1"/>
          <w:numId w:val="20"/>
        </w:numPr>
      </w:pPr>
      <w:r>
        <w:rPr>
          <w:sz w:val="20"/>
        </w:rPr>
        <w:t>Mathematically impossible to have graduated tax rates and have all married couples pay the same tax, so the Congress’ compromise is the best we can do</w:t>
      </w:r>
    </w:p>
    <w:p w14:paraId="5A35B26D" w14:textId="5299AEE6" w:rsidR="00AD4404" w:rsidRPr="00AD4404" w:rsidRDefault="00AD4404" w:rsidP="001534E4">
      <w:pPr>
        <w:pStyle w:val="ListParagraph"/>
        <w:numPr>
          <w:ilvl w:val="1"/>
          <w:numId w:val="20"/>
        </w:numPr>
      </w:pPr>
      <w:r>
        <w:rPr>
          <w:sz w:val="20"/>
        </w:rPr>
        <w:t>Marriage penalty technically only impacts couples where both spouses make similar amounts of money – if one makes substantially more than the other, there is actually a “marriage bonus”</w:t>
      </w:r>
    </w:p>
    <w:p w14:paraId="2CE98130" w14:textId="47F2CBDC" w:rsidR="00AD4404" w:rsidRPr="009F0241" w:rsidRDefault="009F0241" w:rsidP="001534E4">
      <w:pPr>
        <w:pStyle w:val="ListParagraph"/>
        <w:numPr>
          <w:ilvl w:val="0"/>
          <w:numId w:val="20"/>
        </w:numPr>
      </w:pPr>
      <w:r>
        <w:rPr>
          <w:sz w:val="20"/>
        </w:rPr>
        <w:t>The determination of whether an individual is married is made at the close of the taxable year</w:t>
      </w:r>
    </w:p>
    <w:p w14:paraId="3BA0C708" w14:textId="75F5013A" w:rsidR="009F0241" w:rsidRPr="009F0241" w:rsidRDefault="009F0241" w:rsidP="001534E4">
      <w:pPr>
        <w:pStyle w:val="ListParagraph"/>
        <w:numPr>
          <w:ilvl w:val="1"/>
          <w:numId w:val="20"/>
        </w:numPr>
      </w:pPr>
      <w:r>
        <w:rPr>
          <w:sz w:val="20"/>
        </w:rPr>
        <w:t>If spouse dies, determination is made as of date of death</w:t>
      </w:r>
    </w:p>
    <w:p w14:paraId="5912F0C4" w14:textId="4F700138" w:rsidR="005C0CB2" w:rsidRPr="005C0CB2" w:rsidRDefault="009F0241" w:rsidP="001534E4">
      <w:pPr>
        <w:pStyle w:val="ListParagraph"/>
        <w:numPr>
          <w:ilvl w:val="1"/>
          <w:numId w:val="20"/>
        </w:numPr>
      </w:pPr>
      <w:r>
        <w:rPr>
          <w:sz w:val="20"/>
        </w:rPr>
        <w:t>Tax court looks to substance, not form – marriage “cruises”</w:t>
      </w:r>
      <w:r w:rsidR="001550E3">
        <w:rPr>
          <w:sz w:val="20"/>
        </w:rPr>
        <w:t xml:space="preserve"> where marriage occurs on December 30 and divorce on January 2 do not qualify taxpayers for married rate</w:t>
      </w:r>
    </w:p>
    <w:p w14:paraId="2767C3B4" w14:textId="77DBA0B7" w:rsidR="00D534B5" w:rsidRPr="00D534B5" w:rsidRDefault="005C0CB2" w:rsidP="001534E4">
      <w:pPr>
        <w:pStyle w:val="ListParagraph"/>
        <w:numPr>
          <w:ilvl w:val="0"/>
          <w:numId w:val="20"/>
        </w:numPr>
      </w:pPr>
      <w:r>
        <w:rPr>
          <w:sz w:val="20"/>
        </w:rPr>
        <w:t xml:space="preserve">Gross income includes amounts received as alimony but </w:t>
      </w:r>
      <w:r>
        <w:rPr>
          <w:b/>
          <w:sz w:val="20"/>
        </w:rPr>
        <w:t xml:space="preserve">does not </w:t>
      </w:r>
      <w:r>
        <w:rPr>
          <w:sz w:val="20"/>
        </w:rPr>
        <w:t>include child support payments</w:t>
      </w:r>
      <w:r w:rsidR="00D534B5">
        <w:rPr>
          <w:sz w:val="20"/>
        </w:rPr>
        <w:t xml:space="preserve"> </w:t>
      </w:r>
      <w:r>
        <w:rPr>
          <w:sz w:val="20"/>
        </w:rPr>
        <w:t xml:space="preserve">- </w:t>
      </w:r>
      <w:r w:rsidR="004D4C32">
        <w:rPr>
          <w:sz w:val="20"/>
        </w:rPr>
        <w:t>§71</w:t>
      </w:r>
    </w:p>
    <w:p w14:paraId="01674FC0" w14:textId="7B4EB48F" w:rsidR="00D534B5" w:rsidRPr="005D3E0E" w:rsidRDefault="00D534B5" w:rsidP="001534E4">
      <w:pPr>
        <w:pStyle w:val="ListParagraph"/>
        <w:numPr>
          <w:ilvl w:val="1"/>
          <w:numId w:val="20"/>
        </w:numPr>
      </w:pPr>
      <w:r>
        <w:rPr>
          <w:sz w:val="20"/>
        </w:rPr>
        <w:t xml:space="preserve">A deduction </w:t>
      </w:r>
      <w:r>
        <w:rPr>
          <w:b/>
          <w:sz w:val="20"/>
        </w:rPr>
        <w:t xml:space="preserve">is </w:t>
      </w:r>
      <w:r>
        <w:rPr>
          <w:sz w:val="20"/>
        </w:rPr>
        <w:t>allowable for alimony paid during the tax year - §215(a)</w:t>
      </w:r>
    </w:p>
    <w:p w14:paraId="1571D813" w14:textId="0A2111E6" w:rsidR="005D3E0E" w:rsidRPr="0071746A" w:rsidRDefault="005D3E0E" w:rsidP="001534E4">
      <w:pPr>
        <w:pStyle w:val="ListParagraph"/>
        <w:numPr>
          <w:ilvl w:val="1"/>
          <w:numId w:val="20"/>
        </w:numPr>
      </w:pPr>
      <w:r>
        <w:rPr>
          <w:sz w:val="20"/>
        </w:rPr>
        <w:t xml:space="preserve">Parties </w:t>
      </w:r>
      <w:r>
        <w:rPr>
          <w:i/>
          <w:sz w:val="20"/>
        </w:rPr>
        <w:t xml:space="preserve">can </w:t>
      </w:r>
      <w:r>
        <w:rPr>
          <w:sz w:val="20"/>
        </w:rPr>
        <w:t xml:space="preserve">swap these rules (so that </w:t>
      </w:r>
      <w:proofErr w:type="spellStart"/>
      <w:r>
        <w:rPr>
          <w:sz w:val="20"/>
        </w:rPr>
        <w:t>payor</w:t>
      </w:r>
      <w:proofErr w:type="spellEnd"/>
      <w:r>
        <w:rPr>
          <w:sz w:val="20"/>
        </w:rPr>
        <w:t xml:space="preserve"> pays taxes and payee does not) to lower overall tax</w:t>
      </w:r>
    </w:p>
    <w:p w14:paraId="31B85B67" w14:textId="4D4EA152" w:rsidR="0071746A" w:rsidRPr="00D534B5" w:rsidRDefault="0071746A" w:rsidP="001534E4">
      <w:pPr>
        <w:pStyle w:val="ListParagraph"/>
        <w:numPr>
          <w:ilvl w:val="1"/>
          <w:numId w:val="20"/>
        </w:numPr>
      </w:pPr>
      <w:r>
        <w:rPr>
          <w:sz w:val="20"/>
        </w:rPr>
        <w:t>§71(b) contains list of requirements for alimony payments</w:t>
      </w:r>
    </w:p>
    <w:p w14:paraId="04ACE8B7" w14:textId="77777777" w:rsidR="00D534B5" w:rsidRPr="00D534B5" w:rsidRDefault="00D534B5" w:rsidP="001534E4">
      <w:pPr>
        <w:pStyle w:val="ListParagraph"/>
        <w:numPr>
          <w:ilvl w:val="0"/>
          <w:numId w:val="20"/>
        </w:numPr>
      </w:pPr>
      <w:r>
        <w:rPr>
          <w:sz w:val="20"/>
        </w:rPr>
        <w:t>No gain/loss on a transfer of property between spouses (or former spouses, if incident to divorce) - §1041</w:t>
      </w:r>
    </w:p>
    <w:p w14:paraId="5DEAB0C0" w14:textId="77777777" w:rsidR="00D534B5" w:rsidRPr="00D534B5" w:rsidRDefault="00D534B5" w:rsidP="001534E4">
      <w:pPr>
        <w:pStyle w:val="ListParagraph"/>
        <w:numPr>
          <w:ilvl w:val="1"/>
          <w:numId w:val="20"/>
        </w:numPr>
      </w:pPr>
      <w:r>
        <w:rPr>
          <w:sz w:val="20"/>
        </w:rPr>
        <w:t>Property is treated as if acquired by gift, and the basis is the transferor’s basis</w:t>
      </w:r>
    </w:p>
    <w:p w14:paraId="04FA6EA2" w14:textId="77777777" w:rsidR="0071746A" w:rsidRPr="0071746A" w:rsidRDefault="00D534B5" w:rsidP="001534E4">
      <w:pPr>
        <w:pStyle w:val="ListParagraph"/>
        <w:numPr>
          <w:ilvl w:val="1"/>
          <w:numId w:val="20"/>
        </w:numPr>
      </w:pPr>
      <w:r>
        <w:rPr>
          <w:sz w:val="20"/>
        </w:rPr>
        <w:t>Transfer is incident to the divorce if it occurs within 1 year after the date on which the marriage ceases or if it is related to the cessation of the marriage</w:t>
      </w:r>
    </w:p>
    <w:p w14:paraId="7207F731" w14:textId="4E2E9B16" w:rsidR="002F4140" w:rsidRPr="002F4140" w:rsidRDefault="0071746A" w:rsidP="001534E4">
      <w:pPr>
        <w:pStyle w:val="ListParagraph"/>
        <w:numPr>
          <w:ilvl w:val="1"/>
          <w:numId w:val="20"/>
        </w:numPr>
      </w:pPr>
      <w:r>
        <w:rPr>
          <w:sz w:val="20"/>
        </w:rPr>
        <w:t xml:space="preserve">Note the lack of loss qualification (see in §1015) – spouses </w:t>
      </w:r>
      <w:r>
        <w:rPr>
          <w:i/>
          <w:sz w:val="20"/>
        </w:rPr>
        <w:t xml:space="preserve">can </w:t>
      </w:r>
      <w:r>
        <w:rPr>
          <w:sz w:val="20"/>
        </w:rPr>
        <w:t>transfer losses</w:t>
      </w:r>
      <w:r w:rsidR="002F4140">
        <w:rPr>
          <w:sz w:val="20"/>
        </w:rPr>
        <w:t xml:space="preserve"> to each other</w:t>
      </w:r>
    </w:p>
    <w:p w14:paraId="6D0086F6" w14:textId="53FAC8B2" w:rsidR="002F4140" w:rsidRPr="002F4140" w:rsidRDefault="002F4140" w:rsidP="001534E4">
      <w:pPr>
        <w:pStyle w:val="ListParagraph"/>
        <w:numPr>
          <w:ilvl w:val="1"/>
          <w:numId w:val="20"/>
        </w:numPr>
      </w:pPr>
      <w:r>
        <w:rPr>
          <w:sz w:val="20"/>
        </w:rPr>
        <w:t xml:space="preserve">Prenuptial transfers of property do not qualify as gifts, so FMV at time of transfer is transferee’s new basis – </w:t>
      </w:r>
      <w:proofErr w:type="spellStart"/>
      <w:r>
        <w:rPr>
          <w:i/>
          <w:sz w:val="20"/>
        </w:rPr>
        <w:t>Farid-Es-Sultaneh</w:t>
      </w:r>
      <w:proofErr w:type="spellEnd"/>
    </w:p>
    <w:p w14:paraId="56F238FE" w14:textId="0F69BC74" w:rsidR="002F4140" w:rsidRPr="002F4140" w:rsidRDefault="002F4140" w:rsidP="001534E4">
      <w:pPr>
        <w:pStyle w:val="ListParagraph"/>
        <w:numPr>
          <w:ilvl w:val="2"/>
          <w:numId w:val="20"/>
        </w:numPr>
      </w:pPr>
      <w:r>
        <w:rPr>
          <w:sz w:val="20"/>
        </w:rPr>
        <w:t>Court doesn’t think through logical implications of the result here – the transferor spouse did not realize a gain from “sale” of stock, but transferee gets stepped-up basis</w:t>
      </w:r>
    </w:p>
    <w:p w14:paraId="666F709A" w14:textId="6BE12A6A" w:rsidR="002F4140" w:rsidRPr="00336BC6" w:rsidRDefault="002F4140" w:rsidP="001534E4">
      <w:pPr>
        <w:pStyle w:val="ListParagraph"/>
        <w:numPr>
          <w:ilvl w:val="2"/>
          <w:numId w:val="20"/>
        </w:numPr>
      </w:pPr>
      <w:r>
        <w:rPr>
          <w:sz w:val="20"/>
        </w:rPr>
        <w:t xml:space="preserve">This does </w:t>
      </w:r>
      <w:r>
        <w:rPr>
          <w:i/>
          <w:sz w:val="20"/>
        </w:rPr>
        <w:t xml:space="preserve">not </w:t>
      </w:r>
      <w:r>
        <w:rPr>
          <w:sz w:val="20"/>
        </w:rPr>
        <w:t xml:space="preserve">control transfers of appreciated property </w:t>
      </w:r>
      <w:r>
        <w:rPr>
          <w:i/>
          <w:sz w:val="20"/>
        </w:rPr>
        <w:t xml:space="preserve">within </w:t>
      </w:r>
      <w:r>
        <w:rPr>
          <w:sz w:val="20"/>
        </w:rPr>
        <w:t>the marriage relationship - §1041 governs there</w:t>
      </w:r>
    </w:p>
    <w:p w14:paraId="38251DF8" w14:textId="5D53D982" w:rsidR="00336BC6" w:rsidRDefault="00336BC6" w:rsidP="00336BC6">
      <w:pPr>
        <w:pStyle w:val="ListParagraph"/>
        <w:numPr>
          <w:ilvl w:val="0"/>
          <w:numId w:val="20"/>
        </w:numPr>
        <w:rPr>
          <w:sz w:val="20"/>
        </w:rPr>
      </w:pPr>
      <w:r w:rsidRPr="00336BC6">
        <w:rPr>
          <w:sz w:val="20"/>
        </w:rPr>
        <w:t>§1(g)’s</w:t>
      </w:r>
      <w:r>
        <w:rPr>
          <w:sz w:val="20"/>
        </w:rPr>
        <w:t xml:space="preserve"> “kiddie tax” is a large step to taxation based on family (rather than individual) income</w:t>
      </w:r>
    </w:p>
    <w:p w14:paraId="74CC2F75" w14:textId="236B89FE" w:rsidR="00336BC6" w:rsidRDefault="00336BC6" w:rsidP="00336BC6">
      <w:pPr>
        <w:pStyle w:val="ListParagraph"/>
        <w:numPr>
          <w:ilvl w:val="1"/>
          <w:numId w:val="20"/>
        </w:numPr>
        <w:rPr>
          <w:sz w:val="20"/>
        </w:rPr>
      </w:pPr>
      <w:r>
        <w:rPr>
          <w:sz w:val="20"/>
        </w:rPr>
        <w:t>Taxes</w:t>
      </w:r>
      <w:r w:rsidR="00887D11">
        <w:rPr>
          <w:sz w:val="20"/>
        </w:rPr>
        <w:t xml:space="preserve"> child’s</w:t>
      </w:r>
      <w:r>
        <w:rPr>
          <w:sz w:val="20"/>
        </w:rPr>
        <w:t xml:space="preserve"> unearned (</w:t>
      </w:r>
      <w:r>
        <w:rPr>
          <w:i/>
          <w:sz w:val="20"/>
        </w:rPr>
        <w:t xml:space="preserve">not </w:t>
      </w:r>
      <w:r>
        <w:rPr>
          <w:sz w:val="20"/>
        </w:rPr>
        <w:t xml:space="preserve">earned) income </w:t>
      </w:r>
      <w:r w:rsidR="00887D11">
        <w:rPr>
          <w:sz w:val="20"/>
        </w:rPr>
        <w:t xml:space="preserve">over a threshold amount </w:t>
      </w:r>
      <w:r>
        <w:rPr>
          <w:sz w:val="20"/>
        </w:rPr>
        <w:t>o</w:t>
      </w:r>
      <w:r w:rsidR="00887D11">
        <w:rPr>
          <w:sz w:val="20"/>
        </w:rPr>
        <w:t>f</w:t>
      </w:r>
      <w:r>
        <w:rPr>
          <w:sz w:val="20"/>
        </w:rPr>
        <w:t xml:space="preserve"> at paren</w:t>
      </w:r>
      <w:r w:rsidR="00887D11">
        <w:rPr>
          <w:sz w:val="20"/>
        </w:rPr>
        <w:t>t’s</w:t>
      </w:r>
      <w:r>
        <w:rPr>
          <w:sz w:val="20"/>
        </w:rPr>
        <w:t xml:space="preserve"> tax rate</w:t>
      </w:r>
    </w:p>
    <w:p w14:paraId="6F99878C" w14:textId="32B7AEA3" w:rsidR="00C73FE0" w:rsidRDefault="003D374A" w:rsidP="00C73FE0">
      <w:pPr>
        <w:pStyle w:val="ListParagraph"/>
        <w:numPr>
          <w:ilvl w:val="2"/>
          <w:numId w:val="20"/>
        </w:numPr>
        <w:rPr>
          <w:sz w:val="20"/>
        </w:rPr>
      </w:pPr>
      <w:r>
        <w:rPr>
          <w:sz w:val="20"/>
        </w:rPr>
        <w:t>Transferor’s identity is irrelevant – if Grandma gives grandchild a bond, Dad is taxed on coupon</w:t>
      </w:r>
    </w:p>
    <w:p w14:paraId="68D70954" w14:textId="47A37EA7" w:rsidR="000858A0" w:rsidRDefault="00086513" w:rsidP="00C56489">
      <w:pPr>
        <w:pStyle w:val="ListParagraph"/>
        <w:numPr>
          <w:ilvl w:val="1"/>
          <w:numId w:val="20"/>
        </w:numPr>
        <w:rPr>
          <w:sz w:val="20"/>
        </w:rPr>
      </w:pPr>
      <w:r>
        <w:rPr>
          <w:sz w:val="20"/>
        </w:rPr>
        <w:t>If child’s tax rate is higher, §1(g)</w:t>
      </w:r>
      <w:r w:rsidR="00911ABE">
        <w:rPr>
          <w:sz w:val="20"/>
        </w:rPr>
        <w:t>(1)(A) taxes</w:t>
      </w:r>
      <w:r>
        <w:rPr>
          <w:sz w:val="20"/>
        </w:rPr>
        <w:t xml:space="preserve"> the child</w:t>
      </w:r>
      <w:r w:rsidR="00911ABE">
        <w:rPr>
          <w:sz w:val="20"/>
        </w:rPr>
        <w:t>. I</w:t>
      </w:r>
      <w:r>
        <w:rPr>
          <w:sz w:val="20"/>
        </w:rPr>
        <w:t>f not, (1)(B) taxes the parent</w:t>
      </w:r>
    </w:p>
    <w:p w14:paraId="663E96FF" w14:textId="74B9224A" w:rsidR="00C56489" w:rsidRDefault="00C56489" w:rsidP="00C56489">
      <w:pPr>
        <w:pStyle w:val="ListParagraph"/>
        <w:numPr>
          <w:ilvl w:val="0"/>
          <w:numId w:val="20"/>
        </w:numPr>
        <w:rPr>
          <w:sz w:val="20"/>
        </w:rPr>
      </w:pPr>
      <w:r>
        <w:rPr>
          <w:sz w:val="20"/>
        </w:rPr>
        <w:t xml:space="preserve">“Anticipatory arrangements” cannot be used to escape tax liability – </w:t>
      </w:r>
      <w:r>
        <w:rPr>
          <w:i/>
          <w:sz w:val="20"/>
        </w:rPr>
        <w:t>Lucas v. Earl</w:t>
      </w:r>
      <w:r>
        <w:rPr>
          <w:sz w:val="20"/>
        </w:rPr>
        <w:t xml:space="preserve"> (transfer of ½ of salary to wife does not mean he is only taxed on his portion)</w:t>
      </w:r>
    </w:p>
    <w:p w14:paraId="7D656219" w14:textId="677971CD" w:rsidR="00C56489" w:rsidRDefault="00C56489" w:rsidP="00C56489">
      <w:pPr>
        <w:pStyle w:val="ListParagraph"/>
        <w:numPr>
          <w:ilvl w:val="1"/>
          <w:numId w:val="20"/>
        </w:numPr>
        <w:rPr>
          <w:sz w:val="20"/>
        </w:rPr>
      </w:pPr>
      <w:r>
        <w:rPr>
          <w:sz w:val="20"/>
        </w:rPr>
        <w:t xml:space="preserve">Similar to </w:t>
      </w:r>
      <w:r>
        <w:rPr>
          <w:i/>
          <w:sz w:val="20"/>
        </w:rPr>
        <w:t xml:space="preserve">Love or Money </w:t>
      </w:r>
      <w:r>
        <w:rPr>
          <w:sz w:val="20"/>
        </w:rPr>
        <w:t>–</w:t>
      </w:r>
      <w:r w:rsidR="003D374A">
        <w:rPr>
          <w:sz w:val="20"/>
        </w:rPr>
        <w:t xml:space="preserve"> promise to pay ½ of prize money does not remove tax consequences. F</w:t>
      </w:r>
      <w:r>
        <w:rPr>
          <w:sz w:val="20"/>
        </w:rPr>
        <w:t>ull tax bill fal</w:t>
      </w:r>
      <w:r w:rsidR="003D374A">
        <w:rPr>
          <w:sz w:val="20"/>
        </w:rPr>
        <w:t>ls on the one who</w:t>
      </w:r>
      <w:r>
        <w:rPr>
          <w:sz w:val="20"/>
        </w:rPr>
        <w:t xml:space="preserve"> “earned” the money, and the “gift” is not subject to income tax!</w:t>
      </w:r>
    </w:p>
    <w:p w14:paraId="2A698DF9" w14:textId="30A58871" w:rsidR="000E14C0" w:rsidRPr="000E14C0" w:rsidRDefault="000E14C0" w:rsidP="000E14C0">
      <w:pPr>
        <w:pStyle w:val="ListParagraph"/>
        <w:numPr>
          <w:ilvl w:val="1"/>
          <w:numId w:val="20"/>
        </w:numPr>
        <w:rPr>
          <w:sz w:val="20"/>
        </w:rPr>
      </w:pPr>
      <w:r>
        <w:rPr>
          <w:sz w:val="20"/>
        </w:rPr>
        <w:t xml:space="preserve">If income from labor/services can be turned into property (i.e., a painting or manuscript), it </w:t>
      </w:r>
      <w:r>
        <w:rPr>
          <w:i/>
          <w:sz w:val="20"/>
        </w:rPr>
        <w:t xml:space="preserve">can </w:t>
      </w:r>
      <w:r>
        <w:rPr>
          <w:sz w:val="20"/>
        </w:rPr>
        <w:t>be shifted to another person</w:t>
      </w:r>
    </w:p>
    <w:p w14:paraId="404072C4" w14:textId="361D2CDD" w:rsidR="00C56489" w:rsidRDefault="00C56489" w:rsidP="00C56489">
      <w:pPr>
        <w:pStyle w:val="ListParagraph"/>
        <w:numPr>
          <w:ilvl w:val="0"/>
          <w:numId w:val="20"/>
        </w:numPr>
        <w:rPr>
          <w:sz w:val="20"/>
        </w:rPr>
      </w:pPr>
      <w:r>
        <w:rPr>
          <w:sz w:val="20"/>
        </w:rPr>
        <w:t xml:space="preserve">There are two ways to make a distinction between gifts of property and gifts of income (gifts of property are not taxable to the </w:t>
      </w:r>
      <w:proofErr w:type="gramStart"/>
      <w:r>
        <w:rPr>
          <w:sz w:val="20"/>
        </w:rPr>
        <w:t>donor,</w:t>
      </w:r>
      <w:proofErr w:type="gramEnd"/>
      <w:r>
        <w:rPr>
          <w:sz w:val="20"/>
        </w:rPr>
        <w:t xml:space="preserve"> gifts of income are)</w:t>
      </w:r>
    </w:p>
    <w:p w14:paraId="184EF553" w14:textId="73FD5B80" w:rsidR="00C56489" w:rsidRDefault="00C56489" w:rsidP="00C56489">
      <w:pPr>
        <w:pStyle w:val="ListParagraph"/>
        <w:numPr>
          <w:ilvl w:val="1"/>
          <w:numId w:val="20"/>
        </w:numPr>
        <w:rPr>
          <w:sz w:val="20"/>
        </w:rPr>
      </w:pPr>
      <w:r>
        <w:rPr>
          <w:sz w:val="20"/>
        </w:rPr>
        <w:lastRenderedPageBreak/>
        <w:t xml:space="preserve">Was there a horizontal carve-out (was the gift of </w:t>
      </w:r>
      <w:r>
        <w:rPr>
          <w:i/>
          <w:sz w:val="20"/>
        </w:rPr>
        <w:t xml:space="preserve">all </w:t>
      </w:r>
      <w:r>
        <w:rPr>
          <w:sz w:val="20"/>
        </w:rPr>
        <w:t>the property, or only a part)?</w:t>
      </w:r>
    </w:p>
    <w:p w14:paraId="59AC2C3E" w14:textId="261FF1B1" w:rsidR="000E14C0" w:rsidRDefault="000E14C0" w:rsidP="000E14C0">
      <w:pPr>
        <w:pStyle w:val="ListParagraph"/>
        <w:numPr>
          <w:ilvl w:val="2"/>
          <w:numId w:val="20"/>
        </w:numPr>
        <w:rPr>
          <w:sz w:val="20"/>
        </w:rPr>
      </w:pPr>
      <w:r>
        <w:rPr>
          <w:sz w:val="20"/>
        </w:rPr>
        <w:t xml:space="preserve">This division was found in </w:t>
      </w:r>
      <w:proofErr w:type="spellStart"/>
      <w:r>
        <w:rPr>
          <w:i/>
          <w:sz w:val="20"/>
        </w:rPr>
        <w:t>Helvering</w:t>
      </w:r>
      <w:proofErr w:type="spellEnd"/>
      <w:r>
        <w:rPr>
          <w:i/>
          <w:sz w:val="20"/>
        </w:rPr>
        <w:t xml:space="preserve"> v. Horst </w:t>
      </w:r>
      <w:r>
        <w:rPr>
          <w:sz w:val="20"/>
        </w:rPr>
        <w:t>– father’s gift of bond coupons while retaining ability to collect principal was inadequate severance of “fruits” from “tree”</w:t>
      </w:r>
    </w:p>
    <w:p w14:paraId="3287D829" w14:textId="7A537A7B" w:rsidR="000E14C0" w:rsidRDefault="000E14C0" w:rsidP="000E14C0">
      <w:pPr>
        <w:pStyle w:val="ListParagraph"/>
        <w:numPr>
          <w:ilvl w:val="3"/>
          <w:numId w:val="20"/>
        </w:numPr>
        <w:rPr>
          <w:sz w:val="20"/>
        </w:rPr>
      </w:pPr>
      <w:r>
        <w:rPr>
          <w:sz w:val="20"/>
        </w:rPr>
        <w:t xml:space="preserve">§1286 has overruled specific outcome of </w:t>
      </w:r>
      <w:r>
        <w:rPr>
          <w:i/>
          <w:sz w:val="20"/>
        </w:rPr>
        <w:t>Horst</w:t>
      </w:r>
      <w:r>
        <w:rPr>
          <w:sz w:val="20"/>
        </w:rPr>
        <w:t xml:space="preserve"> – basis is now allocated between naked bond and coupons</w:t>
      </w:r>
    </w:p>
    <w:p w14:paraId="65EC8D7B" w14:textId="59CBA6E8" w:rsidR="00C56489" w:rsidRDefault="00C56489" w:rsidP="00C56489">
      <w:pPr>
        <w:pStyle w:val="ListParagraph"/>
        <w:numPr>
          <w:ilvl w:val="1"/>
          <w:numId w:val="20"/>
        </w:numPr>
        <w:rPr>
          <w:sz w:val="20"/>
        </w:rPr>
      </w:pPr>
      <w:r>
        <w:rPr>
          <w:sz w:val="20"/>
        </w:rPr>
        <w:t>Does the donee now have an equitable interest (able to get an injunction for ownership)?</w:t>
      </w:r>
    </w:p>
    <w:p w14:paraId="74CEF197" w14:textId="0BC14E1E" w:rsidR="000E14C0" w:rsidRPr="00B86C16" w:rsidRDefault="000E14C0" w:rsidP="000E14C0">
      <w:pPr>
        <w:pStyle w:val="ListParagraph"/>
        <w:numPr>
          <w:ilvl w:val="2"/>
          <w:numId w:val="20"/>
        </w:numPr>
        <w:rPr>
          <w:sz w:val="20"/>
        </w:rPr>
      </w:pPr>
      <w:r>
        <w:rPr>
          <w:sz w:val="20"/>
        </w:rPr>
        <w:t xml:space="preserve">This transfer of equitable ownership was found in </w:t>
      </w:r>
      <w:r>
        <w:rPr>
          <w:i/>
          <w:sz w:val="20"/>
        </w:rPr>
        <w:t xml:space="preserve">Blair </w:t>
      </w:r>
      <w:r>
        <w:rPr>
          <w:sz w:val="20"/>
        </w:rPr>
        <w:t>– assignment of trust income through trustee created a new beneficial owner, so the assignor was exempt from tax</w:t>
      </w:r>
      <w:r w:rsidR="009055E8">
        <w:rPr>
          <w:sz w:val="20"/>
        </w:rPr>
        <w:t xml:space="preserve"> </w:t>
      </w:r>
    </w:p>
    <w:p w14:paraId="11DE8814" w14:textId="52423634" w:rsidR="00B86C16" w:rsidRDefault="00B86C16" w:rsidP="00B86C16">
      <w:pPr>
        <w:pStyle w:val="ListParagraph"/>
        <w:numPr>
          <w:ilvl w:val="3"/>
          <w:numId w:val="20"/>
        </w:numPr>
        <w:rPr>
          <w:sz w:val="20"/>
        </w:rPr>
      </w:pPr>
      <w:r>
        <w:rPr>
          <w:sz w:val="20"/>
        </w:rPr>
        <w:t xml:space="preserve">If donor gives </w:t>
      </w:r>
      <w:r>
        <w:rPr>
          <w:i/>
          <w:sz w:val="20"/>
        </w:rPr>
        <w:t xml:space="preserve">entire </w:t>
      </w:r>
      <w:r>
        <w:rPr>
          <w:sz w:val="20"/>
        </w:rPr>
        <w:t>property (tree + fruits), tax falls on donee</w:t>
      </w:r>
    </w:p>
    <w:p w14:paraId="51263817" w14:textId="0F72F3E7" w:rsidR="00B86C16" w:rsidRDefault="00B86C16" w:rsidP="00B86C16">
      <w:pPr>
        <w:pStyle w:val="ListParagraph"/>
        <w:numPr>
          <w:ilvl w:val="4"/>
          <w:numId w:val="20"/>
        </w:numPr>
        <w:rPr>
          <w:sz w:val="20"/>
        </w:rPr>
      </w:pPr>
      <w:r>
        <w:rPr>
          <w:sz w:val="20"/>
        </w:rPr>
        <w:t xml:space="preserve">If </w:t>
      </w:r>
      <w:r w:rsidR="00641312">
        <w:rPr>
          <w:sz w:val="20"/>
        </w:rPr>
        <w:t xml:space="preserve">only one donee is present, </w:t>
      </w:r>
      <w:r>
        <w:rPr>
          <w:i/>
          <w:sz w:val="20"/>
        </w:rPr>
        <w:t>Blair</w:t>
      </w:r>
      <w:r w:rsidR="00641312">
        <w:rPr>
          <w:i/>
          <w:sz w:val="20"/>
        </w:rPr>
        <w:t xml:space="preserve"> </w:t>
      </w:r>
      <w:r w:rsidR="00641312">
        <w:rPr>
          <w:sz w:val="20"/>
        </w:rPr>
        <w:t>controls</w:t>
      </w:r>
    </w:p>
    <w:p w14:paraId="56F3F458" w14:textId="254AB956" w:rsidR="00B86C16" w:rsidRDefault="00B86C16" w:rsidP="00B86C16">
      <w:pPr>
        <w:pStyle w:val="ListParagraph"/>
        <w:numPr>
          <w:ilvl w:val="4"/>
          <w:numId w:val="20"/>
        </w:numPr>
        <w:rPr>
          <w:sz w:val="20"/>
        </w:rPr>
      </w:pPr>
      <w:r>
        <w:rPr>
          <w:sz w:val="20"/>
        </w:rPr>
        <w:t xml:space="preserve">If more than </w:t>
      </w:r>
      <w:r w:rsidR="00641312">
        <w:rPr>
          <w:sz w:val="20"/>
        </w:rPr>
        <w:t>one donee is present,</w:t>
      </w:r>
      <w:r>
        <w:rPr>
          <w:sz w:val="20"/>
        </w:rPr>
        <w:t xml:space="preserve"> </w:t>
      </w:r>
      <w:proofErr w:type="spellStart"/>
      <w:r>
        <w:rPr>
          <w:i/>
          <w:sz w:val="20"/>
        </w:rPr>
        <w:t>Gavit</w:t>
      </w:r>
      <w:proofErr w:type="spellEnd"/>
      <w:r>
        <w:rPr>
          <w:i/>
          <w:sz w:val="20"/>
        </w:rPr>
        <w:t xml:space="preserve"> </w:t>
      </w:r>
      <w:r w:rsidR="00641312">
        <w:rPr>
          <w:sz w:val="20"/>
        </w:rPr>
        <w:t xml:space="preserve">controls </w:t>
      </w:r>
      <w:r>
        <w:rPr>
          <w:sz w:val="20"/>
        </w:rPr>
        <w:t>to avoid ability to remove fruit from tax base through temporal division</w:t>
      </w:r>
    </w:p>
    <w:p w14:paraId="3EB4EEC9" w14:textId="764F03C7" w:rsidR="0071708F" w:rsidRDefault="0071708F" w:rsidP="0071708F">
      <w:pPr>
        <w:pStyle w:val="ListParagraph"/>
        <w:numPr>
          <w:ilvl w:val="5"/>
          <w:numId w:val="20"/>
        </w:numPr>
        <w:rPr>
          <w:sz w:val="20"/>
        </w:rPr>
      </w:pPr>
      <w:r>
        <w:rPr>
          <w:sz w:val="20"/>
        </w:rPr>
        <w:t xml:space="preserve">However, if property and income are split at the same time, both </w:t>
      </w:r>
      <w:proofErr w:type="spellStart"/>
      <w:r>
        <w:rPr>
          <w:sz w:val="20"/>
        </w:rPr>
        <w:t>donees</w:t>
      </w:r>
      <w:proofErr w:type="spellEnd"/>
      <w:r>
        <w:rPr>
          <w:sz w:val="20"/>
        </w:rPr>
        <w:t xml:space="preserve"> are taxable</w:t>
      </w:r>
    </w:p>
    <w:p w14:paraId="59F81F71" w14:textId="3F4E6746" w:rsidR="00964101" w:rsidRDefault="002F060E" w:rsidP="00C56489">
      <w:pPr>
        <w:pStyle w:val="ListParagraph"/>
        <w:numPr>
          <w:ilvl w:val="1"/>
          <w:numId w:val="20"/>
        </w:numPr>
        <w:rPr>
          <w:sz w:val="20"/>
        </w:rPr>
      </w:pPr>
      <w:r>
        <w:rPr>
          <w:sz w:val="20"/>
        </w:rPr>
        <w:t xml:space="preserve">Is this </w:t>
      </w:r>
      <w:r w:rsidR="00C56489">
        <w:rPr>
          <w:sz w:val="20"/>
        </w:rPr>
        <w:t>coherent,</w:t>
      </w:r>
      <w:r>
        <w:rPr>
          <w:sz w:val="20"/>
        </w:rPr>
        <w:t xml:space="preserve"> since the value of property is just</w:t>
      </w:r>
      <w:r w:rsidR="00C56489">
        <w:rPr>
          <w:sz w:val="20"/>
        </w:rPr>
        <w:t xml:space="preserve"> discounted value of future payments?</w:t>
      </w:r>
    </w:p>
    <w:p w14:paraId="18672B88" w14:textId="29136AF0" w:rsidR="00133E30" w:rsidRDefault="00964101" w:rsidP="00964101">
      <w:pPr>
        <w:pStyle w:val="ListParagraph"/>
        <w:numPr>
          <w:ilvl w:val="0"/>
          <w:numId w:val="20"/>
        </w:numPr>
        <w:rPr>
          <w:sz w:val="20"/>
        </w:rPr>
      </w:pPr>
      <w:r>
        <w:rPr>
          <w:sz w:val="20"/>
        </w:rPr>
        <w:t>§7872 eliminates the tax benefit for low- or no-interest</w:t>
      </w:r>
      <w:r w:rsidR="001831C7">
        <w:rPr>
          <w:sz w:val="20"/>
        </w:rPr>
        <w:t xml:space="preserve"> gift or demand</w:t>
      </w:r>
      <w:r>
        <w:rPr>
          <w:sz w:val="20"/>
        </w:rPr>
        <w:t xml:space="preserve"> loans – interest is imputed at the applicable federal rate and taxed to both the lender and borrower</w:t>
      </w:r>
    </w:p>
    <w:p w14:paraId="624DC127" w14:textId="15677D0C" w:rsidR="00C56489" w:rsidRDefault="00133E30" w:rsidP="00133E30">
      <w:pPr>
        <w:pStyle w:val="ListParagraph"/>
        <w:numPr>
          <w:ilvl w:val="1"/>
          <w:numId w:val="20"/>
        </w:numPr>
        <w:rPr>
          <w:sz w:val="20"/>
        </w:rPr>
      </w:pPr>
      <w:r>
        <w:rPr>
          <w:sz w:val="20"/>
        </w:rPr>
        <w:t>Could lead to double taxation (imputed interest received by lender, imputed benefit of no</w:t>
      </w:r>
      <w:r w:rsidR="00102F10">
        <w:rPr>
          <w:sz w:val="20"/>
        </w:rPr>
        <w:t xml:space="preserve"> interest received by borrower)</w:t>
      </w:r>
    </w:p>
    <w:p w14:paraId="08C0BAFD" w14:textId="1945419E" w:rsidR="00F458DD" w:rsidRDefault="003D374A" w:rsidP="00F458DD">
      <w:pPr>
        <w:pStyle w:val="ListParagraph"/>
        <w:numPr>
          <w:ilvl w:val="2"/>
          <w:numId w:val="20"/>
        </w:numPr>
        <w:rPr>
          <w:sz w:val="20"/>
        </w:rPr>
      </w:pPr>
      <w:r>
        <w:rPr>
          <w:sz w:val="20"/>
        </w:rPr>
        <w:t>But</w:t>
      </w:r>
      <w:r w:rsidR="00F458DD">
        <w:rPr>
          <w:sz w:val="20"/>
        </w:rPr>
        <w:t xml:space="preserve"> if used in the correct context (i.e., employer lends money to employee for house payments), tax consequences can zero</w:t>
      </w:r>
      <w:r w:rsidR="00321C08">
        <w:rPr>
          <w:sz w:val="20"/>
        </w:rPr>
        <w:t xml:space="preserve"> out (EMPLOYER – interest</w:t>
      </w:r>
      <w:r w:rsidR="00F458DD">
        <w:rPr>
          <w:sz w:val="20"/>
        </w:rPr>
        <w:t xml:space="preserve"> is deductible salary, repayment is interest income. EMPLOYEE -  initial transfer is </w:t>
      </w:r>
      <w:r w:rsidR="00102F10">
        <w:rPr>
          <w:sz w:val="20"/>
        </w:rPr>
        <w:t>not taxable as loan</w:t>
      </w:r>
      <w:r w:rsidR="00F458DD">
        <w:rPr>
          <w:sz w:val="20"/>
        </w:rPr>
        <w:t xml:space="preserve">, mortgage interest is deductible) </w:t>
      </w:r>
    </w:p>
    <w:p w14:paraId="7D1C6997" w14:textId="77777777" w:rsidR="00BA5AE1" w:rsidRDefault="001831C7" w:rsidP="00BA5AE1">
      <w:pPr>
        <w:pStyle w:val="ListParagraph"/>
        <w:numPr>
          <w:ilvl w:val="1"/>
          <w:numId w:val="20"/>
        </w:numPr>
        <w:rPr>
          <w:sz w:val="20"/>
        </w:rPr>
      </w:pPr>
      <w:r>
        <w:rPr>
          <w:sz w:val="20"/>
        </w:rPr>
        <w:t>Term loans occur when the amount loaned exceeds the PV of all payments to be made under the loan – the applicable federal rate is employed to calculate OID</w:t>
      </w:r>
    </w:p>
    <w:p w14:paraId="07088941" w14:textId="75992DD8" w:rsidR="00BA5AE1" w:rsidRDefault="003D374A" w:rsidP="00BA5AE1">
      <w:pPr>
        <w:pStyle w:val="ListParagraph"/>
        <w:numPr>
          <w:ilvl w:val="0"/>
          <w:numId w:val="20"/>
        </w:numPr>
        <w:rPr>
          <w:sz w:val="20"/>
        </w:rPr>
      </w:pPr>
      <w:r>
        <w:rPr>
          <w:sz w:val="20"/>
        </w:rPr>
        <w:t>I</w:t>
      </w:r>
      <w:r w:rsidR="00BA5AE1" w:rsidRPr="00BA5AE1">
        <w:rPr>
          <w:sz w:val="20"/>
        </w:rPr>
        <w:t>ncome of deced</w:t>
      </w:r>
      <w:r>
        <w:rPr>
          <w:sz w:val="20"/>
        </w:rPr>
        <w:t>ent not includable in decedent’s</w:t>
      </w:r>
      <w:r w:rsidR="00BA5AE1" w:rsidRPr="00BA5AE1">
        <w:rPr>
          <w:sz w:val="20"/>
        </w:rPr>
        <w:t xml:space="preserve"> </w:t>
      </w:r>
      <w:r>
        <w:rPr>
          <w:sz w:val="20"/>
        </w:rPr>
        <w:t xml:space="preserve">last tax return is </w:t>
      </w:r>
      <w:r w:rsidR="00BA5AE1" w:rsidRPr="00BA5AE1">
        <w:rPr>
          <w:sz w:val="20"/>
        </w:rPr>
        <w:t>inclu</w:t>
      </w:r>
      <w:r>
        <w:rPr>
          <w:sz w:val="20"/>
        </w:rPr>
        <w:t xml:space="preserve">ded as recipient’s </w:t>
      </w:r>
      <w:r w:rsidR="00BA5AE1">
        <w:rPr>
          <w:sz w:val="20"/>
        </w:rPr>
        <w:t>income</w:t>
      </w:r>
      <w:r>
        <w:rPr>
          <w:sz w:val="20"/>
        </w:rPr>
        <w:t xml:space="preserve"> – </w:t>
      </w:r>
      <w:r w:rsidR="00BA5AE1">
        <w:rPr>
          <w:sz w:val="20"/>
        </w:rPr>
        <w:t>§691(a)</w:t>
      </w:r>
    </w:p>
    <w:p w14:paraId="23A52B34" w14:textId="6FC52356" w:rsidR="00BA5AE1" w:rsidRDefault="00BA5AE1" w:rsidP="00BA5AE1">
      <w:pPr>
        <w:pStyle w:val="ListParagraph"/>
        <w:numPr>
          <w:ilvl w:val="1"/>
          <w:numId w:val="20"/>
        </w:numPr>
        <w:rPr>
          <w:sz w:val="20"/>
        </w:rPr>
      </w:pPr>
      <w:r>
        <w:rPr>
          <w:sz w:val="20"/>
        </w:rPr>
        <w:t>If employer owes decedent at death, taxable to estate/recipient (labor income), BUT property bequests result in stepped-up basis. Tax code treats labor and capital differently</w:t>
      </w:r>
    </w:p>
    <w:p w14:paraId="78E98696" w14:textId="60DFF058" w:rsidR="008976EC" w:rsidRDefault="008976EC" w:rsidP="008976EC">
      <w:pPr>
        <w:pStyle w:val="Heading3"/>
        <w:rPr>
          <w:sz w:val="22"/>
        </w:rPr>
      </w:pPr>
      <w:r w:rsidRPr="008976EC">
        <w:rPr>
          <w:sz w:val="22"/>
        </w:rPr>
        <w:t>Transaction Timing</w:t>
      </w:r>
    </w:p>
    <w:p w14:paraId="0A143803" w14:textId="13836A7A" w:rsidR="00FB3226" w:rsidRPr="00FB3226" w:rsidRDefault="00FB3226" w:rsidP="00FB3226">
      <w:pPr>
        <w:pStyle w:val="ListParagraph"/>
        <w:numPr>
          <w:ilvl w:val="0"/>
          <w:numId w:val="22"/>
        </w:numPr>
      </w:pPr>
      <w:r>
        <w:rPr>
          <w:sz w:val="20"/>
        </w:rPr>
        <w:t>Constructive sales of appreciated financial positions result in realized gain as if the position were terminated at FMV on the date of the constructive sale. After the constructive sale, future gain/loss may also be taken into account, and the holding period runs from the date of the constructive sale - §1259</w:t>
      </w:r>
    </w:p>
    <w:p w14:paraId="33987E3F" w14:textId="6588ED38" w:rsidR="00FB3226" w:rsidRPr="002C2B91" w:rsidRDefault="00FB3226" w:rsidP="00FB3226">
      <w:pPr>
        <w:pStyle w:val="ListParagraph"/>
        <w:numPr>
          <w:ilvl w:val="1"/>
          <w:numId w:val="22"/>
        </w:numPr>
      </w:pPr>
      <w:r>
        <w:rPr>
          <w:sz w:val="20"/>
        </w:rPr>
        <w:t>Is this permissible under the 16</w:t>
      </w:r>
      <w:r w:rsidRPr="00FB3226">
        <w:rPr>
          <w:sz w:val="20"/>
          <w:vertAlign w:val="superscript"/>
        </w:rPr>
        <w:t>th</w:t>
      </w:r>
      <w:r w:rsidR="002F060E">
        <w:rPr>
          <w:sz w:val="20"/>
        </w:rPr>
        <w:t xml:space="preserve"> Amendment? It’</w:t>
      </w:r>
      <w:r>
        <w:rPr>
          <w:sz w:val="20"/>
        </w:rPr>
        <w:t xml:space="preserve">s </w:t>
      </w:r>
      <w:r w:rsidR="002F060E">
        <w:rPr>
          <w:sz w:val="20"/>
        </w:rPr>
        <w:t xml:space="preserve">essentially taxation without </w:t>
      </w:r>
      <w:r>
        <w:rPr>
          <w:sz w:val="20"/>
        </w:rPr>
        <w:t>realization event!</w:t>
      </w:r>
    </w:p>
    <w:p w14:paraId="3D4D8D21" w14:textId="75FA9632" w:rsidR="002C2B91" w:rsidRPr="00806F5C" w:rsidRDefault="002C2B91" w:rsidP="00FB3226">
      <w:pPr>
        <w:pStyle w:val="ListParagraph"/>
        <w:numPr>
          <w:ilvl w:val="1"/>
          <w:numId w:val="22"/>
        </w:numPr>
      </w:pPr>
      <w:r>
        <w:rPr>
          <w:sz w:val="20"/>
        </w:rPr>
        <w:t>No regulations for put and call combinations (i.e., collars with a long put and short call)</w:t>
      </w:r>
    </w:p>
    <w:p w14:paraId="480F789A" w14:textId="4E118FC9" w:rsidR="004E263E" w:rsidRPr="000F0F6A" w:rsidRDefault="00806F5C" w:rsidP="000F0F6A">
      <w:pPr>
        <w:pStyle w:val="ListParagraph"/>
        <w:numPr>
          <w:ilvl w:val="0"/>
          <w:numId w:val="22"/>
        </w:numPr>
      </w:pPr>
      <w:r>
        <w:rPr>
          <w:sz w:val="20"/>
        </w:rPr>
        <w:t>Income from an installment sale is computed under the installment method – proportional allocation of gross profit to the total contract price is recognized as income - §453</w:t>
      </w:r>
    </w:p>
    <w:p w14:paraId="14F4D5DD" w14:textId="56FDCB0E" w:rsidR="000F0F6A" w:rsidRPr="000F0F6A" w:rsidRDefault="000233E4" w:rsidP="000F0F6A">
      <w:pPr>
        <w:pStyle w:val="ListParagraph"/>
        <w:numPr>
          <w:ilvl w:val="0"/>
          <w:numId w:val="22"/>
        </w:numPr>
      </w:pPr>
      <w:r>
        <w:rPr>
          <w:sz w:val="20"/>
        </w:rPr>
        <w:t>The entire amount of gain or loss is recognized, except as otherwise provided - §1001(c)</w:t>
      </w:r>
    </w:p>
    <w:p w14:paraId="4D96238E" w14:textId="79C05E94" w:rsidR="000F0F6A" w:rsidRPr="00DA271F" w:rsidRDefault="000F0F6A" w:rsidP="008A1EE7">
      <w:pPr>
        <w:pStyle w:val="ListParagraph"/>
        <w:numPr>
          <w:ilvl w:val="1"/>
          <w:numId w:val="22"/>
        </w:numPr>
      </w:pPr>
      <w:r>
        <w:rPr>
          <w:sz w:val="20"/>
        </w:rPr>
        <w:t xml:space="preserve">§121 exempts the gain from the sale/exchange of property used as a taxpayer’s principal residence, if used as such for 2 of the past 5 years </w:t>
      </w:r>
      <w:r w:rsidR="008A1EE7">
        <w:rPr>
          <w:sz w:val="20"/>
        </w:rPr>
        <w:t>–</w:t>
      </w:r>
      <w:r w:rsidRPr="008A1EE7">
        <w:rPr>
          <w:sz w:val="20"/>
        </w:rPr>
        <w:t xml:space="preserve"> capped at $250,000 ($500,000 for joint filers)</w:t>
      </w:r>
    </w:p>
    <w:p w14:paraId="4BD9A7EF" w14:textId="1F11BC33" w:rsidR="00DA271F" w:rsidRPr="008A1EE7" w:rsidRDefault="002F060E" w:rsidP="00DA271F">
      <w:pPr>
        <w:pStyle w:val="ListParagraph"/>
        <w:numPr>
          <w:ilvl w:val="1"/>
          <w:numId w:val="22"/>
        </w:numPr>
        <w:rPr>
          <w:b/>
        </w:rPr>
      </w:pPr>
      <w:r w:rsidRPr="008A1EE7">
        <w:rPr>
          <w:b/>
          <w:sz w:val="20"/>
        </w:rPr>
        <w:t>No recognition of gain/loss on exchange of like-kind property</w:t>
      </w:r>
      <w:r w:rsidR="00DA271F" w:rsidRPr="008A1EE7">
        <w:rPr>
          <w:b/>
          <w:sz w:val="20"/>
        </w:rPr>
        <w:t xml:space="preserve"> if </w:t>
      </w:r>
      <w:r w:rsidR="008A1EE7" w:rsidRPr="008A1EE7">
        <w:rPr>
          <w:b/>
          <w:sz w:val="20"/>
        </w:rPr>
        <w:t xml:space="preserve">used in trade or </w:t>
      </w:r>
      <w:r w:rsidRPr="008A1EE7">
        <w:rPr>
          <w:b/>
          <w:sz w:val="20"/>
        </w:rPr>
        <w:t>business</w:t>
      </w:r>
      <w:r w:rsidR="008A1EE7" w:rsidRPr="008A1EE7">
        <w:rPr>
          <w:b/>
          <w:sz w:val="20"/>
        </w:rPr>
        <w:t xml:space="preserve"> or held for investment</w:t>
      </w:r>
      <w:r w:rsidRPr="008A1EE7">
        <w:rPr>
          <w:b/>
          <w:sz w:val="20"/>
        </w:rPr>
        <w:t xml:space="preserve"> -</w:t>
      </w:r>
      <w:r w:rsidR="00DA271F" w:rsidRPr="008A1EE7">
        <w:rPr>
          <w:b/>
          <w:sz w:val="20"/>
        </w:rPr>
        <w:t xml:space="preserve"> §1031(a)</w:t>
      </w:r>
    </w:p>
    <w:p w14:paraId="53EABDAC" w14:textId="2A3B29AB" w:rsidR="008450BA" w:rsidRPr="008A1EE7" w:rsidRDefault="00A258AB" w:rsidP="008450BA">
      <w:pPr>
        <w:pStyle w:val="ListParagraph"/>
        <w:numPr>
          <w:ilvl w:val="2"/>
          <w:numId w:val="22"/>
        </w:numPr>
        <w:rPr>
          <w:b/>
          <w:sz w:val="20"/>
        </w:rPr>
      </w:pPr>
      <w:r w:rsidRPr="008A1EE7">
        <w:rPr>
          <w:b/>
          <w:sz w:val="20"/>
        </w:rPr>
        <w:t>If an exchange includes “boot”, the value of the “boot” is recognized as gain, but no additional loss shall be recognized</w:t>
      </w:r>
      <w:r w:rsidR="008A1EE7" w:rsidRPr="008A1EE7">
        <w:rPr>
          <w:b/>
          <w:sz w:val="20"/>
        </w:rPr>
        <w:t xml:space="preserve"> FOR RECIPIENT</w:t>
      </w:r>
      <w:r w:rsidR="0071758A" w:rsidRPr="008A1EE7">
        <w:rPr>
          <w:b/>
          <w:sz w:val="20"/>
        </w:rPr>
        <w:t xml:space="preserve"> - §§1031(b), (c)</w:t>
      </w:r>
    </w:p>
    <w:p w14:paraId="69D6A10C" w14:textId="55BAB55F" w:rsidR="008450BA" w:rsidRPr="008A1EE7" w:rsidRDefault="008450BA" w:rsidP="008450BA">
      <w:pPr>
        <w:pStyle w:val="ListParagraph"/>
        <w:numPr>
          <w:ilvl w:val="2"/>
          <w:numId w:val="22"/>
        </w:numPr>
        <w:rPr>
          <w:b/>
          <w:sz w:val="20"/>
        </w:rPr>
      </w:pPr>
      <w:r w:rsidRPr="008A1EE7">
        <w:rPr>
          <w:b/>
          <w:sz w:val="20"/>
        </w:rPr>
        <w:t>New basis = Old basis</w:t>
      </w:r>
      <w:r w:rsidR="002F060E" w:rsidRPr="008A1EE7">
        <w:rPr>
          <w:b/>
          <w:sz w:val="20"/>
        </w:rPr>
        <w:t xml:space="preserve"> (on like-</w:t>
      </w:r>
      <w:r w:rsidRPr="008A1EE7">
        <w:rPr>
          <w:b/>
          <w:sz w:val="20"/>
        </w:rPr>
        <w:t xml:space="preserve">kind property </w:t>
      </w:r>
      <w:r w:rsidRPr="008A1EE7">
        <w:rPr>
          <w:b/>
          <w:i/>
          <w:sz w:val="20"/>
        </w:rPr>
        <w:t>and</w:t>
      </w:r>
      <w:r w:rsidRPr="008A1EE7">
        <w:rPr>
          <w:b/>
          <w:sz w:val="20"/>
        </w:rPr>
        <w:t xml:space="preserve"> boot given) + gain/loss recognized –cash received</w:t>
      </w:r>
    </w:p>
    <w:p w14:paraId="46CC3CA4" w14:textId="6E1296C9" w:rsidR="0079688C" w:rsidRPr="0079688C" w:rsidRDefault="0079688C" w:rsidP="0079688C">
      <w:pPr>
        <w:pStyle w:val="ListParagraph"/>
        <w:numPr>
          <w:ilvl w:val="1"/>
          <w:numId w:val="22"/>
        </w:numPr>
      </w:pPr>
      <w:r>
        <w:rPr>
          <w:sz w:val="20"/>
        </w:rPr>
        <w:t>If property is involuntarily converted into similar property, no gain is recognized - §1033(a)</w:t>
      </w:r>
    </w:p>
    <w:p w14:paraId="5A2F907C" w14:textId="171BBFF7" w:rsidR="0079688C" w:rsidRPr="00321C08" w:rsidRDefault="0079688C" w:rsidP="0079688C">
      <w:pPr>
        <w:pStyle w:val="ListParagraph"/>
        <w:numPr>
          <w:ilvl w:val="2"/>
          <w:numId w:val="22"/>
        </w:numPr>
      </w:pPr>
      <w:r>
        <w:rPr>
          <w:sz w:val="20"/>
        </w:rPr>
        <w:lastRenderedPageBreak/>
        <w:t>If the property is involuntarily converted to money used to purchase replacement property, no gain is recognized except to the extent that the amount realized on the conversion exceeds the cost of the new property</w:t>
      </w:r>
      <w:r w:rsidR="00437251">
        <w:rPr>
          <w:sz w:val="20"/>
        </w:rPr>
        <w:t xml:space="preserve"> </w:t>
      </w:r>
    </w:p>
    <w:p w14:paraId="1EA02A8B" w14:textId="644347DA" w:rsidR="00321C08" w:rsidRPr="00113DF3" w:rsidRDefault="00321C08" w:rsidP="0079688C">
      <w:pPr>
        <w:pStyle w:val="ListParagraph"/>
        <w:numPr>
          <w:ilvl w:val="2"/>
          <w:numId w:val="22"/>
        </w:numPr>
      </w:pPr>
      <w:r>
        <w:rPr>
          <w:sz w:val="20"/>
        </w:rPr>
        <w:t>No gain is recognized for insurance proceeds to replace</w:t>
      </w:r>
      <w:r w:rsidR="003A53BF">
        <w:rPr>
          <w:sz w:val="20"/>
        </w:rPr>
        <w:t xml:space="preserve"> unscheduled</w:t>
      </w:r>
      <w:r>
        <w:rPr>
          <w:sz w:val="20"/>
        </w:rPr>
        <w:t xml:space="preserve"> personal property</w:t>
      </w:r>
    </w:p>
    <w:p w14:paraId="5C4C2050" w14:textId="4EEF9696" w:rsidR="00113DF3" w:rsidRPr="006E7BC4" w:rsidRDefault="00113DF3" w:rsidP="00113DF3">
      <w:pPr>
        <w:pStyle w:val="ListParagraph"/>
        <w:numPr>
          <w:ilvl w:val="1"/>
          <w:numId w:val="22"/>
        </w:numPr>
      </w:pPr>
      <w:r>
        <w:rPr>
          <w:sz w:val="20"/>
        </w:rPr>
        <w:t>Gain from the sale of securities that are rolled over into a specialized small business within 60 days is not recognized - §1044</w:t>
      </w:r>
    </w:p>
    <w:p w14:paraId="5870E5A9" w14:textId="7B020A3D" w:rsidR="006E7BC4" w:rsidRDefault="006E7BC4" w:rsidP="006E7BC4">
      <w:pPr>
        <w:pStyle w:val="Heading4"/>
        <w:rPr>
          <w:sz w:val="20"/>
        </w:rPr>
      </w:pPr>
      <w:r w:rsidRPr="006E7BC4">
        <w:rPr>
          <w:sz w:val="20"/>
        </w:rPr>
        <w:t>Leverage &amp; Deferral</w:t>
      </w:r>
    </w:p>
    <w:p w14:paraId="184FBF66" w14:textId="75572EFE" w:rsidR="006E7BC4" w:rsidRPr="006F7CB3" w:rsidRDefault="00873188" w:rsidP="006E7BC4">
      <w:pPr>
        <w:pStyle w:val="ListParagraph"/>
        <w:numPr>
          <w:ilvl w:val="0"/>
          <w:numId w:val="23"/>
        </w:numPr>
      </w:pPr>
      <w:r>
        <w:rPr>
          <w:sz w:val="20"/>
        </w:rPr>
        <w:t xml:space="preserve">Nonrecourse liability is treated like a true loan – it is included in the basis, and the assumption of the liability by another is included in the amount realized – </w:t>
      </w:r>
      <w:r>
        <w:rPr>
          <w:i/>
          <w:sz w:val="20"/>
        </w:rPr>
        <w:t>Commissioner v. Tufts</w:t>
      </w:r>
    </w:p>
    <w:p w14:paraId="2CB2C162" w14:textId="6552CE33" w:rsidR="006F7CB3" w:rsidRPr="006F7CB3" w:rsidRDefault="006F7CB3" w:rsidP="006F7CB3">
      <w:pPr>
        <w:pStyle w:val="ListParagraph"/>
        <w:numPr>
          <w:ilvl w:val="1"/>
          <w:numId w:val="23"/>
        </w:numPr>
      </w:pPr>
      <w:r>
        <w:rPr>
          <w:sz w:val="20"/>
        </w:rPr>
        <w:t>O’Conner’s concurrence is adopted for recourse lending, and bifurcates the economics of the property and the liability</w:t>
      </w:r>
      <w:r w:rsidR="007D4C2B">
        <w:rPr>
          <w:sz w:val="20"/>
        </w:rPr>
        <w:t xml:space="preserve"> (Reg. §1.1001-2(a))</w:t>
      </w:r>
    </w:p>
    <w:p w14:paraId="4A5DCD37" w14:textId="1BC93908" w:rsidR="006F7CB3" w:rsidRPr="007D4C2B" w:rsidRDefault="006F7CB3" w:rsidP="006F7CB3">
      <w:pPr>
        <w:pStyle w:val="ListParagraph"/>
        <w:numPr>
          <w:ilvl w:val="2"/>
          <w:numId w:val="23"/>
        </w:numPr>
      </w:pPr>
      <w:r>
        <w:rPr>
          <w:sz w:val="20"/>
        </w:rPr>
        <w:t xml:space="preserve">Invokes </w:t>
      </w:r>
      <w:r>
        <w:rPr>
          <w:i/>
          <w:sz w:val="20"/>
        </w:rPr>
        <w:t xml:space="preserve">Crane </w:t>
      </w:r>
      <w:r>
        <w:rPr>
          <w:sz w:val="20"/>
        </w:rPr>
        <w:t>to find that the purchase price (FMV on date of acquisition) is the basis in the property, and the FMV on the date of disposition is the amount realized. The amount borrowed is the basis in the liability, and the amount realized is the amount of indebtedness that is cancelled</w:t>
      </w:r>
    </w:p>
    <w:p w14:paraId="119D9BC3" w14:textId="2FFDE697" w:rsidR="007D4C2B" w:rsidRPr="008A1EE7" w:rsidRDefault="002F060E" w:rsidP="006F7CB3">
      <w:pPr>
        <w:pStyle w:val="ListParagraph"/>
        <w:numPr>
          <w:ilvl w:val="2"/>
          <w:numId w:val="23"/>
        </w:numPr>
        <w:rPr>
          <w:b/>
        </w:rPr>
      </w:pPr>
      <w:r w:rsidRPr="008A1EE7">
        <w:rPr>
          <w:b/>
          <w:sz w:val="20"/>
        </w:rPr>
        <w:t>Allows different kinds of income (capital gains, ordinary income)</w:t>
      </w:r>
      <w:r w:rsidR="007D4C2B" w:rsidRPr="008A1EE7">
        <w:rPr>
          <w:b/>
          <w:sz w:val="20"/>
        </w:rPr>
        <w:t xml:space="preserve"> be treated differently</w:t>
      </w:r>
    </w:p>
    <w:p w14:paraId="1558503B" w14:textId="749E414A" w:rsidR="005367F5" w:rsidRPr="006F7CB3" w:rsidRDefault="005367F5" w:rsidP="005367F5">
      <w:pPr>
        <w:pStyle w:val="ListParagraph"/>
        <w:numPr>
          <w:ilvl w:val="1"/>
          <w:numId w:val="23"/>
        </w:numPr>
      </w:pPr>
      <w:r>
        <w:rPr>
          <w:sz w:val="20"/>
        </w:rPr>
        <w:t xml:space="preserve">Although negative basis could reach the right result, it might be more complex because it requires taxpayers to track both depreciation </w:t>
      </w:r>
      <w:r>
        <w:rPr>
          <w:i/>
          <w:sz w:val="20"/>
        </w:rPr>
        <w:t xml:space="preserve">and </w:t>
      </w:r>
      <w:r>
        <w:rPr>
          <w:sz w:val="20"/>
        </w:rPr>
        <w:t>his equity investment in the asset</w:t>
      </w:r>
    </w:p>
    <w:p w14:paraId="78197E68" w14:textId="49CE30DB" w:rsidR="0048102A" w:rsidRPr="0030650E" w:rsidRDefault="0048102A" w:rsidP="0051050A">
      <w:pPr>
        <w:pStyle w:val="ListParagraph"/>
        <w:numPr>
          <w:ilvl w:val="1"/>
          <w:numId w:val="23"/>
        </w:numPr>
        <w:tabs>
          <w:tab w:val="left" w:pos="2440"/>
        </w:tabs>
        <w:spacing w:after="0"/>
        <w:rPr>
          <w:sz w:val="20"/>
        </w:rPr>
        <w:sectPr w:rsidR="0048102A" w:rsidRPr="0030650E" w:rsidSect="0048102A">
          <w:headerReference w:type="default" r:id="rId13"/>
          <w:footerReference w:type="default" r:id="rId14"/>
          <w:type w:val="continuous"/>
          <w:pgSz w:w="12240" w:h="15840"/>
          <w:pgMar w:top="1440" w:right="1440" w:bottom="1440" w:left="1440" w:header="720" w:footer="720" w:gutter="0"/>
          <w:cols w:space="720"/>
          <w:docGrid w:linePitch="360"/>
        </w:sectPr>
      </w:pPr>
      <w:r w:rsidRPr="0030650E">
        <w:rPr>
          <w:i/>
          <w:sz w:val="20"/>
        </w:rPr>
        <w:t xml:space="preserve">Tufts </w:t>
      </w:r>
      <w:r w:rsidR="0030650E" w:rsidRPr="0030650E">
        <w:rPr>
          <w:sz w:val="20"/>
        </w:rPr>
        <w:t>calculations:</w:t>
      </w:r>
      <w:r w:rsidR="0030650E" w:rsidRPr="0030650E">
        <w:rPr>
          <w:sz w:val="20"/>
        </w:rPr>
        <w:tab/>
      </w:r>
    </w:p>
    <w:p w14:paraId="7A342283" w14:textId="1D1C6D90" w:rsidR="0048102A" w:rsidRDefault="006F7CB3" w:rsidP="0048102A">
      <w:pPr>
        <w:pStyle w:val="ListParagraph"/>
        <w:numPr>
          <w:ilvl w:val="0"/>
          <w:numId w:val="27"/>
        </w:numPr>
        <w:spacing w:after="0"/>
        <w:rPr>
          <w:sz w:val="20"/>
        </w:rPr>
      </w:pPr>
      <w:r w:rsidRPr="0048102A">
        <w:rPr>
          <w:sz w:val="20"/>
        </w:rPr>
        <w:t>Property acquired for = 100,000 (borrowed non-recourse)</w:t>
      </w:r>
    </w:p>
    <w:p w14:paraId="5D36463C" w14:textId="77777777" w:rsidR="0048102A" w:rsidRDefault="006F7CB3" w:rsidP="0048102A">
      <w:pPr>
        <w:pStyle w:val="ListParagraph"/>
        <w:numPr>
          <w:ilvl w:val="0"/>
          <w:numId w:val="27"/>
        </w:numPr>
        <w:spacing w:after="0"/>
        <w:rPr>
          <w:sz w:val="20"/>
        </w:rPr>
      </w:pPr>
      <w:r w:rsidRPr="0048102A">
        <w:rPr>
          <w:sz w:val="20"/>
        </w:rPr>
        <w:t>Depreciation deductions = 60,000</w:t>
      </w:r>
    </w:p>
    <w:p w14:paraId="3F85FCD0" w14:textId="77777777" w:rsidR="0048102A" w:rsidRDefault="006F7CB3" w:rsidP="0048102A">
      <w:pPr>
        <w:pStyle w:val="ListParagraph"/>
        <w:numPr>
          <w:ilvl w:val="0"/>
          <w:numId w:val="27"/>
        </w:numPr>
        <w:spacing w:after="0"/>
        <w:rPr>
          <w:sz w:val="20"/>
        </w:rPr>
      </w:pPr>
      <w:r w:rsidRPr="0048102A">
        <w:rPr>
          <w:sz w:val="20"/>
        </w:rPr>
        <w:t>Principal repayments = 20,000</w:t>
      </w:r>
    </w:p>
    <w:p w14:paraId="4E052A0A" w14:textId="77777777" w:rsidR="0048102A" w:rsidRDefault="006F7CB3" w:rsidP="0048102A">
      <w:pPr>
        <w:pStyle w:val="ListParagraph"/>
        <w:numPr>
          <w:ilvl w:val="0"/>
          <w:numId w:val="27"/>
        </w:numPr>
        <w:spacing w:after="0"/>
        <w:rPr>
          <w:sz w:val="20"/>
        </w:rPr>
      </w:pPr>
      <w:r w:rsidRPr="0048102A">
        <w:rPr>
          <w:sz w:val="20"/>
        </w:rPr>
        <w:t>Property worth 50,000 surrendered to lender</w:t>
      </w:r>
    </w:p>
    <w:p w14:paraId="6DA42345" w14:textId="77777777" w:rsidR="0048102A" w:rsidRDefault="006F7CB3" w:rsidP="0048102A">
      <w:pPr>
        <w:pStyle w:val="ListParagraph"/>
        <w:numPr>
          <w:ilvl w:val="0"/>
          <w:numId w:val="27"/>
        </w:numPr>
        <w:spacing w:after="0"/>
        <w:rPr>
          <w:sz w:val="20"/>
        </w:rPr>
      </w:pPr>
      <w:r w:rsidRPr="0048102A">
        <w:rPr>
          <w:sz w:val="20"/>
        </w:rPr>
        <w:t>Real World:  Taxpayer’s gain =</w:t>
      </w:r>
      <w:r w:rsidR="0048102A">
        <w:rPr>
          <w:sz w:val="20"/>
        </w:rPr>
        <w:t xml:space="preserve"> -20,000 + 0 = (20,000)</w:t>
      </w:r>
    </w:p>
    <w:p w14:paraId="275DEE32" w14:textId="353C8417" w:rsidR="006F7CB3" w:rsidRPr="0048102A" w:rsidRDefault="006F7CB3" w:rsidP="0048102A">
      <w:pPr>
        <w:pStyle w:val="ListParagraph"/>
        <w:numPr>
          <w:ilvl w:val="0"/>
          <w:numId w:val="27"/>
        </w:numPr>
        <w:spacing w:after="0"/>
        <w:rPr>
          <w:sz w:val="20"/>
        </w:rPr>
      </w:pPr>
      <w:r w:rsidRPr="0048102A">
        <w:rPr>
          <w:sz w:val="20"/>
        </w:rPr>
        <w:t>Bank’s gain = -100,000 + 20,000 + 50,000 = (30,000)</w:t>
      </w:r>
    </w:p>
    <w:p w14:paraId="3192575B" w14:textId="77777777" w:rsidR="0048102A" w:rsidRDefault="0048102A" w:rsidP="006F7CB3">
      <w:pPr>
        <w:spacing w:after="0" w:line="240" w:lineRule="auto"/>
        <w:rPr>
          <w:sz w:val="20"/>
        </w:rPr>
        <w:sectPr w:rsidR="0048102A" w:rsidSect="0048102A">
          <w:type w:val="continuous"/>
          <w:pgSz w:w="12240" w:h="15840"/>
          <w:pgMar w:top="1440" w:right="1440" w:bottom="1440" w:left="1440" w:header="720" w:footer="720" w:gutter="0"/>
          <w:cols w:num="2" w:space="720"/>
          <w:docGrid w:linePitch="360"/>
        </w:sectPr>
      </w:pPr>
    </w:p>
    <w:tbl>
      <w:tblPr>
        <w:tblStyle w:val="GridTable5Dark"/>
        <w:tblW w:w="7776" w:type="dxa"/>
        <w:tblInd w:w="785" w:type="dxa"/>
        <w:tblLayout w:type="fixed"/>
        <w:tblLook w:val="04A0" w:firstRow="1" w:lastRow="0" w:firstColumn="1" w:lastColumn="0" w:noHBand="0" w:noVBand="1"/>
      </w:tblPr>
      <w:tblGrid>
        <w:gridCol w:w="2016"/>
        <w:gridCol w:w="2304"/>
        <w:gridCol w:w="1728"/>
        <w:gridCol w:w="1728"/>
      </w:tblGrid>
      <w:tr w:rsidR="00FD5BC0" w:rsidRPr="006F7CB3" w14:paraId="18C76B7B" w14:textId="77777777" w:rsidTr="006261E1">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016" w:type="dxa"/>
            <w:vAlign w:val="center"/>
          </w:tcPr>
          <w:p w14:paraId="47420D34" w14:textId="77777777" w:rsidR="006F7CB3" w:rsidRPr="00FD5BC0" w:rsidRDefault="006F7CB3" w:rsidP="006261E1">
            <w:pPr>
              <w:spacing w:after="160" w:line="259" w:lineRule="auto"/>
              <w:jc w:val="center"/>
              <w:rPr>
                <w:sz w:val="20"/>
                <w:szCs w:val="20"/>
              </w:rPr>
            </w:pPr>
          </w:p>
        </w:tc>
        <w:tc>
          <w:tcPr>
            <w:tcW w:w="2304" w:type="dxa"/>
            <w:vAlign w:val="center"/>
          </w:tcPr>
          <w:p w14:paraId="6AC088C0" w14:textId="4FB2F205" w:rsidR="006F7CB3" w:rsidRPr="00FD5BC0" w:rsidRDefault="006261E1" w:rsidP="006261E1">
            <w:pPr>
              <w:spacing w:after="160" w:line="259" w:lineRule="auto"/>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Tufts Majority</w:t>
            </w:r>
          </w:p>
        </w:tc>
        <w:tc>
          <w:tcPr>
            <w:tcW w:w="3456" w:type="dxa"/>
            <w:gridSpan w:val="2"/>
            <w:vAlign w:val="center"/>
          </w:tcPr>
          <w:p w14:paraId="774B2495" w14:textId="77777777" w:rsidR="006F7CB3" w:rsidRPr="00FD5BC0" w:rsidRDefault="006F7CB3" w:rsidP="006261E1">
            <w:pPr>
              <w:spacing w:after="160" w:line="259" w:lineRule="auto"/>
              <w:jc w:val="center"/>
              <w:cnfStyle w:val="100000000000" w:firstRow="1" w:lastRow="0" w:firstColumn="0" w:lastColumn="0" w:oddVBand="0" w:evenVBand="0" w:oddHBand="0" w:evenHBand="0" w:firstRowFirstColumn="0" w:firstRowLastColumn="0" w:lastRowFirstColumn="0" w:lastRowLastColumn="0"/>
              <w:rPr>
                <w:sz w:val="20"/>
                <w:szCs w:val="20"/>
              </w:rPr>
            </w:pPr>
            <w:r w:rsidRPr="00FD5BC0">
              <w:rPr>
                <w:sz w:val="20"/>
                <w:szCs w:val="20"/>
              </w:rPr>
              <w:t>O’Connor</w:t>
            </w:r>
          </w:p>
        </w:tc>
      </w:tr>
      <w:tr w:rsidR="00161091" w:rsidRPr="006F7CB3" w14:paraId="060811F2" w14:textId="77777777" w:rsidTr="006261E1">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016" w:type="dxa"/>
            <w:vAlign w:val="center"/>
          </w:tcPr>
          <w:p w14:paraId="35731132" w14:textId="0C1AD254" w:rsidR="00161091" w:rsidRPr="00FD5BC0" w:rsidRDefault="00161091" w:rsidP="006261E1">
            <w:pPr>
              <w:spacing w:after="160" w:line="259" w:lineRule="auto"/>
              <w:jc w:val="center"/>
              <w:rPr>
                <w:sz w:val="20"/>
                <w:szCs w:val="20"/>
              </w:rPr>
            </w:pPr>
            <w:r w:rsidRPr="00FD5BC0">
              <w:rPr>
                <w:sz w:val="20"/>
                <w:szCs w:val="20"/>
              </w:rPr>
              <w:t>Amount Realized</w:t>
            </w:r>
          </w:p>
        </w:tc>
        <w:tc>
          <w:tcPr>
            <w:tcW w:w="2304" w:type="dxa"/>
            <w:vAlign w:val="center"/>
          </w:tcPr>
          <w:p w14:paraId="0E6F3FAC" w14:textId="27E28AE5" w:rsidR="00161091" w:rsidRPr="00FD5BC0" w:rsidRDefault="00161091" w:rsidP="006261E1">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FD5BC0">
              <w:rPr>
                <w:sz w:val="20"/>
                <w:szCs w:val="20"/>
              </w:rPr>
              <w:t>80,000</w:t>
            </w:r>
            <w:r>
              <w:rPr>
                <w:sz w:val="20"/>
                <w:szCs w:val="20"/>
              </w:rPr>
              <w:br/>
              <w:t>(Liability – Repayment)</w:t>
            </w:r>
          </w:p>
        </w:tc>
        <w:tc>
          <w:tcPr>
            <w:tcW w:w="1728" w:type="dxa"/>
            <w:vAlign w:val="center"/>
          </w:tcPr>
          <w:p w14:paraId="15A904EC" w14:textId="40E32741" w:rsidR="00161091" w:rsidRPr="00FD5BC0" w:rsidRDefault="00161091" w:rsidP="006261E1">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161091">
              <w:rPr>
                <w:b/>
                <w:sz w:val="20"/>
                <w:szCs w:val="20"/>
              </w:rPr>
              <w:t xml:space="preserve">Property </w:t>
            </w:r>
            <w:r w:rsidRPr="00FD5BC0">
              <w:rPr>
                <w:sz w:val="20"/>
                <w:szCs w:val="20"/>
              </w:rPr>
              <w:t xml:space="preserve">       50,000         </w:t>
            </w:r>
            <w:r>
              <w:rPr>
                <w:sz w:val="20"/>
                <w:szCs w:val="20"/>
              </w:rPr>
              <w:br/>
              <w:t>(FMV of Property @ Surrender)</w:t>
            </w:r>
          </w:p>
        </w:tc>
        <w:tc>
          <w:tcPr>
            <w:tcW w:w="1728" w:type="dxa"/>
            <w:vAlign w:val="center"/>
          </w:tcPr>
          <w:p w14:paraId="24C3C923" w14:textId="35182FD4" w:rsidR="00161091" w:rsidRPr="00FD5BC0" w:rsidRDefault="00161091" w:rsidP="006261E1">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161091">
              <w:rPr>
                <w:b/>
                <w:sz w:val="20"/>
                <w:szCs w:val="20"/>
              </w:rPr>
              <w:t>Loan</w:t>
            </w:r>
            <w:r w:rsidRPr="00FD5BC0">
              <w:rPr>
                <w:sz w:val="20"/>
                <w:szCs w:val="20"/>
              </w:rPr>
              <w:t xml:space="preserve"> </w:t>
            </w:r>
            <w:r>
              <w:rPr>
                <w:sz w:val="20"/>
                <w:szCs w:val="20"/>
              </w:rPr>
              <w:br/>
            </w:r>
            <w:r w:rsidRPr="00FD5BC0">
              <w:rPr>
                <w:sz w:val="20"/>
                <w:szCs w:val="20"/>
              </w:rPr>
              <w:t>80,000</w:t>
            </w:r>
            <w:r>
              <w:rPr>
                <w:sz w:val="20"/>
                <w:szCs w:val="20"/>
              </w:rPr>
              <w:br/>
              <w:t>(Liability – Repayment)</w:t>
            </w:r>
          </w:p>
        </w:tc>
      </w:tr>
      <w:tr w:rsidR="00161091" w:rsidRPr="006F7CB3" w14:paraId="13B9EAC0" w14:textId="77777777" w:rsidTr="006261E1">
        <w:trPr>
          <w:trHeight w:val="432"/>
        </w:trPr>
        <w:tc>
          <w:tcPr>
            <w:cnfStyle w:val="001000000000" w:firstRow="0" w:lastRow="0" w:firstColumn="1" w:lastColumn="0" w:oddVBand="0" w:evenVBand="0" w:oddHBand="0" w:evenHBand="0" w:firstRowFirstColumn="0" w:firstRowLastColumn="0" w:lastRowFirstColumn="0" w:lastRowLastColumn="0"/>
            <w:tcW w:w="2016" w:type="dxa"/>
            <w:vAlign w:val="center"/>
          </w:tcPr>
          <w:p w14:paraId="7EA5164D" w14:textId="02689734" w:rsidR="00161091" w:rsidRPr="00FD5BC0" w:rsidRDefault="00161091" w:rsidP="006261E1">
            <w:pPr>
              <w:spacing w:after="160" w:line="259" w:lineRule="auto"/>
              <w:jc w:val="center"/>
              <w:rPr>
                <w:sz w:val="20"/>
                <w:szCs w:val="20"/>
              </w:rPr>
            </w:pPr>
            <w:r w:rsidRPr="00FD5BC0">
              <w:rPr>
                <w:sz w:val="20"/>
                <w:szCs w:val="20"/>
              </w:rPr>
              <w:t>-Basis</w:t>
            </w:r>
          </w:p>
        </w:tc>
        <w:tc>
          <w:tcPr>
            <w:tcW w:w="2304" w:type="dxa"/>
            <w:vAlign w:val="center"/>
          </w:tcPr>
          <w:p w14:paraId="50423018" w14:textId="20D5EE8E" w:rsidR="00161091" w:rsidRPr="00FD5BC0" w:rsidRDefault="00161091" w:rsidP="006261E1">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FD5BC0">
              <w:rPr>
                <w:sz w:val="20"/>
                <w:szCs w:val="20"/>
              </w:rPr>
              <w:t>40,000</w:t>
            </w:r>
            <w:r>
              <w:rPr>
                <w:sz w:val="20"/>
                <w:szCs w:val="20"/>
              </w:rPr>
              <w:t xml:space="preserve"> </w:t>
            </w:r>
            <w:r>
              <w:rPr>
                <w:sz w:val="20"/>
                <w:szCs w:val="20"/>
              </w:rPr>
              <w:br/>
              <w:t>(Property – Depreciation)</w:t>
            </w:r>
          </w:p>
        </w:tc>
        <w:tc>
          <w:tcPr>
            <w:tcW w:w="1728" w:type="dxa"/>
            <w:vAlign w:val="center"/>
          </w:tcPr>
          <w:p w14:paraId="2AF34E9D" w14:textId="77777777" w:rsidR="00161091" w:rsidRDefault="00161091" w:rsidP="006261E1">
            <w:pPr>
              <w:jc w:val="center"/>
              <w:cnfStyle w:val="000000000000" w:firstRow="0" w:lastRow="0" w:firstColumn="0" w:lastColumn="0" w:oddVBand="0" w:evenVBand="0" w:oddHBand="0" w:evenHBand="0" w:firstRowFirstColumn="0" w:firstRowLastColumn="0" w:lastRowFirstColumn="0" w:lastRowLastColumn="0"/>
              <w:rPr>
                <w:sz w:val="20"/>
                <w:szCs w:val="20"/>
              </w:rPr>
            </w:pPr>
            <w:r w:rsidRPr="00FD5BC0">
              <w:rPr>
                <w:sz w:val="20"/>
                <w:szCs w:val="20"/>
              </w:rPr>
              <w:t>40,000</w:t>
            </w:r>
          </w:p>
          <w:p w14:paraId="2025AE27" w14:textId="6847D350" w:rsidR="00161091" w:rsidRPr="00FD5BC0" w:rsidRDefault="00161091" w:rsidP="006261E1">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(Property – </w:t>
            </w:r>
            <w:r w:rsidR="0001155B">
              <w:rPr>
                <w:sz w:val="20"/>
                <w:szCs w:val="20"/>
              </w:rPr>
              <w:t>Depreciation)</w:t>
            </w:r>
          </w:p>
        </w:tc>
        <w:tc>
          <w:tcPr>
            <w:tcW w:w="1728" w:type="dxa"/>
            <w:vAlign w:val="center"/>
          </w:tcPr>
          <w:p w14:paraId="163BEB2D" w14:textId="4090D057" w:rsidR="00161091" w:rsidRPr="00FD5BC0" w:rsidRDefault="00161091" w:rsidP="006261E1">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FD5BC0">
              <w:rPr>
                <w:sz w:val="20"/>
                <w:szCs w:val="20"/>
              </w:rPr>
              <w:t>50,000</w:t>
            </w:r>
            <w:r>
              <w:rPr>
                <w:sz w:val="20"/>
                <w:szCs w:val="20"/>
              </w:rPr>
              <w:br/>
              <w:t>(FMV of Property @ Surrender)</w:t>
            </w:r>
          </w:p>
        </w:tc>
      </w:tr>
      <w:tr w:rsidR="00161091" w:rsidRPr="006F7CB3" w14:paraId="6ADB6612" w14:textId="77777777" w:rsidTr="006261E1">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016" w:type="dxa"/>
            <w:vAlign w:val="center"/>
          </w:tcPr>
          <w:p w14:paraId="5E6F9393" w14:textId="12634291" w:rsidR="00161091" w:rsidRPr="00FD5BC0" w:rsidRDefault="00161091" w:rsidP="006261E1">
            <w:pPr>
              <w:spacing w:after="160" w:line="259" w:lineRule="auto"/>
              <w:jc w:val="center"/>
              <w:rPr>
                <w:sz w:val="20"/>
                <w:szCs w:val="20"/>
              </w:rPr>
            </w:pPr>
            <w:r w:rsidRPr="00FD5BC0">
              <w:rPr>
                <w:sz w:val="20"/>
                <w:szCs w:val="20"/>
              </w:rPr>
              <w:t>Gain/Loss</w:t>
            </w:r>
          </w:p>
        </w:tc>
        <w:tc>
          <w:tcPr>
            <w:tcW w:w="2304" w:type="dxa"/>
            <w:vAlign w:val="center"/>
          </w:tcPr>
          <w:p w14:paraId="5B008DE1" w14:textId="72BEE4E7" w:rsidR="00161091" w:rsidRPr="00FD5BC0" w:rsidRDefault="00161091" w:rsidP="006261E1">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FD5BC0">
              <w:rPr>
                <w:sz w:val="20"/>
                <w:szCs w:val="20"/>
              </w:rPr>
              <w:t>40,000</w:t>
            </w:r>
          </w:p>
        </w:tc>
        <w:tc>
          <w:tcPr>
            <w:tcW w:w="1728" w:type="dxa"/>
            <w:vAlign w:val="center"/>
          </w:tcPr>
          <w:p w14:paraId="45BC6C26" w14:textId="26828F49" w:rsidR="00161091" w:rsidRPr="00FD5BC0" w:rsidRDefault="00161091" w:rsidP="006261E1">
            <w:pPr>
              <w:jc w:val="center"/>
              <w:cnfStyle w:val="000000100000" w:firstRow="0" w:lastRow="0" w:firstColumn="0" w:lastColumn="0" w:oddVBand="0" w:evenVBand="0" w:oddHBand="1" w:evenHBand="0" w:firstRowFirstColumn="0" w:firstRowLastColumn="0" w:lastRowFirstColumn="0" w:lastRowLastColumn="0"/>
              <w:rPr>
                <w:sz w:val="20"/>
                <w:szCs w:val="20"/>
              </w:rPr>
            </w:pPr>
            <w:r w:rsidRPr="00FD5BC0">
              <w:rPr>
                <w:sz w:val="20"/>
                <w:szCs w:val="20"/>
              </w:rPr>
              <w:t>10,000</w:t>
            </w:r>
          </w:p>
        </w:tc>
        <w:tc>
          <w:tcPr>
            <w:tcW w:w="1728" w:type="dxa"/>
            <w:vAlign w:val="center"/>
          </w:tcPr>
          <w:p w14:paraId="726369B6" w14:textId="20958D1A" w:rsidR="00161091" w:rsidRPr="00FD5BC0" w:rsidRDefault="00161091" w:rsidP="006261E1">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FD5BC0">
              <w:rPr>
                <w:sz w:val="20"/>
                <w:szCs w:val="20"/>
              </w:rPr>
              <w:t>30,000</w:t>
            </w:r>
          </w:p>
        </w:tc>
      </w:tr>
      <w:tr w:rsidR="00FD5BC0" w:rsidRPr="006F7CB3" w14:paraId="29F81A69" w14:textId="77777777" w:rsidTr="006261E1">
        <w:trPr>
          <w:trHeight w:val="432"/>
        </w:trPr>
        <w:tc>
          <w:tcPr>
            <w:cnfStyle w:val="001000000000" w:firstRow="0" w:lastRow="0" w:firstColumn="1" w:lastColumn="0" w:oddVBand="0" w:evenVBand="0" w:oddHBand="0" w:evenHBand="0" w:firstRowFirstColumn="0" w:firstRowLastColumn="0" w:lastRowFirstColumn="0" w:lastRowLastColumn="0"/>
            <w:tcW w:w="2016" w:type="dxa"/>
            <w:vAlign w:val="center"/>
          </w:tcPr>
          <w:p w14:paraId="71C4F3F0" w14:textId="239AF5C1" w:rsidR="006F7CB3" w:rsidRPr="00FD5BC0" w:rsidRDefault="0048102A" w:rsidP="006261E1">
            <w:pPr>
              <w:spacing w:after="160" w:line="259" w:lineRule="auto"/>
              <w:jc w:val="center"/>
              <w:rPr>
                <w:sz w:val="20"/>
                <w:szCs w:val="20"/>
              </w:rPr>
            </w:pPr>
            <w:r w:rsidRPr="00FD5BC0">
              <w:rPr>
                <w:sz w:val="20"/>
                <w:szCs w:val="20"/>
              </w:rPr>
              <w:t xml:space="preserve">TAX CONSEQUENCES: </w:t>
            </w:r>
            <w:r w:rsidR="006F7CB3" w:rsidRPr="00FD5BC0">
              <w:rPr>
                <w:sz w:val="20"/>
                <w:szCs w:val="20"/>
              </w:rPr>
              <w:t>Today</w:t>
            </w:r>
          </w:p>
        </w:tc>
        <w:tc>
          <w:tcPr>
            <w:tcW w:w="2304" w:type="dxa"/>
            <w:vAlign w:val="center"/>
          </w:tcPr>
          <w:p w14:paraId="2BCF2D28" w14:textId="137FD238" w:rsidR="006F7CB3" w:rsidRPr="00FD5BC0" w:rsidRDefault="006F7CB3" w:rsidP="006261E1">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FD5BC0">
              <w:rPr>
                <w:sz w:val="20"/>
                <w:szCs w:val="20"/>
              </w:rPr>
              <w:t>40,000</w:t>
            </w:r>
          </w:p>
        </w:tc>
        <w:tc>
          <w:tcPr>
            <w:tcW w:w="3456" w:type="dxa"/>
            <w:gridSpan w:val="2"/>
            <w:vAlign w:val="center"/>
          </w:tcPr>
          <w:p w14:paraId="460431D2" w14:textId="450883BA" w:rsidR="006F7CB3" w:rsidRPr="00FD5BC0" w:rsidRDefault="00CA6AEE" w:rsidP="006261E1">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FD5BC0">
              <w:rPr>
                <w:sz w:val="20"/>
                <w:szCs w:val="20"/>
              </w:rPr>
              <w:t>40,000</w:t>
            </w:r>
          </w:p>
        </w:tc>
      </w:tr>
      <w:tr w:rsidR="00FD5BC0" w:rsidRPr="006F7CB3" w14:paraId="6A225438" w14:textId="77777777" w:rsidTr="006261E1">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016" w:type="dxa"/>
            <w:vAlign w:val="center"/>
          </w:tcPr>
          <w:p w14:paraId="60E7BA12" w14:textId="0B5C2CFF" w:rsidR="006F7CB3" w:rsidRPr="00FD5BC0" w:rsidRDefault="006F7CB3" w:rsidP="006261E1">
            <w:pPr>
              <w:spacing w:after="160" w:line="259" w:lineRule="auto"/>
              <w:jc w:val="center"/>
              <w:rPr>
                <w:sz w:val="20"/>
                <w:szCs w:val="20"/>
              </w:rPr>
            </w:pPr>
            <w:r w:rsidRPr="00FD5BC0">
              <w:rPr>
                <w:sz w:val="20"/>
                <w:szCs w:val="20"/>
              </w:rPr>
              <w:t>Past</w:t>
            </w:r>
          </w:p>
        </w:tc>
        <w:tc>
          <w:tcPr>
            <w:tcW w:w="2304" w:type="dxa"/>
            <w:vAlign w:val="center"/>
          </w:tcPr>
          <w:p w14:paraId="34DA3DC6" w14:textId="5D068AFA" w:rsidR="006F7CB3" w:rsidRPr="00FD5BC0" w:rsidRDefault="0048102A" w:rsidP="006261E1">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FD5BC0">
              <w:rPr>
                <w:sz w:val="20"/>
                <w:szCs w:val="20"/>
              </w:rPr>
              <w:t>-</w:t>
            </w:r>
            <w:r w:rsidR="006F7CB3" w:rsidRPr="00FD5BC0">
              <w:rPr>
                <w:sz w:val="20"/>
                <w:szCs w:val="20"/>
              </w:rPr>
              <w:t>60,000</w:t>
            </w:r>
          </w:p>
        </w:tc>
        <w:tc>
          <w:tcPr>
            <w:tcW w:w="3456" w:type="dxa"/>
            <w:gridSpan w:val="2"/>
            <w:vAlign w:val="center"/>
          </w:tcPr>
          <w:p w14:paraId="3380AAB9" w14:textId="71D864B3" w:rsidR="006F7CB3" w:rsidRPr="00FD5BC0" w:rsidRDefault="0048102A" w:rsidP="006261E1">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FD5BC0">
              <w:rPr>
                <w:sz w:val="20"/>
                <w:szCs w:val="20"/>
              </w:rPr>
              <w:t>-60,000</w:t>
            </w:r>
          </w:p>
        </w:tc>
      </w:tr>
      <w:tr w:rsidR="00FD5BC0" w:rsidRPr="006F7CB3" w14:paraId="14929146" w14:textId="77777777" w:rsidTr="006261E1">
        <w:trPr>
          <w:trHeight w:val="432"/>
        </w:trPr>
        <w:tc>
          <w:tcPr>
            <w:cnfStyle w:val="001000000000" w:firstRow="0" w:lastRow="0" w:firstColumn="1" w:lastColumn="0" w:oddVBand="0" w:evenVBand="0" w:oddHBand="0" w:evenHBand="0" w:firstRowFirstColumn="0" w:firstRowLastColumn="0" w:lastRowFirstColumn="0" w:lastRowLastColumn="0"/>
            <w:tcW w:w="2016" w:type="dxa"/>
            <w:vAlign w:val="center"/>
          </w:tcPr>
          <w:p w14:paraId="32C4143A" w14:textId="30A68BC8" w:rsidR="006F7CB3" w:rsidRPr="00FD5BC0" w:rsidRDefault="0048102A" w:rsidP="006261E1">
            <w:pPr>
              <w:spacing w:after="160" w:line="259" w:lineRule="auto"/>
              <w:jc w:val="center"/>
              <w:rPr>
                <w:sz w:val="20"/>
                <w:szCs w:val="20"/>
              </w:rPr>
            </w:pPr>
            <w:r w:rsidRPr="00FD5BC0">
              <w:rPr>
                <w:sz w:val="20"/>
                <w:szCs w:val="20"/>
              </w:rPr>
              <w:t>TOTAL</w:t>
            </w:r>
          </w:p>
        </w:tc>
        <w:tc>
          <w:tcPr>
            <w:tcW w:w="2304" w:type="dxa"/>
            <w:vAlign w:val="center"/>
          </w:tcPr>
          <w:p w14:paraId="2748D415" w14:textId="4B76D1A0" w:rsidR="006F7CB3" w:rsidRPr="00FD5BC0" w:rsidRDefault="0048102A" w:rsidP="006261E1">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FD5BC0">
              <w:rPr>
                <w:sz w:val="20"/>
                <w:szCs w:val="20"/>
              </w:rPr>
              <w:t>-20,000</w:t>
            </w:r>
          </w:p>
        </w:tc>
        <w:tc>
          <w:tcPr>
            <w:tcW w:w="3456" w:type="dxa"/>
            <w:gridSpan w:val="2"/>
            <w:vAlign w:val="center"/>
          </w:tcPr>
          <w:p w14:paraId="2FFCE965" w14:textId="1E85CCA7" w:rsidR="006F7CB3" w:rsidRPr="00FD5BC0" w:rsidRDefault="0048102A" w:rsidP="006261E1">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FD5BC0">
              <w:rPr>
                <w:sz w:val="20"/>
                <w:szCs w:val="20"/>
              </w:rPr>
              <w:t>-20,000</w:t>
            </w:r>
          </w:p>
        </w:tc>
      </w:tr>
    </w:tbl>
    <w:p w14:paraId="722A18A4" w14:textId="623E86B9" w:rsidR="007072CB" w:rsidRDefault="007072CB" w:rsidP="007072CB">
      <w:pPr>
        <w:pStyle w:val="ListParagraph"/>
        <w:numPr>
          <w:ilvl w:val="1"/>
          <w:numId w:val="23"/>
        </w:numPr>
        <w:rPr>
          <w:sz w:val="20"/>
        </w:rPr>
      </w:pPr>
      <w:r>
        <w:rPr>
          <w:i/>
          <w:sz w:val="20"/>
        </w:rPr>
        <w:t xml:space="preserve">Crane </w:t>
      </w:r>
      <w:r>
        <w:rPr>
          <w:sz w:val="20"/>
        </w:rPr>
        <w:t>n. 37 has the same calculation as O’Conner’s Property section – but this doesn’t lead to a correct reflection of reality when the purchase</w:t>
      </w:r>
      <w:r w:rsidR="00E41297">
        <w:rPr>
          <w:sz w:val="20"/>
        </w:rPr>
        <w:t>r</w:t>
      </w:r>
      <w:r>
        <w:rPr>
          <w:sz w:val="20"/>
        </w:rPr>
        <w:t xml:space="preserve"> is upside-down in investment</w:t>
      </w:r>
    </w:p>
    <w:p w14:paraId="2BE365F6" w14:textId="7F0EB45C" w:rsidR="00E905F8" w:rsidRDefault="005367F5" w:rsidP="005925AB">
      <w:pPr>
        <w:pStyle w:val="ListParagraph"/>
        <w:numPr>
          <w:ilvl w:val="0"/>
          <w:numId w:val="23"/>
        </w:numPr>
        <w:rPr>
          <w:sz w:val="20"/>
        </w:rPr>
      </w:pPr>
      <w:r>
        <w:rPr>
          <w:sz w:val="20"/>
        </w:rPr>
        <w:t xml:space="preserve">This rule allows taxpayers to get basis without putting their own money into an investment – it is an opportunity to defer tax payments, creating a </w:t>
      </w:r>
      <w:r>
        <w:rPr>
          <w:i/>
          <w:sz w:val="20"/>
        </w:rPr>
        <w:t xml:space="preserve">huge </w:t>
      </w:r>
      <w:r>
        <w:rPr>
          <w:sz w:val="20"/>
        </w:rPr>
        <w:t>loop</w:t>
      </w:r>
      <w:r w:rsidR="00E905F8">
        <w:rPr>
          <w:sz w:val="20"/>
        </w:rPr>
        <w:t>hole for tax shelters</w:t>
      </w:r>
    </w:p>
    <w:p w14:paraId="67714982" w14:textId="2449E7B3" w:rsidR="006F7CB3" w:rsidRPr="00292FA6" w:rsidRDefault="00E905F8" w:rsidP="005925AB">
      <w:pPr>
        <w:pStyle w:val="ListParagraph"/>
        <w:numPr>
          <w:ilvl w:val="1"/>
          <w:numId w:val="23"/>
        </w:numPr>
      </w:pPr>
      <w:r w:rsidRPr="009A2C3E">
        <w:rPr>
          <w:i/>
          <w:sz w:val="20"/>
        </w:rPr>
        <w:lastRenderedPageBreak/>
        <w:t xml:space="preserve">Estate of Franklin </w:t>
      </w:r>
      <w:r w:rsidR="00D37796">
        <w:rPr>
          <w:sz w:val="20"/>
        </w:rPr>
        <w:t>is a runaround</w:t>
      </w:r>
      <w:r w:rsidRPr="009A2C3E">
        <w:rPr>
          <w:sz w:val="20"/>
        </w:rPr>
        <w:t xml:space="preserve"> the IRS tries to squ</w:t>
      </w:r>
      <w:r w:rsidR="00D37796">
        <w:rPr>
          <w:sz w:val="20"/>
        </w:rPr>
        <w:t>ash – no depreciation unless buyer can show that</w:t>
      </w:r>
      <w:r w:rsidRPr="009A2C3E">
        <w:rPr>
          <w:sz w:val="20"/>
        </w:rPr>
        <w:t xml:space="preserve"> purchase price has a reasonable relationship to </w:t>
      </w:r>
      <w:r w:rsidR="008A1EE7">
        <w:rPr>
          <w:sz w:val="20"/>
        </w:rPr>
        <w:t>FMV – otherwise, buyer</w:t>
      </w:r>
      <w:r w:rsidRPr="009A2C3E">
        <w:rPr>
          <w:sz w:val="20"/>
        </w:rPr>
        <w:t xml:space="preserve"> make</w:t>
      </w:r>
      <w:r w:rsidR="008A1EE7">
        <w:rPr>
          <w:sz w:val="20"/>
        </w:rPr>
        <w:t xml:space="preserve">s interest payments without hope of </w:t>
      </w:r>
      <w:r w:rsidRPr="009A2C3E">
        <w:rPr>
          <w:sz w:val="20"/>
        </w:rPr>
        <w:t>gaining equity in the “investment”</w:t>
      </w:r>
    </w:p>
    <w:p w14:paraId="7D775531" w14:textId="59760BF9" w:rsidR="00292FA6" w:rsidRPr="00292FA6" w:rsidRDefault="00292FA6" w:rsidP="005925AB">
      <w:pPr>
        <w:pStyle w:val="ListParagraph"/>
        <w:numPr>
          <w:ilvl w:val="1"/>
          <w:numId w:val="23"/>
        </w:numPr>
      </w:pPr>
      <w:r>
        <w:rPr>
          <w:sz w:val="20"/>
        </w:rPr>
        <w:t>Tax shelters’ effectiveness can be limited in three ways:</w:t>
      </w:r>
    </w:p>
    <w:p w14:paraId="20B647DE" w14:textId="6B68A0C6" w:rsidR="00292FA6" w:rsidRPr="00292FA6" w:rsidRDefault="00292FA6" w:rsidP="005925AB">
      <w:pPr>
        <w:pStyle w:val="ListParagraph"/>
        <w:numPr>
          <w:ilvl w:val="2"/>
          <w:numId w:val="23"/>
        </w:numPr>
      </w:pPr>
      <w:r>
        <w:rPr>
          <w:sz w:val="20"/>
        </w:rPr>
        <w:t>Alternative minimum tax</w:t>
      </w:r>
    </w:p>
    <w:p w14:paraId="27ECCC95" w14:textId="203C911E" w:rsidR="00292FA6" w:rsidRPr="00292FA6" w:rsidRDefault="00292FA6" w:rsidP="005925AB">
      <w:pPr>
        <w:pStyle w:val="ListParagraph"/>
        <w:numPr>
          <w:ilvl w:val="2"/>
          <w:numId w:val="23"/>
        </w:numPr>
      </w:pPr>
      <w:r>
        <w:rPr>
          <w:sz w:val="20"/>
        </w:rPr>
        <w:t>§465 limits deductions to the amount actually at risk</w:t>
      </w:r>
    </w:p>
    <w:p w14:paraId="4E97F002" w14:textId="20B57541" w:rsidR="00292FA6" w:rsidRPr="00B51668" w:rsidRDefault="00292FA6" w:rsidP="005925AB">
      <w:pPr>
        <w:pStyle w:val="ListParagraph"/>
        <w:numPr>
          <w:ilvl w:val="2"/>
          <w:numId w:val="23"/>
        </w:numPr>
      </w:pPr>
      <w:r>
        <w:rPr>
          <w:sz w:val="20"/>
        </w:rPr>
        <w:t>§469 limits deductions to “active” business participants</w:t>
      </w:r>
    </w:p>
    <w:p w14:paraId="6C5FEF3D" w14:textId="2DDD7357" w:rsidR="00B51668" w:rsidRDefault="00B51668" w:rsidP="00B51668">
      <w:pPr>
        <w:pStyle w:val="Heading4"/>
        <w:rPr>
          <w:sz w:val="20"/>
          <w:szCs w:val="20"/>
        </w:rPr>
      </w:pPr>
      <w:r>
        <w:rPr>
          <w:sz w:val="20"/>
        </w:rPr>
        <w:t>Annual Reportin</w:t>
      </w:r>
      <w:r w:rsidRPr="00B51668">
        <w:rPr>
          <w:sz w:val="20"/>
          <w:szCs w:val="20"/>
        </w:rPr>
        <w:t>g</w:t>
      </w:r>
    </w:p>
    <w:p w14:paraId="239E94B8" w14:textId="65613F75" w:rsidR="00B51668" w:rsidRPr="00B51668" w:rsidRDefault="00B51668" w:rsidP="00B51668">
      <w:pPr>
        <w:pStyle w:val="ListParagraph"/>
        <w:numPr>
          <w:ilvl w:val="0"/>
          <w:numId w:val="28"/>
        </w:numPr>
      </w:pPr>
      <w:r>
        <w:rPr>
          <w:sz w:val="20"/>
        </w:rPr>
        <w:t xml:space="preserve">Taxes are assessed annually as an arbitrary (but necessary) bright line for receipt of tax revenues – </w:t>
      </w:r>
      <w:r>
        <w:rPr>
          <w:i/>
          <w:sz w:val="20"/>
        </w:rPr>
        <w:t>Burnet v. Sanford &amp; Brooks</w:t>
      </w:r>
    </w:p>
    <w:p w14:paraId="5ECC6380" w14:textId="42F32B30" w:rsidR="00B51668" w:rsidRPr="00595997" w:rsidRDefault="00B51668" w:rsidP="00B51668">
      <w:pPr>
        <w:pStyle w:val="ListParagraph"/>
        <w:numPr>
          <w:ilvl w:val="1"/>
          <w:numId w:val="28"/>
        </w:numPr>
      </w:pPr>
      <w:r>
        <w:rPr>
          <w:sz w:val="20"/>
        </w:rPr>
        <w:t xml:space="preserve">Resolved by §172’s </w:t>
      </w:r>
      <w:r w:rsidR="00595997">
        <w:rPr>
          <w:sz w:val="20"/>
        </w:rPr>
        <w:t xml:space="preserve">loss </w:t>
      </w:r>
      <w:r>
        <w:rPr>
          <w:sz w:val="20"/>
        </w:rPr>
        <w:t>carryback/forward provisions</w:t>
      </w:r>
    </w:p>
    <w:p w14:paraId="4839A67B" w14:textId="750A8CBB" w:rsidR="00595997" w:rsidRPr="00595997" w:rsidRDefault="00595997" w:rsidP="00595997">
      <w:pPr>
        <w:pStyle w:val="ListParagraph"/>
        <w:numPr>
          <w:ilvl w:val="2"/>
          <w:numId w:val="28"/>
        </w:numPr>
      </w:pPr>
      <w:r>
        <w:rPr>
          <w:sz w:val="20"/>
        </w:rPr>
        <w:t>Allows carryback of 2 years and carryforward for 20 years</w:t>
      </w:r>
    </w:p>
    <w:p w14:paraId="30C5E4C2" w14:textId="57237F72" w:rsidR="00595997" w:rsidRPr="00595997" w:rsidRDefault="00595997" w:rsidP="00595997">
      <w:pPr>
        <w:pStyle w:val="ListParagraph"/>
        <w:numPr>
          <w:ilvl w:val="3"/>
          <w:numId w:val="28"/>
        </w:numPr>
      </w:pPr>
      <w:r>
        <w:rPr>
          <w:sz w:val="20"/>
        </w:rPr>
        <w:t>Entire amount is carried to the earliest year to which the loss can be carried</w:t>
      </w:r>
    </w:p>
    <w:p w14:paraId="07DD14A8" w14:textId="6BF2BA6A" w:rsidR="00595997" w:rsidRPr="00B51668" w:rsidRDefault="00595997" w:rsidP="00595997">
      <w:pPr>
        <w:pStyle w:val="ListParagraph"/>
        <w:numPr>
          <w:ilvl w:val="2"/>
          <w:numId w:val="28"/>
        </w:numPr>
      </w:pPr>
      <w:r>
        <w:rPr>
          <w:sz w:val="20"/>
        </w:rPr>
        <w:t>Only applies to business losses – personal exemptions, etc. cannot be carried</w:t>
      </w:r>
    </w:p>
    <w:p w14:paraId="2B0A90EF" w14:textId="10A50287" w:rsidR="00B51668" w:rsidRPr="00E64123" w:rsidRDefault="00F67823" w:rsidP="00B51668">
      <w:pPr>
        <w:pStyle w:val="ListParagraph"/>
        <w:numPr>
          <w:ilvl w:val="2"/>
          <w:numId w:val="28"/>
        </w:numPr>
      </w:pPr>
      <w:r>
        <w:rPr>
          <w:sz w:val="20"/>
        </w:rPr>
        <w:t>Modern justification</w:t>
      </w:r>
      <w:r w:rsidR="00B51668">
        <w:rPr>
          <w:sz w:val="20"/>
        </w:rPr>
        <w:t xml:space="preserve"> as diminish</w:t>
      </w:r>
      <w:r>
        <w:rPr>
          <w:sz w:val="20"/>
        </w:rPr>
        <w:t>ing</w:t>
      </w:r>
      <w:r w:rsidR="00B51668">
        <w:rPr>
          <w:sz w:val="20"/>
        </w:rPr>
        <w:t xml:space="preserve"> impact of large income variability from year to year</w:t>
      </w:r>
    </w:p>
    <w:p w14:paraId="4427E1DE" w14:textId="77777777" w:rsidR="000B419D" w:rsidRPr="000B419D" w:rsidRDefault="00E64123" w:rsidP="00E64123">
      <w:pPr>
        <w:pStyle w:val="ListParagraph"/>
        <w:numPr>
          <w:ilvl w:val="1"/>
          <w:numId w:val="28"/>
        </w:numPr>
      </w:pPr>
      <w:r>
        <w:rPr>
          <w:sz w:val="20"/>
        </w:rPr>
        <w:t xml:space="preserve">The “transactional approach” argued for in </w:t>
      </w:r>
      <w:r>
        <w:rPr>
          <w:i/>
          <w:sz w:val="20"/>
        </w:rPr>
        <w:t xml:space="preserve">Burnet </w:t>
      </w:r>
      <w:r>
        <w:rPr>
          <w:sz w:val="20"/>
        </w:rPr>
        <w:t xml:space="preserve">is partially revived in §111 – gross income does </w:t>
      </w:r>
      <w:r>
        <w:rPr>
          <w:b/>
          <w:sz w:val="20"/>
        </w:rPr>
        <w:t xml:space="preserve">not </w:t>
      </w:r>
      <w:r>
        <w:rPr>
          <w:sz w:val="20"/>
        </w:rPr>
        <w:t xml:space="preserve">include amounts deducted in previous years if deduction didn’t reduce tax </w:t>
      </w:r>
    </w:p>
    <w:p w14:paraId="255EB243" w14:textId="10AD2FEB" w:rsidR="00E64123" w:rsidRPr="007F50EA" w:rsidRDefault="000B419D" w:rsidP="000B419D">
      <w:pPr>
        <w:pStyle w:val="ListParagraph"/>
        <w:numPr>
          <w:ilvl w:val="2"/>
          <w:numId w:val="28"/>
        </w:numPr>
      </w:pPr>
      <w:r>
        <w:rPr>
          <w:sz w:val="20"/>
        </w:rPr>
        <w:t>I</w:t>
      </w:r>
      <w:r w:rsidRPr="000B419D">
        <w:rPr>
          <w:sz w:val="20"/>
        </w:rPr>
        <w:t>f benefit was received, we’ll “undo” it in late</w:t>
      </w:r>
      <w:r>
        <w:rPr>
          <w:sz w:val="20"/>
        </w:rPr>
        <w:t>r transaction</w:t>
      </w:r>
      <w:r w:rsidR="0030650E">
        <w:rPr>
          <w:sz w:val="20"/>
        </w:rPr>
        <w:t xml:space="preserve"> – but see §1341</w:t>
      </w:r>
    </w:p>
    <w:p w14:paraId="7D22879D" w14:textId="71BEE914" w:rsidR="007F50EA" w:rsidRPr="00B94FD1" w:rsidRDefault="00B94FD1" w:rsidP="00E64123">
      <w:pPr>
        <w:pStyle w:val="ListParagraph"/>
        <w:numPr>
          <w:ilvl w:val="1"/>
          <w:numId w:val="28"/>
        </w:numPr>
      </w:pPr>
      <w:r>
        <w:rPr>
          <w:sz w:val="20"/>
        </w:rPr>
        <w:t xml:space="preserve">§1341 also allows a deduction if an item </w:t>
      </w:r>
      <w:r>
        <w:rPr>
          <w:i/>
          <w:sz w:val="20"/>
        </w:rPr>
        <w:t xml:space="preserve">was </w:t>
      </w:r>
      <w:r>
        <w:rPr>
          <w:sz w:val="20"/>
        </w:rPr>
        <w:t xml:space="preserve">included in gross income because it appeared that the taxpayer had a right to the property, and it later becomes known that such right did </w:t>
      </w:r>
      <w:r>
        <w:rPr>
          <w:b/>
          <w:sz w:val="20"/>
        </w:rPr>
        <w:t xml:space="preserve">not </w:t>
      </w:r>
      <w:r>
        <w:rPr>
          <w:sz w:val="20"/>
        </w:rPr>
        <w:t>exist</w:t>
      </w:r>
    </w:p>
    <w:p w14:paraId="22A0C838" w14:textId="259E8BDC" w:rsidR="000B419D" w:rsidRPr="000B419D" w:rsidRDefault="000B419D" w:rsidP="00B94FD1">
      <w:pPr>
        <w:pStyle w:val="ListParagraph"/>
        <w:numPr>
          <w:ilvl w:val="2"/>
          <w:numId w:val="28"/>
        </w:numPr>
      </w:pPr>
      <w:r>
        <w:rPr>
          <w:sz w:val="20"/>
        </w:rPr>
        <w:t>Takes into account potential change in tax rate to make sure treatment is “fair”</w:t>
      </w:r>
    </w:p>
    <w:p w14:paraId="4400884C" w14:textId="417E3AC1" w:rsidR="00B94FD1" w:rsidRPr="005A6BC7" w:rsidRDefault="00B94FD1" w:rsidP="00B94FD1">
      <w:pPr>
        <w:pStyle w:val="ListParagraph"/>
        <w:numPr>
          <w:ilvl w:val="2"/>
          <w:numId w:val="28"/>
        </w:numPr>
      </w:pPr>
      <w:r>
        <w:rPr>
          <w:sz w:val="20"/>
        </w:rPr>
        <w:t>Limited to deductions in excess of $3,000</w:t>
      </w:r>
    </w:p>
    <w:p w14:paraId="1889859A" w14:textId="200557C1" w:rsidR="005A6BC7" w:rsidRPr="002E1BE5" w:rsidRDefault="002E1BE5" w:rsidP="005A6BC7">
      <w:pPr>
        <w:pStyle w:val="ListParagraph"/>
        <w:numPr>
          <w:ilvl w:val="0"/>
          <w:numId w:val="28"/>
        </w:numPr>
      </w:pPr>
      <w:r>
        <w:rPr>
          <w:sz w:val="20"/>
        </w:rPr>
        <w:t>Cash and accrual methods of accounting present different problems in tax treatment</w:t>
      </w:r>
    </w:p>
    <w:p w14:paraId="08043FD6" w14:textId="32C9F9E3" w:rsidR="002E1BE5" w:rsidRPr="006F2CAE" w:rsidRDefault="002E1BE5" w:rsidP="002E1BE5">
      <w:pPr>
        <w:pStyle w:val="ListParagraph"/>
        <w:numPr>
          <w:ilvl w:val="1"/>
          <w:numId w:val="28"/>
        </w:numPr>
      </w:pPr>
      <w:r>
        <w:rPr>
          <w:sz w:val="20"/>
        </w:rPr>
        <w:t xml:space="preserve">The purpose of accrual accounting is to </w:t>
      </w:r>
      <w:r>
        <w:rPr>
          <w:i/>
          <w:sz w:val="20"/>
        </w:rPr>
        <w:t xml:space="preserve">never </w:t>
      </w:r>
      <w:r>
        <w:rPr>
          <w:sz w:val="20"/>
        </w:rPr>
        <w:t>overstate income – valuable for financial reporting, unnecessary (and even counterproductive?) for tax purposes</w:t>
      </w:r>
    </w:p>
    <w:p w14:paraId="6B73A634" w14:textId="0373C34F" w:rsidR="00BA2408" w:rsidRPr="00BA2408" w:rsidRDefault="006F2CAE" w:rsidP="00BA2408">
      <w:pPr>
        <w:pStyle w:val="ListParagraph"/>
        <w:numPr>
          <w:ilvl w:val="2"/>
          <w:numId w:val="28"/>
        </w:numPr>
      </w:pPr>
      <w:r>
        <w:rPr>
          <w:sz w:val="20"/>
        </w:rPr>
        <w:t xml:space="preserve">Most large firms are </w:t>
      </w:r>
      <w:r>
        <w:rPr>
          <w:i/>
          <w:sz w:val="20"/>
        </w:rPr>
        <w:t xml:space="preserve">required </w:t>
      </w:r>
      <w:r>
        <w:rPr>
          <w:sz w:val="20"/>
        </w:rPr>
        <w:t>to use the accrual method</w:t>
      </w:r>
      <w:r w:rsidR="00BA2408">
        <w:rPr>
          <w:sz w:val="20"/>
        </w:rPr>
        <w:t xml:space="preserve"> - §448</w:t>
      </w:r>
    </w:p>
    <w:p w14:paraId="0B185950" w14:textId="2B8BC44A" w:rsidR="00BA2408" w:rsidRPr="006F2CAE" w:rsidRDefault="00BA2408" w:rsidP="00BA2408">
      <w:pPr>
        <w:pStyle w:val="ListParagraph"/>
        <w:numPr>
          <w:ilvl w:val="2"/>
          <w:numId w:val="28"/>
        </w:numPr>
      </w:pPr>
      <w:r>
        <w:rPr>
          <w:sz w:val="20"/>
        </w:rPr>
        <w:t xml:space="preserve">Can cause liquidity problems (if revenue is required to be recognized before cash is received), time value of money advantage </w:t>
      </w:r>
      <w:r w:rsidR="000B510D">
        <w:rPr>
          <w:sz w:val="20"/>
        </w:rPr>
        <w:t>(</w:t>
      </w:r>
      <w:r>
        <w:rPr>
          <w:sz w:val="20"/>
        </w:rPr>
        <w:t>by deducting amounts to be paid in the future today</w:t>
      </w:r>
      <w:r w:rsidR="000B510D">
        <w:rPr>
          <w:sz w:val="20"/>
        </w:rPr>
        <w:t>)</w:t>
      </w:r>
    </w:p>
    <w:p w14:paraId="409DC8F1" w14:textId="361B81B9" w:rsidR="006F2CAE" w:rsidRPr="0091434A" w:rsidRDefault="006F2CAE" w:rsidP="006F2CAE">
      <w:pPr>
        <w:pStyle w:val="ListParagraph"/>
        <w:numPr>
          <w:ilvl w:val="1"/>
          <w:numId w:val="28"/>
        </w:numPr>
      </w:pPr>
      <w:r>
        <w:rPr>
          <w:sz w:val="20"/>
        </w:rPr>
        <w:t>Cash method has had to adapt somewhat to limit flexibility to report income whenever is most convenient – mostly accomplished through “constructive receipts”</w:t>
      </w:r>
    </w:p>
    <w:p w14:paraId="584C7417" w14:textId="12BB6413" w:rsidR="0091434A" w:rsidRPr="000B1867" w:rsidRDefault="0091434A" w:rsidP="0091434A">
      <w:pPr>
        <w:pStyle w:val="ListParagraph"/>
        <w:numPr>
          <w:ilvl w:val="1"/>
          <w:numId w:val="28"/>
        </w:numPr>
      </w:pPr>
      <w:r>
        <w:rPr>
          <w:sz w:val="20"/>
        </w:rPr>
        <w:t>“All-events test” moves accrual taxpayers closer to cash accounting method</w:t>
      </w:r>
      <w:r w:rsidR="000B1867">
        <w:rPr>
          <w:sz w:val="20"/>
        </w:rPr>
        <w:t xml:space="preserve"> - §461(h)</w:t>
      </w:r>
    </w:p>
    <w:p w14:paraId="68D9BE33" w14:textId="780B4501" w:rsidR="000B1867" w:rsidRPr="000B1867" w:rsidRDefault="000B1867" w:rsidP="000B1867">
      <w:pPr>
        <w:pStyle w:val="ListParagraph"/>
        <w:numPr>
          <w:ilvl w:val="2"/>
          <w:numId w:val="28"/>
        </w:numPr>
      </w:pPr>
      <w:r>
        <w:rPr>
          <w:sz w:val="20"/>
        </w:rPr>
        <w:t>Economic performance must have occurred</w:t>
      </w:r>
      <w:r w:rsidR="00D64427">
        <w:rPr>
          <w:sz w:val="20"/>
        </w:rPr>
        <w:t xml:space="preserve"> </w:t>
      </w:r>
      <w:r w:rsidR="00D64427">
        <w:rPr>
          <w:i/>
          <w:sz w:val="20"/>
        </w:rPr>
        <w:t>with respect to liabilities</w:t>
      </w:r>
      <w:r>
        <w:rPr>
          <w:sz w:val="20"/>
        </w:rPr>
        <w:t>, defined as:</w:t>
      </w:r>
    </w:p>
    <w:p w14:paraId="527BE5D1" w14:textId="0363B24F" w:rsidR="000B1867" w:rsidRPr="000B1867" w:rsidRDefault="000B1867" w:rsidP="000B1867">
      <w:pPr>
        <w:pStyle w:val="ListParagraph"/>
        <w:numPr>
          <w:ilvl w:val="3"/>
          <w:numId w:val="28"/>
        </w:numPr>
      </w:pPr>
      <w:r>
        <w:rPr>
          <w:sz w:val="20"/>
        </w:rPr>
        <w:t>When services are provided to the taxpayer by another</w:t>
      </w:r>
    </w:p>
    <w:p w14:paraId="22BC3A8C" w14:textId="1D3C6BE8" w:rsidR="000B1867" w:rsidRPr="000B1867" w:rsidRDefault="000B1867" w:rsidP="000B1867">
      <w:pPr>
        <w:pStyle w:val="ListParagraph"/>
        <w:numPr>
          <w:ilvl w:val="3"/>
          <w:numId w:val="28"/>
        </w:numPr>
      </w:pPr>
      <w:r>
        <w:rPr>
          <w:sz w:val="20"/>
        </w:rPr>
        <w:t>When property is provided to the taxpayer by another</w:t>
      </w:r>
    </w:p>
    <w:p w14:paraId="32045329" w14:textId="658EE23F" w:rsidR="000B1867" w:rsidRPr="000B1867" w:rsidRDefault="000B1867" w:rsidP="000B1867">
      <w:pPr>
        <w:pStyle w:val="ListParagraph"/>
        <w:numPr>
          <w:ilvl w:val="3"/>
          <w:numId w:val="28"/>
        </w:numPr>
      </w:pPr>
      <w:r>
        <w:rPr>
          <w:sz w:val="20"/>
        </w:rPr>
        <w:t>When the taxpayer uses property</w:t>
      </w:r>
    </w:p>
    <w:p w14:paraId="358A841F" w14:textId="2E6E8E7E" w:rsidR="000B1867" w:rsidRPr="00D64427" w:rsidRDefault="000B1867" w:rsidP="000B1867">
      <w:pPr>
        <w:pStyle w:val="ListParagraph"/>
        <w:numPr>
          <w:ilvl w:val="3"/>
          <w:numId w:val="28"/>
        </w:numPr>
      </w:pPr>
      <w:r>
        <w:rPr>
          <w:sz w:val="20"/>
        </w:rPr>
        <w:t>As the taxpayer provides property or services to another</w:t>
      </w:r>
    </w:p>
    <w:p w14:paraId="625D56EE" w14:textId="33C124F5" w:rsidR="00D64427" w:rsidRPr="00D64427" w:rsidRDefault="00D64427" w:rsidP="00D64427">
      <w:pPr>
        <w:pStyle w:val="ListParagraph"/>
        <w:numPr>
          <w:ilvl w:val="0"/>
          <w:numId w:val="28"/>
        </w:numPr>
      </w:pPr>
      <w:r>
        <w:rPr>
          <w:sz w:val="20"/>
        </w:rPr>
        <w:t>LIFO leads to lower closing inventory costs (assuming inflationary environment), higher COGS, and therefore lower taxes and variability</w:t>
      </w:r>
    </w:p>
    <w:p w14:paraId="09BC024E" w14:textId="326B657E" w:rsidR="00D64427" w:rsidRPr="00064CC3" w:rsidRDefault="00D64427" w:rsidP="00D64427">
      <w:pPr>
        <w:pStyle w:val="ListParagraph"/>
        <w:numPr>
          <w:ilvl w:val="1"/>
          <w:numId w:val="28"/>
        </w:numPr>
      </w:pPr>
      <w:r>
        <w:rPr>
          <w:sz w:val="20"/>
        </w:rPr>
        <w:t xml:space="preserve">Few adopters due to </w:t>
      </w:r>
      <w:r w:rsidR="008641DA">
        <w:rPr>
          <w:sz w:val="20"/>
        </w:rPr>
        <w:t>requirement to match financial reporting inventory system with tax computation system (§472(c)). Concern is depressed stock prices</w:t>
      </w:r>
      <w:r>
        <w:rPr>
          <w:sz w:val="20"/>
        </w:rPr>
        <w:t xml:space="preserve"> due to lower </w:t>
      </w:r>
      <w:r w:rsidR="008641DA">
        <w:rPr>
          <w:sz w:val="20"/>
        </w:rPr>
        <w:t>earnings</w:t>
      </w:r>
      <w:r>
        <w:rPr>
          <w:sz w:val="20"/>
        </w:rPr>
        <w:t xml:space="preserve"> in </w:t>
      </w:r>
      <w:r w:rsidR="008641DA">
        <w:rPr>
          <w:sz w:val="20"/>
        </w:rPr>
        <w:t>the period immediately after</w:t>
      </w:r>
      <w:r>
        <w:rPr>
          <w:sz w:val="20"/>
        </w:rPr>
        <w:t xml:space="preserve"> switch from FIFO to LIFO</w:t>
      </w:r>
    </w:p>
    <w:p w14:paraId="58B2BA30" w14:textId="6B944EDB" w:rsidR="00064CC3" w:rsidRPr="00DD5ACC" w:rsidRDefault="00064CC3" w:rsidP="00D64427">
      <w:pPr>
        <w:pStyle w:val="ListParagraph"/>
        <w:numPr>
          <w:ilvl w:val="1"/>
          <w:numId w:val="28"/>
        </w:numPr>
      </w:pPr>
      <w:r>
        <w:rPr>
          <w:sz w:val="20"/>
        </w:rPr>
        <w:t>Closing inventory and taxable income move together, so firms try to understate closing inventory</w:t>
      </w:r>
    </w:p>
    <w:p w14:paraId="2F49F4A8" w14:textId="7B235D1C" w:rsidR="00B51668" w:rsidRDefault="00B51668" w:rsidP="00B51668">
      <w:pPr>
        <w:pStyle w:val="Heading4"/>
        <w:rPr>
          <w:sz w:val="20"/>
          <w:szCs w:val="20"/>
        </w:rPr>
      </w:pPr>
      <w:r w:rsidRPr="00B51668">
        <w:rPr>
          <w:sz w:val="20"/>
          <w:szCs w:val="20"/>
        </w:rPr>
        <w:t>Deferred Compensation</w:t>
      </w:r>
    </w:p>
    <w:p w14:paraId="218455E5" w14:textId="77777777" w:rsidR="00DD5ACC" w:rsidRPr="00DD5ACC" w:rsidRDefault="00DD5ACC" w:rsidP="00DD5ACC">
      <w:pPr>
        <w:pStyle w:val="ListParagraph"/>
        <w:numPr>
          <w:ilvl w:val="0"/>
          <w:numId w:val="29"/>
        </w:numPr>
      </w:pPr>
      <w:r>
        <w:rPr>
          <w:sz w:val="20"/>
        </w:rPr>
        <w:t>Qualified pension plans can be either defined contribution or defined benefit – DC plans shift risk from employers to employees</w:t>
      </w:r>
    </w:p>
    <w:p w14:paraId="6CE005A9" w14:textId="77777777" w:rsidR="00DD5ACC" w:rsidRPr="00DD5ACC" w:rsidRDefault="00DD5ACC" w:rsidP="00DD5ACC">
      <w:pPr>
        <w:pStyle w:val="ListParagraph"/>
        <w:numPr>
          <w:ilvl w:val="1"/>
          <w:numId w:val="29"/>
        </w:numPr>
      </w:pPr>
      <w:r>
        <w:rPr>
          <w:sz w:val="20"/>
        </w:rPr>
        <w:t>2015 annual contribution limit to DC is $53,000, but DB annual benefit limit is $210,000</w:t>
      </w:r>
    </w:p>
    <w:p w14:paraId="69460B92" w14:textId="77777777" w:rsidR="00DD5ACC" w:rsidRPr="00DD5ACC" w:rsidRDefault="00DD5ACC" w:rsidP="00286052">
      <w:pPr>
        <w:pStyle w:val="ListParagraph"/>
        <w:numPr>
          <w:ilvl w:val="0"/>
          <w:numId w:val="29"/>
        </w:numPr>
      </w:pPr>
      <w:r>
        <w:rPr>
          <w:sz w:val="20"/>
        </w:rPr>
        <w:t>Employees can also contribute to IRAs, but contributions are only deductible to a limit of $5k</w:t>
      </w:r>
    </w:p>
    <w:p w14:paraId="3F36BE86" w14:textId="692F919E" w:rsidR="00DD5ACC" w:rsidRPr="00286052" w:rsidRDefault="00DD5ACC" w:rsidP="00286052">
      <w:pPr>
        <w:pStyle w:val="ListParagraph"/>
        <w:numPr>
          <w:ilvl w:val="1"/>
          <w:numId w:val="29"/>
        </w:numPr>
      </w:pPr>
      <w:r>
        <w:rPr>
          <w:sz w:val="20"/>
        </w:rPr>
        <w:lastRenderedPageBreak/>
        <w:t>Deduction is phased out between $80 and $100k (for joint filers, $50 to $60k for singles)</w:t>
      </w:r>
    </w:p>
    <w:p w14:paraId="60F24F23" w14:textId="599E3D6C" w:rsidR="00286052" w:rsidRPr="00286052" w:rsidRDefault="00286052" w:rsidP="00286052">
      <w:pPr>
        <w:pStyle w:val="ListParagraph"/>
        <w:numPr>
          <w:ilvl w:val="0"/>
          <w:numId w:val="29"/>
        </w:numPr>
      </w:pPr>
      <w:r>
        <w:rPr>
          <w:sz w:val="20"/>
        </w:rPr>
        <w:t xml:space="preserve">Decision to convert from a Roth to a traditional </w:t>
      </w:r>
      <w:r>
        <w:rPr>
          <w:i/>
          <w:sz w:val="20"/>
        </w:rPr>
        <w:t xml:space="preserve">might </w:t>
      </w:r>
      <w:r>
        <w:rPr>
          <w:sz w:val="20"/>
        </w:rPr>
        <w:t>depend on expectations of future tax rates – lower tax rates in the future might indicate value of a traditional account</w:t>
      </w:r>
    </w:p>
    <w:p w14:paraId="26A7512C" w14:textId="0D3E9715" w:rsidR="00286052" w:rsidRPr="0051050A" w:rsidRDefault="00286052" w:rsidP="00286052">
      <w:pPr>
        <w:pStyle w:val="ListParagraph"/>
        <w:numPr>
          <w:ilvl w:val="1"/>
          <w:numId w:val="29"/>
        </w:numPr>
      </w:pPr>
      <w:r>
        <w:rPr>
          <w:sz w:val="20"/>
        </w:rPr>
        <w:t xml:space="preserve">A conversion to Roth is </w:t>
      </w:r>
      <w:r>
        <w:rPr>
          <w:i/>
          <w:sz w:val="20"/>
        </w:rPr>
        <w:t xml:space="preserve">worse </w:t>
      </w:r>
      <w:r>
        <w:rPr>
          <w:sz w:val="20"/>
        </w:rPr>
        <w:t xml:space="preserve">for the government, and only beneficial to the taxpayer if there are assets </w:t>
      </w:r>
      <w:r>
        <w:rPr>
          <w:i/>
          <w:sz w:val="20"/>
        </w:rPr>
        <w:t xml:space="preserve">outside </w:t>
      </w:r>
      <w:r>
        <w:rPr>
          <w:sz w:val="20"/>
        </w:rPr>
        <w:t>the account used to finance the conversion from taxable assets to non-taxable</w:t>
      </w:r>
    </w:p>
    <w:p w14:paraId="3536A99E" w14:textId="741930A8" w:rsidR="0051050A" w:rsidRDefault="0051050A" w:rsidP="0051050A">
      <w:pPr>
        <w:pStyle w:val="Heading3"/>
        <w:rPr>
          <w:sz w:val="22"/>
        </w:rPr>
      </w:pPr>
      <w:r>
        <w:rPr>
          <w:sz w:val="22"/>
        </w:rPr>
        <w:t>Capital Gains</w:t>
      </w:r>
    </w:p>
    <w:p w14:paraId="292A4AAA" w14:textId="5A0DB713" w:rsidR="0051050A" w:rsidRPr="008D3404" w:rsidRDefault="0051050A" w:rsidP="0051050A">
      <w:pPr>
        <w:pStyle w:val="ListParagraph"/>
        <w:numPr>
          <w:ilvl w:val="0"/>
          <w:numId w:val="30"/>
        </w:numPr>
      </w:pPr>
      <w:r>
        <w:rPr>
          <w:sz w:val="20"/>
        </w:rPr>
        <w:t>Capital gains rates vary based on a taxpayer’s ordinary income bracket, whether the capital gain is short-term or long-term, and source of gain</w:t>
      </w:r>
    </w:p>
    <w:p w14:paraId="5B352952" w14:textId="6139B9DC" w:rsidR="008D3404" w:rsidRPr="008D3404" w:rsidRDefault="008D3404" w:rsidP="008D3404">
      <w:pPr>
        <w:pStyle w:val="ListParagraph"/>
        <w:numPr>
          <w:ilvl w:val="1"/>
          <w:numId w:val="30"/>
        </w:numPr>
      </w:pPr>
      <w:r>
        <w:rPr>
          <w:sz w:val="20"/>
        </w:rPr>
        <w:t>Capital gains rate if ordinary income is taxed below 25% tax rate = 0%</w:t>
      </w:r>
    </w:p>
    <w:p w14:paraId="0211E767" w14:textId="29A9EBDB" w:rsidR="008D3404" w:rsidRPr="008D3404" w:rsidRDefault="0056767A" w:rsidP="0056767A">
      <w:pPr>
        <w:pStyle w:val="ListParagraph"/>
        <w:numPr>
          <w:ilvl w:val="2"/>
          <w:numId w:val="30"/>
        </w:numPr>
      </w:pPr>
      <w:r>
        <w:rPr>
          <w:sz w:val="20"/>
        </w:rPr>
        <w:t>I</w:t>
      </w:r>
      <w:r w:rsidR="008D3404">
        <w:rPr>
          <w:sz w:val="20"/>
        </w:rPr>
        <w:t>f ordinary income is taxed below 39.6% tax rate = 15%</w:t>
      </w:r>
    </w:p>
    <w:p w14:paraId="4DEA4CD2" w14:textId="36AA7954" w:rsidR="008D3404" w:rsidRPr="0051050A" w:rsidRDefault="0056767A" w:rsidP="0056767A">
      <w:pPr>
        <w:pStyle w:val="ListParagraph"/>
        <w:numPr>
          <w:ilvl w:val="2"/>
          <w:numId w:val="30"/>
        </w:numPr>
      </w:pPr>
      <w:r>
        <w:rPr>
          <w:sz w:val="20"/>
        </w:rPr>
        <w:t>I</w:t>
      </w:r>
      <w:r w:rsidR="008D3404">
        <w:rPr>
          <w:sz w:val="20"/>
        </w:rPr>
        <w:t>f ordinary income is taxed at 39.6% tax rate = 20%</w:t>
      </w:r>
    </w:p>
    <w:p w14:paraId="056C88C8" w14:textId="0C98FE15" w:rsidR="0051050A" w:rsidRPr="00BA0F1A" w:rsidRDefault="00BA0F1A" w:rsidP="0051050A">
      <w:pPr>
        <w:pStyle w:val="ListParagraph"/>
        <w:numPr>
          <w:ilvl w:val="1"/>
          <w:numId w:val="30"/>
        </w:numPr>
      </w:pPr>
      <w:r>
        <w:rPr>
          <w:sz w:val="20"/>
        </w:rPr>
        <w:t>If capital gain</w:t>
      </w:r>
      <w:r w:rsidR="0051050A">
        <w:rPr>
          <w:sz w:val="20"/>
        </w:rPr>
        <w:t xml:space="preserve"> from sale of small business stock, </w:t>
      </w:r>
      <w:r>
        <w:rPr>
          <w:sz w:val="20"/>
        </w:rPr>
        <w:t>50% excluded (5 year holding period) - §1202(a)</w:t>
      </w:r>
    </w:p>
    <w:p w14:paraId="645813DD" w14:textId="7E91C2A5" w:rsidR="00BA0F1A" w:rsidRPr="00C123C8" w:rsidRDefault="00BA0F1A" w:rsidP="0051050A">
      <w:pPr>
        <w:pStyle w:val="ListParagraph"/>
        <w:numPr>
          <w:ilvl w:val="1"/>
          <w:numId w:val="30"/>
        </w:numPr>
      </w:pPr>
      <w:r>
        <w:rPr>
          <w:sz w:val="20"/>
        </w:rPr>
        <w:t xml:space="preserve">Collectibles are almost certainly subject to 28% rate </w:t>
      </w:r>
      <w:r w:rsidR="008D3404">
        <w:rPr>
          <w:sz w:val="20"/>
        </w:rPr>
        <w:t>if ordinary income is taxed at/above 2</w:t>
      </w:r>
      <w:r w:rsidR="00516AB6">
        <w:rPr>
          <w:sz w:val="20"/>
        </w:rPr>
        <w:t>5</w:t>
      </w:r>
      <w:r w:rsidR="008D3404">
        <w:rPr>
          <w:sz w:val="20"/>
        </w:rPr>
        <w:t>%</w:t>
      </w:r>
    </w:p>
    <w:p w14:paraId="734A39C5" w14:textId="6BE236AA" w:rsidR="00C123C8" w:rsidRPr="00C123C8" w:rsidRDefault="00C123C8" w:rsidP="0051050A">
      <w:pPr>
        <w:pStyle w:val="ListParagraph"/>
        <w:numPr>
          <w:ilvl w:val="1"/>
          <w:numId w:val="30"/>
        </w:numPr>
      </w:pPr>
      <w:r>
        <w:rPr>
          <w:sz w:val="20"/>
        </w:rPr>
        <w:t xml:space="preserve">Corporations capital gains and ordinary income rates are identical – </w:t>
      </w:r>
      <w:r>
        <w:rPr>
          <w:i/>
          <w:sz w:val="20"/>
        </w:rPr>
        <w:t>no</w:t>
      </w:r>
      <w:r>
        <w:rPr>
          <w:sz w:val="20"/>
        </w:rPr>
        <w:t xml:space="preserve"> preferable treatment</w:t>
      </w:r>
      <w:r>
        <w:t xml:space="preserve"> </w:t>
      </w:r>
    </w:p>
    <w:p w14:paraId="426BBE06" w14:textId="2D3B79E1" w:rsidR="00C123C8" w:rsidRPr="00C123C8" w:rsidRDefault="00C123C8" w:rsidP="00C123C8">
      <w:pPr>
        <w:pStyle w:val="ListParagraph"/>
        <w:numPr>
          <w:ilvl w:val="0"/>
          <w:numId w:val="30"/>
        </w:numPr>
      </w:pPr>
      <w:r>
        <w:rPr>
          <w:sz w:val="20"/>
        </w:rPr>
        <w:t xml:space="preserve">Computation of capital gains taxes: </w:t>
      </w:r>
    </w:p>
    <w:p w14:paraId="5DBF6C0D" w14:textId="7728DD22" w:rsidR="00C123C8" w:rsidRPr="00C123C8" w:rsidRDefault="00C123C8" w:rsidP="00C123C8">
      <w:pPr>
        <w:pStyle w:val="ListParagraph"/>
        <w:numPr>
          <w:ilvl w:val="1"/>
          <w:numId w:val="30"/>
        </w:numPr>
      </w:pPr>
      <w:r>
        <w:rPr>
          <w:sz w:val="20"/>
        </w:rPr>
        <w:t>Net short-term gains and long-term gains</w:t>
      </w:r>
    </w:p>
    <w:p w14:paraId="50A7B114" w14:textId="36E9E045" w:rsidR="00C123C8" w:rsidRPr="00C123C8" w:rsidRDefault="00C123C8" w:rsidP="00C123C8">
      <w:pPr>
        <w:pStyle w:val="ListParagraph"/>
        <w:numPr>
          <w:ilvl w:val="2"/>
          <w:numId w:val="30"/>
        </w:numPr>
      </w:pPr>
      <w:r>
        <w:rPr>
          <w:sz w:val="20"/>
        </w:rPr>
        <w:t>If short-term gains are larger than long-term losses, gains are taxed as ordinary income</w:t>
      </w:r>
    </w:p>
    <w:p w14:paraId="454D98D9" w14:textId="2F2E0DE3" w:rsidR="00C123C8" w:rsidRPr="00C123C8" w:rsidRDefault="00C123C8" w:rsidP="00C123C8">
      <w:pPr>
        <w:pStyle w:val="ListParagraph"/>
        <w:numPr>
          <w:ilvl w:val="2"/>
          <w:numId w:val="30"/>
        </w:numPr>
      </w:pPr>
      <w:r>
        <w:rPr>
          <w:sz w:val="20"/>
        </w:rPr>
        <w:t>If long-term gains are larger than short-term losses, gains are taxed as capital gain</w:t>
      </w:r>
    </w:p>
    <w:p w14:paraId="14D785D9" w14:textId="0508F498" w:rsidR="00C123C8" w:rsidRPr="00C123C8" w:rsidRDefault="00C123C8" w:rsidP="00C123C8">
      <w:pPr>
        <w:pStyle w:val="ListParagraph"/>
        <w:numPr>
          <w:ilvl w:val="2"/>
          <w:numId w:val="30"/>
        </w:numPr>
      </w:pPr>
      <w:r>
        <w:rPr>
          <w:sz w:val="20"/>
        </w:rPr>
        <w:t>If both short-term gains and long-term gains are present, short-term gain is taxed as ordinary income and long-term gain is taxed as capital gains</w:t>
      </w:r>
    </w:p>
    <w:p w14:paraId="275396C4" w14:textId="04E71E86" w:rsidR="00C123C8" w:rsidRPr="008D3404" w:rsidRDefault="00C123C8" w:rsidP="00C123C8">
      <w:pPr>
        <w:pStyle w:val="ListParagraph"/>
        <w:numPr>
          <w:ilvl w:val="2"/>
          <w:numId w:val="30"/>
        </w:numPr>
      </w:pPr>
      <w:r>
        <w:rPr>
          <w:sz w:val="20"/>
        </w:rPr>
        <w:t>Short-term losses offset ordinary losses before offsetting long-term capital gain</w:t>
      </w:r>
    </w:p>
    <w:p w14:paraId="318ABCC5" w14:textId="78BE34C1" w:rsidR="008D3404" w:rsidRPr="008D3404" w:rsidRDefault="008D3404" w:rsidP="008D3404">
      <w:pPr>
        <w:pStyle w:val="ListParagraph"/>
        <w:numPr>
          <w:ilvl w:val="3"/>
          <w:numId w:val="30"/>
        </w:numPr>
      </w:pPr>
      <w:r>
        <w:rPr>
          <w:sz w:val="20"/>
        </w:rPr>
        <w:t>If short-term loss exceeds long-term gain in year 1, a short-term loss in year 2 is permitted - §1212(b)(1)</w:t>
      </w:r>
    </w:p>
    <w:p w14:paraId="7C5E7158" w14:textId="35099F23" w:rsidR="008D3404" w:rsidRPr="00C123C8" w:rsidRDefault="008D3404" w:rsidP="008D3404">
      <w:pPr>
        <w:pStyle w:val="ListParagraph"/>
        <w:numPr>
          <w:ilvl w:val="3"/>
          <w:numId w:val="30"/>
        </w:numPr>
      </w:pPr>
      <w:r>
        <w:rPr>
          <w:sz w:val="20"/>
        </w:rPr>
        <w:t xml:space="preserve">If long term loss exceeds short-term gain in year 1, a long-term loss in year 2 is permitted </w:t>
      </w:r>
    </w:p>
    <w:p w14:paraId="4B922C91" w14:textId="719B96BD" w:rsidR="00C123C8" w:rsidRPr="00C123C8" w:rsidRDefault="00C123C8" w:rsidP="00C123C8">
      <w:pPr>
        <w:pStyle w:val="ListParagraph"/>
        <w:numPr>
          <w:ilvl w:val="2"/>
          <w:numId w:val="30"/>
        </w:numPr>
      </w:pPr>
      <w:r>
        <w:rPr>
          <w:sz w:val="20"/>
        </w:rPr>
        <w:t>Capital losses are given an indefinite carryforward, but may only be deducted to the extent of capital gains plus $3,000 - §1211(b)</w:t>
      </w:r>
    </w:p>
    <w:p w14:paraId="02DEC3C3" w14:textId="0DE928EC" w:rsidR="0056767A" w:rsidRPr="00516AB6" w:rsidRDefault="00C123C8" w:rsidP="0056767A">
      <w:pPr>
        <w:pStyle w:val="ListParagraph"/>
        <w:numPr>
          <w:ilvl w:val="3"/>
          <w:numId w:val="30"/>
        </w:numPr>
      </w:pPr>
      <w:r>
        <w:rPr>
          <w:sz w:val="20"/>
        </w:rPr>
        <w:t>Corporate capital losses are only deductible to the extent of capital gains</w:t>
      </w:r>
    </w:p>
    <w:p w14:paraId="0319F8AD" w14:textId="483A8F01" w:rsidR="00516AB6" w:rsidRPr="00516AB6" w:rsidRDefault="00516AB6" w:rsidP="00516AB6">
      <w:pPr>
        <w:pStyle w:val="ListParagraph"/>
        <w:numPr>
          <w:ilvl w:val="1"/>
          <w:numId w:val="30"/>
        </w:numPr>
      </w:pPr>
      <w:r>
        <w:rPr>
          <w:sz w:val="20"/>
        </w:rPr>
        <w:t>Remove all “special items” to arrive at adjusted net capital gain</w:t>
      </w:r>
    </w:p>
    <w:p w14:paraId="098D0723" w14:textId="208112E9" w:rsidR="00516AB6" w:rsidRPr="00C123C8" w:rsidRDefault="00516AB6" w:rsidP="00516AB6">
      <w:pPr>
        <w:pStyle w:val="ListParagraph"/>
        <w:numPr>
          <w:ilvl w:val="2"/>
          <w:numId w:val="30"/>
        </w:numPr>
      </w:pPr>
      <w:r>
        <w:rPr>
          <w:sz w:val="20"/>
        </w:rPr>
        <w:t xml:space="preserve">Adjusted </w:t>
      </w:r>
      <w:r w:rsidR="00C95A4B">
        <w:rPr>
          <w:sz w:val="20"/>
        </w:rPr>
        <w:t xml:space="preserve">Capital </w:t>
      </w:r>
      <w:r>
        <w:rPr>
          <w:sz w:val="20"/>
        </w:rPr>
        <w:t>Gain = Net Capital Gain – Collectibles - §1250 gain</w:t>
      </w:r>
      <w:r w:rsidR="00C95A4B">
        <w:rPr>
          <w:sz w:val="20"/>
        </w:rPr>
        <w:t xml:space="preserve"> – qualified dividends</w:t>
      </w:r>
    </w:p>
    <w:p w14:paraId="516843AD" w14:textId="29FFF308" w:rsidR="00C123C8" w:rsidRPr="008D3404" w:rsidRDefault="008D3404" w:rsidP="00C123C8">
      <w:pPr>
        <w:pStyle w:val="ListParagraph"/>
        <w:numPr>
          <w:ilvl w:val="0"/>
          <w:numId w:val="30"/>
        </w:numPr>
      </w:pPr>
      <w:r>
        <w:rPr>
          <w:sz w:val="20"/>
        </w:rPr>
        <w:t>There are four primary rationales to justify the differential treatment of capital gains and ordinary income</w:t>
      </w:r>
    </w:p>
    <w:p w14:paraId="1B99E091" w14:textId="590B4DEA" w:rsidR="00B627FE" w:rsidRDefault="00B627FE" w:rsidP="00B627FE">
      <w:pPr>
        <w:pStyle w:val="ListParagraph"/>
        <w:numPr>
          <w:ilvl w:val="1"/>
          <w:numId w:val="30"/>
        </w:numPr>
        <w:rPr>
          <w:sz w:val="20"/>
        </w:rPr>
      </w:pPr>
      <w:r w:rsidRPr="00B627FE">
        <w:rPr>
          <w:sz w:val="20"/>
        </w:rPr>
        <w:t xml:space="preserve">Bunching </w:t>
      </w:r>
      <w:r>
        <w:rPr>
          <w:sz w:val="20"/>
        </w:rPr>
        <w:t xml:space="preserve">(prevents </w:t>
      </w:r>
      <w:r w:rsidR="006769C9">
        <w:rPr>
          <w:sz w:val="20"/>
        </w:rPr>
        <w:t>proceeds from sale</w:t>
      </w:r>
      <w:r>
        <w:rPr>
          <w:sz w:val="20"/>
        </w:rPr>
        <w:t xml:space="preserve"> of capital asset from being taxed at </w:t>
      </w:r>
      <w:r w:rsidR="006769C9">
        <w:rPr>
          <w:sz w:val="20"/>
        </w:rPr>
        <w:t>higher marginal tax rate than they</w:t>
      </w:r>
      <w:r>
        <w:rPr>
          <w:sz w:val="20"/>
        </w:rPr>
        <w:t xml:space="preserve"> would have been had the gains been taxed each year, as they accrued)</w:t>
      </w:r>
    </w:p>
    <w:p w14:paraId="5D859228" w14:textId="6994B206" w:rsidR="00B627FE" w:rsidRPr="00B627FE" w:rsidRDefault="00B627FE" w:rsidP="00B627FE">
      <w:pPr>
        <w:pStyle w:val="ListParagraph"/>
        <w:numPr>
          <w:ilvl w:val="2"/>
          <w:numId w:val="30"/>
        </w:numPr>
        <w:rPr>
          <w:sz w:val="20"/>
        </w:rPr>
      </w:pPr>
      <w:r w:rsidRPr="00B627FE">
        <w:rPr>
          <w:sz w:val="20"/>
        </w:rPr>
        <w:t>One-year holding period requirement doesn’t make much</w:t>
      </w:r>
      <w:r>
        <w:rPr>
          <w:sz w:val="20"/>
        </w:rPr>
        <w:t xml:space="preserve"> sense if this is the rationale</w:t>
      </w:r>
      <w:r w:rsidR="006769C9">
        <w:rPr>
          <w:sz w:val="20"/>
        </w:rPr>
        <w:t xml:space="preserve"> – needs to be longer</w:t>
      </w:r>
    </w:p>
    <w:p w14:paraId="4CDEE194" w14:textId="08C98033" w:rsidR="00B627FE" w:rsidRDefault="00B627FE" w:rsidP="00B627FE">
      <w:pPr>
        <w:pStyle w:val="ListParagraph"/>
        <w:numPr>
          <w:ilvl w:val="1"/>
          <w:numId w:val="30"/>
        </w:numPr>
        <w:rPr>
          <w:sz w:val="20"/>
        </w:rPr>
      </w:pPr>
      <w:r w:rsidRPr="00B627FE">
        <w:rPr>
          <w:sz w:val="20"/>
        </w:rPr>
        <w:t xml:space="preserve">Inflation </w:t>
      </w:r>
      <w:r w:rsidR="008C3A1C">
        <w:rPr>
          <w:sz w:val="20"/>
        </w:rPr>
        <w:t>(decrease in purchasing power of investment through inflation justifies lower tax rate)</w:t>
      </w:r>
    </w:p>
    <w:p w14:paraId="6844DFAC" w14:textId="5BFF605E" w:rsidR="00B627FE" w:rsidRDefault="007E0D5B" w:rsidP="00B627FE">
      <w:pPr>
        <w:pStyle w:val="ListParagraph"/>
        <w:numPr>
          <w:ilvl w:val="2"/>
          <w:numId w:val="30"/>
        </w:numPr>
        <w:rPr>
          <w:sz w:val="20"/>
        </w:rPr>
      </w:pPr>
      <w:r>
        <w:rPr>
          <w:sz w:val="20"/>
        </w:rPr>
        <w:t>This rationale isn’t supported by the one-year inflation requirement either</w:t>
      </w:r>
    </w:p>
    <w:p w14:paraId="6F20DDD9" w14:textId="3F15C6E1" w:rsidR="007E0D5B" w:rsidRPr="00B627FE" w:rsidRDefault="007E0D5B" w:rsidP="00B627FE">
      <w:pPr>
        <w:pStyle w:val="ListParagraph"/>
        <w:numPr>
          <w:ilvl w:val="2"/>
          <w:numId w:val="30"/>
        </w:numPr>
        <w:rPr>
          <w:sz w:val="20"/>
        </w:rPr>
      </w:pPr>
      <w:r>
        <w:rPr>
          <w:sz w:val="20"/>
        </w:rPr>
        <w:t>Also a weaker rationale since some (but not all) other aspects of the income tax system are indexed for inflation</w:t>
      </w:r>
    </w:p>
    <w:p w14:paraId="3545ACD7" w14:textId="1C7C04AA" w:rsidR="00B627FE" w:rsidRPr="00B627FE" w:rsidRDefault="00B627FE" w:rsidP="00B627FE">
      <w:pPr>
        <w:pStyle w:val="ListParagraph"/>
        <w:numPr>
          <w:ilvl w:val="1"/>
          <w:numId w:val="30"/>
        </w:numPr>
        <w:rPr>
          <w:sz w:val="20"/>
        </w:rPr>
      </w:pPr>
      <w:r w:rsidRPr="00B627FE">
        <w:rPr>
          <w:sz w:val="20"/>
        </w:rPr>
        <w:t>Encouraging investment</w:t>
      </w:r>
      <w:r w:rsidR="00B41327">
        <w:rPr>
          <w:sz w:val="20"/>
        </w:rPr>
        <w:t xml:space="preserve"> (leads to lower tax rates than simply stuffing money in a bank account)</w:t>
      </w:r>
    </w:p>
    <w:p w14:paraId="16B7E74C" w14:textId="4CA5EF1C" w:rsidR="00DD5ACC" w:rsidRDefault="00B627FE" w:rsidP="00DD5ACC">
      <w:pPr>
        <w:pStyle w:val="ListParagraph"/>
        <w:numPr>
          <w:ilvl w:val="1"/>
          <w:numId w:val="30"/>
        </w:numPr>
        <w:rPr>
          <w:sz w:val="20"/>
        </w:rPr>
      </w:pPr>
      <w:r w:rsidRPr="00B627FE">
        <w:rPr>
          <w:sz w:val="20"/>
        </w:rPr>
        <w:t>Discourage lock-in effect</w:t>
      </w:r>
      <w:r w:rsidR="008C3A1C">
        <w:rPr>
          <w:sz w:val="20"/>
        </w:rPr>
        <w:t xml:space="preserve"> (we need to encourage realization through the use of a lower tax rate)</w:t>
      </w:r>
    </w:p>
    <w:p w14:paraId="14D2E3BC" w14:textId="36982E60" w:rsidR="007E2DF8" w:rsidRDefault="00222721" w:rsidP="007E2DF8">
      <w:pPr>
        <w:pStyle w:val="ListParagraph"/>
        <w:numPr>
          <w:ilvl w:val="2"/>
          <w:numId w:val="30"/>
        </w:numPr>
        <w:rPr>
          <w:sz w:val="20"/>
        </w:rPr>
      </w:pPr>
      <w:r>
        <w:rPr>
          <w:sz w:val="20"/>
        </w:rPr>
        <w:t>§</w:t>
      </w:r>
      <w:r w:rsidR="007E2DF8">
        <w:rPr>
          <w:sz w:val="20"/>
        </w:rPr>
        <w:t xml:space="preserve">1001’s definition of gain is </w:t>
      </w:r>
      <w:r w:rsidR="007E2DF8">
        <w:rPr>
          <w:i/>
          <w:sz w:val="20"/>
        </w:rPr>
        <w:t xml:space="preserve">broader </w:t>
      </w:r>
      <w:r w:rsidR="007E2DF8">
        <w:rPr>
          <w:sz w:val="20"/>
        </w:rPr>
        <w:t>than §1222 (“sale or disposition” and “sale or exchange”, respectively). Makes sense because there is no need to encourage realization on receipt of insurance proceeds when lightning strikes my house</w:t>
      </w:r>
    </w:p>
    <w:p w14:paraId="1DFBF60D" w14:textId="323412C7" w:rsidR="0056767A" w:rsidRDefault="0056767A" w:rsidP="005327B8">
      <w:pPr>
        <w:pStyle w:val="ListParagraph"/>
        <w:numPr>
          <w:ilvl w:val="0"/>
          <w:numId w:val="30"/>
        </w:numPr>
        <w:rPr>
          <w:sz w:val="20"/>
        </w:rPr>
      </w:pPr>
      <w:r>
        <w:rPr>
          <w:sz w:val="20"/>
        </w:rPr>
        <w:t xml:space="preserve">Holding period </w:t>
      </w:r>
      <w:r w:rsidR="00B677A5">
        <w:rPr>
          <w:sz w:val="20"/>
        </w:rPr>
        <w:t>is extended for exchanged property if new property has same basis in taxpayer’s hands as property exchanged</w:t>
      </w:r>
    </w:p>
    <w:p w14:paraId="12C13131" w14:textId="7B639D5D" w:rsidR="00B677A5" w:rsidRDefault="002637E8" w:rsidP="00B677A5">
      <w:pPr>
        <w:pStyle w:val="ListParagraph"/>
        <w:numPr>
          <w:ilvl w:val="1"/>
          <w:numId w:val="30"/>
        </w:numPr>
        <w:rPr>
          <w:sz w:val="20"/>
        </w:rPr>
      </w:pPr>
      <w:r>
        <w:rPr>
          <w:sz w:val="20"/>
        </w:rPr>
        <w:t>I</w:t>
      </w:r>
      <w:r w:rsidR="00B677A5">
        <w:rPr>
          <w:sz w:val="20"/>
        </w:rPr>
        <w:t xml:space="preserve">nvoluntary conversion under </w:t>
      </w:r>
      <w:r>
        <w:rPr>
          <w:sz w:val="20"/>
        </w:rPr>
        <w:t xml:space="preserve">§1033 is an exchange of </w:t>
      </w:r>
      <w:r w:rsidR="008346F8">
        <w:rPr>
          <w:sz w:val="20"/>
        </w:rPr>
        <w:t>property converted for property acquired</w:t>
      </w:r>
    </w:p>
    <w:p w14:paraId="3EB84669" w14:textId="38CD6E59" w:rsidR="007E0D5B" w:rsidRDefault="00222721" w:rsidP="005327B8">
      <w:pPr>
        <w:pStyle w:val="ListParagraph"/>
        <w:numPr>
          <w:ilvl w:val="0"/>
          <w:numId w:val="30"/>
        </w:numPr>
        <w:rPr>
          <w:sz w:val="20"/>
        </w:rPr>
      </w:pPr>
      <w:r>
        <w:rPr>
          <w:sz w:val="20"/>
        </w:rPr>
        <w:lastRenderedPageBreak/>
        <w:t>§</w:t>
      </w:r>
      <w:r w:rsidR="005327B8">
        <w:rPr>
          <w:sz w:val="20"/>
        </w:rPr>
        <w:t xml:space="preserve">1221 lists several categories of property that are </w:t>
      </w:r>
      <w:r w:rsidR="005327B8">
        <w:rPr>
          <w:i/>
          <w:sz w:val="20"/>
        </w:rPr>
        <w:t xml:space="preserve">not </w:t>
      </w:r>
      <w:r w:rsidR="005327B8">
        <w:rPr>
          <w:sz w:val="20"/>
        </w:rPr>
        <w:t>capital assets and therefore ineligible for capital gains treatment</w:t>
      </w:r>
    </w:p>
    <w:p w14:paraId="201EBBEB" w14:textId="6CF15390" w:rsidR="005327B8" w:rsidRDefault="008C0044" w:rsidP="005327B8">
      <w:pPr>
        <w:pStyle w:val="ListParagraph"/>
        <w:numPr>
          <w:ilvl w:val="1"/>
          <w:numId w:val="30"/>
        </w:numPr>
        <w:rPr>
          <w:sz w:val="20"/>
        </w:rPr>
      </w:pPr>
      <w:r>
        <w:rPr>
          <w:sz w:val="20"/>
        </w:rPr>
        <w:t>Property which would properly be included in the taxpayer’s inventory, or held by taxpayer primarily for sale to customers - §1221(a)(1)</w:t>
      </w:r>
    </w:p>
    <w:p w14:paraId="011FBE11" w14:textId="30BFDEFB" w:rsidR="009F7677" w:rsidRDefault="009F7677" w:rsidP="009F7677">
      <w:pPr>
        <w:pStyle w:val="ListParagraph"/>
        <w:numPr>
          <w:ilvl w:val="2"/>
          <w:numId w:val="30"/>
        </w:numPr>
        <w:rPr>
          <w:sz w:val="20"/>
        </w:rPr>
      </w:pPr>
      <w:r>
        <w:rPr>
          <w:sz w:val="20"/>
        </w:rPr>
        <w:t>Not necessary to offer tax incentives to carry on ordinary business by selling inventory!</w:t>
      </w:r>
    </w:p>
    <w:p w14:paraId="4BDA0C8A" w14:textId="72700A59" w:rsidR="009F7677" w:rsidRPr="009F7677" w:rsidRDefault="009F7677" w:rsidP="009F7677">
      <w:pPr>
        <w:pStyle w:val="ListParagraph"/>
        <w:numPr>
          <w:ilvl w:val="2"/>
          <w:numId w:val="30"/>
        </w:numPr>
        <w:rPr>
          <w:sz w:val="20"/>
        </w:rPr>
      </w:pPr>
      <w:r>
        <w:rPr>
          <w:sz w:val="20"/>
        </w:rPr>
        <w:t xml:space="preserve">The definition of “capital asset” should be applied narrowly, and the list of exceptions should be construed broadly – </w:t>
      </w:r>
      <w:r>
        <w:rPr>
          <w:i/>
          <w:sz w:val="20"/>
        </w:rPr>
        <w:t>Corn Products</w:t>
      </w:r>
    </w:p>
    <w:p w14:paraId="4D6DFCD5" w14:textId="4FF6F418" w:rsidR="0073600A" w:rsidRPr="0073600A" w:rsidRDefault="0073600A" w:rsidP="0073600A">
      <w:pPr>
        <w:pStyle w:val="ListParagraph"/>
        <w:numPr>
          <w:ilvl w:val="3"/>
          <w:numId w:val="30"/>
        </w:numPr>
        <w:rPr>
          <w:sz w:val="20"/>
        </w:rPr>
      </w:pPr>
      <w:r>
        <w:rPr>
          <w:i/>
          <w:sz w:val="20"/>
        </w:rPr>
        <w:t xml:space="preserve">Arkansas Best </w:t>
      </w:r>
      <w:r>
        <w:rPr>
          <w:sz w:val="20"/>
        </w:rPr>
        <w:t xml:space="preserve">clarifies that “capital asset” is interpreted </w:t>
      </w:r>
      <w:r>
        <w:rPr>
          <w:i/>
          <w:sz w:val="20"/>
        </w:rPr>
        <w:t xml:space="preserve">broadly, </w:t>
      </w:r>
      <w:r>
        <w:rPr>
          <w:sz w:val="20"/>
        </w:rPr>
        <w:t xml:space="preserve">but </w:t>
      </w:r>
      <w:r>
        <w:rPr>
          <w:i/>
          <w:sz w:val="20"/>
        </w:rPr>
        <w:t xml:space="preserve">Corn Products </w:t>
      </w:r>
      <w:r>
        <w:rPr>
          <w:sz w:val="20"/>
        </w:rPr>
        <w:t>involved a broad construction of the inventory exception</w:t>
      </w:r>
    </w:p>
    <w:p w14:paraId="42FE96E8" w14:textId="61F31947" w:rsidR="009F7677" w:rsidRDefault="009F7677" w:rsidP="009F7677">
      <w:pPr>
        <w:pStyle w:val="ListParagraph"/>
        <w:numPr>
          <w:ilvl w:val="3"/>
          <w:numId w:val="30"/>
        </w:numPr>
        <w:rPr>
          <w:sz w:val="20"/>
        </w:rPr>
      </w:pPr>
      <w:r>
        <w:rPr>
          <w:sz w:val="20"/>
        </w:rPr>
        <w:t xml:space="preserve">Specific result in </w:t>
      </w:r>
      <w:r>
        <w:rPr>
          <w:i/>
          <w:sz w:val="20"/>
        </w:rPr>
        <w:t xml:space="preserve">Corn Products </w:t>
      </w:r>
      <w:r>
        <w:rPr>
          <w:sz w:val="20"/>
        </w:rPr>
        <w:t>was also addressed through (a)(7), which eliminated hedging transactions from capital gains treatment</w:t>
      </w:r>
    </w:p>
    <w:p w14:paraId="7E3E3875" w14:textId="73AF1FE2" w:rsidR="008C0044" w:rsidRDefault="008C0044" w:rsidP="005327B8">
      <w:pPr>
        <w:pStyle w:val="ListParagraph"/>
        <w:numPr>
          <w:ilvl w:val="1"/>
          <w:numId w:val="30"/>
        </w:numPr>
        <w:rPr>
          <w:sz w:val="20"/>
        </w:rPr>
      </w:pPr>
      <w:r>
        <w:rPr>
          <w:sz w:val="20"/>
        </w:rPr>
        <w:t>Property used in a trade/business subject to allowance for depreciation (or real property) – (a)(2)</w:t>
      </w:r>
    </w:p>
    <w:p w14:paraId="20671398" w14:textId="0B0BD13F" w:rsidR="0016345F" w:rsidRDefault="0016345F" w:rsidP="0016345F">
      <w:pPr>
        <w:pStyle w:val="ListParagraph"/>
        <w:numPr>
          <w:ilvl w:val="2"/>
          <w:numId w:val="30"/>
        </w:numPr>
        <w:rPr>
          <w:sz w:val="20"/>
        </w:rPr>
      </w:pPr>
      <w:r>
        <w:rPr>
          <w:sz w:val="20"/>
        </w:rPr>
        <w:t xml:space="preserve">This kind of property gets treatment under §1231 (the promised land of taxation) – if </w:t>
      </w:r>
      <w:r w:rsidR="002F060E">
        <w:rPr>
          <w:sz w:val="20"/>
        </w:rPr>
        <w:t xml:space="preserve">gains exceed losses, </w:t>
      </w:r>
      <w:r>
        <w:rPr>
          <w:sz w:val="20"/>
        </w:rPr>
        <w:t>capital gain. If losses exc</w:t>
      </w:r>
      <w:r w:rsidR="002F060E">
        <w:rPr>
          <w:sz w:val="20"/>
        </w:rPr>
        <w:t>eed gains,</w:t>
      </w:r>
      <w:r>
        <w:rPr>
          <w:sz w:val="20"/>
        </w:rPr>
        <w:t xml:space="preserve"> ordinary losses!</w:t>
      </w:r>
    </w:p>
    <w:p w14:paraId="664302D6" w14:textId="6A61044D" w:rsidR="0016345F" w:rsidRDefault="0016345F" w:rsidP="0016345F">
      <w:pPr>
        <w:pStyle w:val="ListParagraph"/>
        <w:numPr>
          <w:ilvl w:val="3"/>
          <w:numId w:val="30"/>
        </w:numPr>
        <w:rPr>
          <w:sz w:val="20"/>
        </w:rPr>
      </w:pPr>
      <w:r>
        <w:rPr>
          <w:sz w:val="20"/>
        </w:rPr>
        <w:t>Subject to recapture (to the extent of depreciation deductions) under §1245</w:t>
      </w:r>
    </w:p>
    <w:p w14:paraId="26EEEC32" w14:textId="25F84131" w:rsidR="0016345F" w:rsidRDefault="0016345F" w:rsidP="0016345F">
      <w:pPr>
        <w:pStyle w:val="ListParagraph"/>
        <w:numPr>
          <w:ilvl w:val="4"/>
          <w:numId w:val="30"/>
        </w:numPr>
        <w:rPr>
          <w:sz w:val="20"/>
        </w:rPr>
      </w:pPr>
      <w:r>
        <w:rPr>
          <w:sz w:val="20"/>
        </w:rPr>
        <w:t>So, property bought for $100,000, depreciated to $40,000 and sold for $300,000 would have $60,000 taxed as ordinary income and $200,000 taxed as capital gain</w:t>
      </w:r>
    </w:p>
    <w:p w14:paraId="3FE9BE75" w14:textId="0B5ED807" w:rsidR="00222721" w:rsidRDefault="00222721" w:rsidP="00222721">
      <w:pPr>
        <w:pStyle w:val="ListParagraph"/>
        <w:numPr>
          <w:ilvl w:val="3"/>
          <w:numId w:val="30"/>
        </w:numPr>
        <w:rPr>
          <w:sz w:val="20"/>
        </w:rPr>
      </w:pPr>
      <w:r>
        <w:rPr>
          <w:sz w:val="20"/>
        </w:rPr>
        <w:t>Real property is subject to recapture under the similar provisions of §1250</w:t>
      </w:r>
    </w:p>
    <w:p w14:paraId="0332BF72" w14:textId="0CB16CB0" w:rsidR="008C0044" w:rsidRDefault="00D763E3" w:rsidP="005327B8">
      <w:pPr>
        <w:pStyle w:val="ListParagraph"/>
        <w:numPr>
          <w:ilvl w:val="1"/>
          <w:numId w:val="30"/>
        </w:numPr>
        <w:rPr>
          <w:sz w:val="20"/>
        </w:rPr>
      </w:pPr>
      <w:r>
        <w:rPr>
          <w:sz w:val="20"/>
        </w:rPr>
        <w:t>Copyright, literary, musical, or artistic composition held by a taxpayer who (or for whom) the property was made – (a)(3)</w:t>
      </w:r>
    </w:p>
    <w:p w14:paraId="42694E9F" w14:textId="41AF3101" w:rsidR="00345EEE" w:rsidRDefault="00D763E3" w:rsidP="00345EEE">
      <w:pPr>
        <w:pStyle w:val="ListParagraph"/>
        <w:numPr>
          <w:ilvl w:val="2"/>
          <w:numId w:val="30"/>
        </w:numPr>
        <w:rPr>
          <w:sz w:val="20"/>
        </w:rPr>
      </w:pPr>
      <w:r>
        <w:rPr>
          <w:sz w:val="20"/>
        </w:rPr>
        <w:t xml:space="preserve">Also includes a taxpayer </w:t>
      </w:r>
      <w:r w:rsidR="00345EEE">
        <w:rPr>
          <w:sz w:val="20"/>
        </w:rPr>
        <w:t>who has carryover basis – this taxpayer’s gain will be taxed as ordinary income. If gain is from some other transfer (stepped-up basis), capital gain</w:t>
      </w:r>
    </w:p>
    <w:p w14:paraId="78F7BFC9" w14:textId="2EFF6C88" w:rsidR="00B46934" w:rsidRDefault="00B46934" w:rsidP="00B46934">
      <w:pPr>
        <w:pStyle w:val="ListParagraph"/>
        <w:numPr>
          <w:ilvl w:val="3"/>
          <w:numId w:val="30"/>
        </w:numPr>
        <w:rPr>
          <w:sz w:val="20"/>
        </w:rPr>
      </w:pPr>
      <w:r>
        <w:rPr>
          <w:sz w:val="20"/>
        </w:rPr>
        <w:t>Thus, no double benefit of charitable giving under §170(e) of an appreciated asset donated by the artist – there is no long-term capital gain!</w:t>
      </w:r>
    </w:p>
    <w:p w14:paraId="1FB7E5B7" w14:textId="7CDD29B2" w:rsidR="000566E6" w:rsidRPr="002F060E" w:rsidRDefault="00222721" w:rsidP="002F060E">
      <w:pPr>
        <w:pStyle w:val="ListParagraph"/>
        <w:numPr>
          <w:ilvl w:val="2"/>
          <w:numId w:val="30"/>
        </w:numPr>
        <w:rPr>
          <w:sz w:val="20"/>
        </w:rPr>
      </w:pPr>
      <w:r>
        <w:rPr>
          <w:sz w:val="20"/>
        </w:rPr>
        <w:t>§</w:t>
      </w:r>
      <w:r w:rsidR="00345EEE">
        <w:rPr>
          <w:sz w:val="20"/>
        </w:rPr>
        <w:t>1221(b)(3) contains a carve-out for self-created musical works – they get capital gain treatment!</w:t>
      </w:r>
      <w:r>
        <w:rPr>
          <w:sz w:val="20"/>
        </w:rPr>
        <w:t xml:space="preserve"> – §</w:t>
      </w:r>
      <w:r w:rsidR="000566E6" w:rsidRPr="002F060E">
        <w:rPr>
          <w:sz w:val="20"/>
        </w:rPr>
        <w:t>170(e) rejects this carve-out</w:t>
      </w:r>
    </w:p>
    <w:p w14:paraId="1A8574DD" w14:textId="581857A6" w:rsidR="005216D2" w:rsidRPr="00345EEE" w:rsidRDefault="005216D2" w:rsidP="00345EEE">
      <w:pPr>
        <w:pStyle w:val="ListParagraph"/>
        <w:numPr>
          <w:ilvl w:val="2"/>
          <w:numId w:val="30"/>
        </w:numPr>
        <w:rPr>
          <w:sz w:val="20"/>
        </w:rPr>
      </w:pPr>
      <w:r>
        <w:rPr>
          <w:sz w:val="20"/>
        </w:rPr>
        <w:t>A sale of a patent is the sale/exchange of a capital asset</w:t>
      </w:r>
      <w:r w:rsidR="00033E69">
        <w:rPr>
          <w:sz w:val="20"/>
        </w:rPr>
        <w:t xml:space="preserve"> for individuals (not corporations)</w:t>
      </w:r>
      <w:r>
        <w:rPr>
          <w:sz w:val="20"/>
        </w:rPr>
        <w:t xml:space="preserve"> - §1235</w:t>
      </w:r>
    </w:p>
    <w:p w14:paraId="75AFE296" w14:textId="5BD4BC3F" w:rsidR="00D763E3" w:rsidRDefault="00D763E3" w:rsidP="00D763E3">
      <w:pPr>
        <w:pStyle w:val="ListParagraph"/>
        <w:numPr>
          <w:ilvl w:val="1"/>
          <w:numId w:val="30"/>
        </w:numPr>
        <w:rPr>
          <w:sz w:val="20"/>
        </w:rPr>
      </w:pPr>
      <w:r>
        <w:rPr>
          <w:sz w:val="20"/>
        </w:rPr>
        <w:t>If an entire business is sold, the assets must be individually identified and determined if they should be included as ordinary income, capital gains, or §1231 treatment</w:t>
      </w:r>
    </w:p>
    <w:p w14:paraId="0B46A8F0" w14:textId="64AFE044" w:rsidR="007C1645" w:rsidRDefault="00081539" w:rsidP="007C1645">
      <w:pPr>
        <w:pStyle w:val="ListParagraph"/>
        <w:numPr>
          <w:ilvl w:val="0"/>
          <w:numId w:val="30"/>
        </w:numPr>
        <w:rPr>
          <w:sz w:val="20"/>
        </w:rPr>
      </w:pPr>
      <w:r>
        <w:rPr>
          <w:sz w:val="20"/>
        </w:rPr>
        <w:t>What is</w:t>
      </w:r>
      <w:r w:rsidR="007C1645">
        <w:rPr>
          <w:sz w:val="20"/>
        </w:rPr>
        <w:t xml:space="preserve"> the dividing line between sale of </w:t>
      </w:r>
      <w:r w:rsidR="007C1645">
        <w:rPr>
          <w:i/>
          <w:sz w:val="20"/>
        </w:rPr>
        <w:t xml:space="preserve">property </w:t>
      </w:r>
      <w:r w:rsidR="007C1645">
        <w:rPr>
          <w:sz w:val="20"/>
        </w:rPr>
        <w:t xml:space="preserve">and sale of </w:t>
      </w:r>
      <w:r w:rsidR="007C1645">
        <w:rPr>
          <w:i/>
          <w:sz w:val="20"/>
        </w:rPr>
        <w:t>income from property</w:t>
      </w:r>
      <w:r w:rsidR="007C1645">
        <w:rPr>
          <w:sz w:val="20"/>
        </w:rPr>
        <w:t>?</w:t>
      </w:r>
    </w:p>
    <w:p w14:paraId="47AD0A89" w14:textId="77777777" w:rsidR="007C1645" w:rsidRDefault="007C1645" w:rsidP="007C1645">
      <w:pPr>
        <w:pStyle w:val="ListParagraph"/>
        <w:numPr>
          <w:ilvl w:val="1"/>
          <w:numId w:val="30"/>
        </w:numPr>
        <w:rPr>
          <w:sz w:val="20"/>
        </w:rPr>
      </w:pPr>
      <w:r>
        <w:rPr>
          <w:sz w:val="20"/>
        </w:rPr>
        <w:t>Is the distinction even coherent, since the value of property is simply the discounted value of expected future cash flows?</w:t>
      </w:r>
    </w:p>
    <w:p w14:paraId="20B5BC53" w14:textId="3DE264C8" w:rsidR="008E6A2F" w:rsidRDefault="007C1645" w:rsidP="00082377">
      <w:pPr>
        <w:pStyle w:val="ListParagraph"/>
        <w:numPr>
          <w:ilvl w:val="1"/>
          <w:numId w:val="30"/>
        </w:numPr>
        <w:jc w:val="both"/>
        <w:rPr>
          <w:sz w:val="20"/>
        </w:rPr>
      </w:pPr>
      <w:r>
        <w:rPr>
          <w:sz w:val="20"/>
        </w:rPr>
        <w:t xml:space="preserve">In </w:t>
      </w:r>
      <w:proofErr w:type="spellStart"/>
      <w:r>
        <w:rPr>
          <w:i/>
          <w:sz w:val="20"/>
        </w:rPr>
        <w:t>Hort</w:t>
      </w:r>
      <w:proofErr w:type="spellEnd"/>
      <w:r>
        <w:rPr>
          <w:i/>
          <w:sz w:val="20"/>
        </w:rPr>
        <w:t xml:space="preserve">, </w:t>
      </w:r>
      <w:r>
        <w:rPr>
          <w:sz w:val="20"/>
        </w:rPr>
        <w:t>Supr</w:t>
      </w:r>
      <w:r w:rsidR="00082377">
        <w:rPr>
          <w:sz w:val="20"/>
        </w:rPr>
        <w:t>eme Court tries to create a “substitute for income test.” S</w:t>
      </w:r>
      <w:r>
        <w:rPr>
          <w:sz w:val="20"/>
        </w:rPr>
        <w:t>ale of property merits capital gains treatment, but sale of income from property is treated as ordinary income</w:t>
      </w:r>
      <w:r w:rsidR="00082377">
        <w:rPr>
          <w:sz w:val="20"/>
        </w:rPr>
        <w:t xml:space="preserve">. </w:t>
      </w:r>
      <w:r w:rsidR="00082377">
        <w:rPr>
          <w:i/>
          <w:sz w:val="20"/>
        </w:rPr>
        <w:t xml:space="preserve">P.G. Lake </w:t>
      </w:r>
      <w:r w:rsidR="00082377">
        <w:rPr>
          <w:sz w:val="20"/>
        </w:rPr>
        <w:t>comes to the same conclusion on substantially the same reasoning</w:t>
      </w:r>
    </w:p>
    <w:p w14:paraId="314114E3" w14:textId="4BCBF2E0" w:rsidR="00071B09" w:rsidRDefault="00071B09" w:rsidP="00071B09">
      <w:pPr>
        <w:pStyle w:val="ListParagraph"/>
        <w:numPr>
          <w:ilvl w:val="2"/>
          <w:numId w:val="30"/>
        </w:numPr>
        <w:jc w:val="both"/>
        <w:rPr>
          <w:sz w:val="20"/>
        </w:rPr>
      </w:pPr>
      <w:r>
        <w:rPr>
          <w:sz w:val="20"/>
        </w:rPr>
        <w:t xml:space="preserve">Elevates substance over form, as is typical in </w:t>
      </w:r>
      <w:r>
        <w:rPr>
          <w:i/>
          <w:sz w:val="20"/>
        </w:rPr>
        <w:t xml:space="preserve">many </w:t>
      </w:r>
      <w:r>
        <w:rPr>
          <w:sz w:val="20"/>
        </w:rPr>
        <w:t>tax cases</w:t>
      </w:r>
    </w:p>
    <w:p w14:paraId="6A314B52" w14:textId="3BF49DE3" w:rsidR="003B4B8E" w:rsidRDefault="003B4B8E" w:rsidP="00071B09">
      <w:pPr>
        <w:pStyle w:val="ListParagraph"/>
        <w:numPr>
          <w:ilvl w:val="2"/>
          <w:numId w:val="30"/>
        </w:numPr>
        <w:jc w:val="both"/>
        <w:rPr>
          <w:sz w:val="20"/>
        </w:rPr>
      </w:pPr>
      <w:r>
        <w:rPr>
          <w:sz w:val="20"/>
        </w:rPr>
        <w:t xml:space="preserve">Echoes concerns </w:t>
      </w:r>
      <w:proofErr w:type="spellStart"/>
      <w:r>
        <w:rPr>
          <w:i/>
          <w:sz w:val="20"/>
        </w:rPr>
        <w:t>Gavit</w:t>
      </w:r>
      <w:r>
        <w:rPr>
          <w:sz w:val="20"/>
        </w:rPr>
        <w:t>’s</w:t>
      </w:r>
      <w:proofErr w:type="spellEnd"/>
      <w:r>
        <w:rPr>
          <w:sz w:val="20"/>
        </w:rPr>
        <w:t xml:space="preserve"> concern about allowing temporal divisions to frustrate tax code</w:t>
      </w:r>
    </w:p>
    <w:p w14:paraId="561B929D" w14:textId="13619706" w:rsidR="008E6A2F" w:rsidRDefault="008E6A2F" w:rsidP="00071B09">
      <w:pPr>
        <w:pStyle w:val="ListParagraph"/>
        <w:numPr>
          <w:ilvl w:val="1"/>
          <w:numId w:val="30"/>
        </w:numPr>
        <w:rPr>
          <w:sz w:val="20"/>
        </w:rPr>
      </w:pPr>
      <w:r>
        <w:rPr>
          <w:i/>
          <w:sz w:val="20"/>
        </w:rPr>
        <w:t xml:space="preserve">Ferrer </w:t>
      </w:r>
      <w:r w:rsidR="00082377">
        <w:rPr>
          <w:sz w:val="20"/>
        </w:rPr>
        <w:t xml:space="preserve">rejects </w:t>
      </w:r>
      <w:proofErr w:type="spellStart"/>
      <w:r w:rsidR="00082377" w:rsidRPr="00082377">
        <w:rPr>
          <w:i/>
          <w:sz w:val="20"/>
        </w:rPr>
        <w:t>Hort</w:t>
      </w:r>
      <w:r w:rsidR="00082377">
        <w:rPr>
          <w:sz w:val="20"/>
        </w:rPr>
        <w:t>’s</w:t>
      </w:r>
      <w:proofErr w:type="spellEnd"/>
      <w:r w:rsidR="00082377">
        <w:rPr>
          <w:sz w:val="20"/>
        </w:rPr>
        <w:t xml:space="preserve"> substitution t</w:t>
      </w:r>
      <w:r>
        <w:rPr>
          <w:sz w:val="20"/>
        </w:rPr>
        <w:t>est and foc</w:t>
      </w:r>
      <w:r w:rsidR="00082377">
        <w:rPr>
          <w:sz w:val="20"/>
        </w:rPr>
        <w:t xml:space="preserve">uses instead on </w:t>
      </w:r>
      <w:r>
        <w:rPr>
          <w:sz w:val="20"/>
        </w:rPr>
        <w:t>“equitable own</w:t>
      </w:r>
      <w:r w:rsidR="00082377">
        <w:rPr>
          <w:sz w:val="20"/>
        </w:rPr>
        <w:t>ership” to determine what is</w:t>
      </w:r>
      <w:r>
        <w:rPr>
          <w:sz w:val="20"/>
        </w:rPr>
        <w:t xml:space="preserve"> taxed as </w:t>
      </w:r>
      <w:r w:rsidR="00082377">
        <w:rPr>
          <w:sz w:val="20"/>
        </w:rPr>
        <w:t xml:space="preserve">capital gain and what is </w:t>
      </w:r>
      <w:r>
        <w:rPr>
          <w:sz w:val="20"/>
        </w:rPr>
        <w:t>taxed as ordinary income</w:t>
      </w:r>
    </w:p>
    <w:p w14:paraId="2B313A46" w14:textId="0238A0B3" w:rsidR="007C1645" w:rsidRPr="00D763E3" w:rsidRDefault="008E6A2F" w:rsidP="00071B09">
      <w:pPr>
        <w:pStyle w:val="ListParagraph"/>
        <w:numPr>
          <w:ilvl w:val="1"/>
          <w:numId w:val="30"/>
        </w:numPr>
        <w:rPr>
          <w:sz w:val="20"/>
        </w:rPr>
      </w:pPr>
      <w:proofErr w:type="spellStart"/>
      <w:r>
        <w:rPr>
          <w:i/>
          <w:sz w:val="20"/>
        </w:rPr>
        <w:t>Lattera</w:t>
      </w:r>
      <w:proofErr w:type="spellEnd"/>
      <w:r>
        <w:rPr>
          <w:i/>
          <w:sz w:val="20"/>
        </w:rPr>
        <w:t xml:space="preserve"> </w:t>
      </w:r>
      <w:r>
        <w:rPr>
          <w:sz w:val="20"/>
        </w:rPr>
        <w:t>employs a three-step process: family resemblance test, identifying the type of carve-out (giving up “some” or “all” of asset</w:t>
      </w:r>
      <w:r w:rsidR="00082377">
        <w:rPr>
          <w:sz w:val="20"/>
        </w:rPr>
        <w:t xml:space="preserve"> as in </w:t>
      </w:r>
      <w:r w:rsidR="00082377">
        <w:rPr>
          <w:i/>
          <w:sz w:val="20"/>
        </w:rPr>
        <w:t>Horst</w:t>
      </w:r>
      <w:r>
        <w:rPr>
          <w:sz w:val="20"/>
        </w:rPr>
        <w:t>), and a to-be-earned/earned income test</w:t>
      </w:r>
      <w:bookmarkStart w:id="0" w:name="_GoBack"/>
      <w:bookmarkEnd w:id="0"/>
    </w:p>
    <w:sectPr w:rsidR="007C1645" w:rsidRPr="00D763E3" w:rsidSect="0048102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4E2865" w14:textId="77777777" w:rsidR="003C3428" w:rsidRDefault="003C3428" w:rsidP="004E6C45">
      <w:pPr>
        <w:spacing w:after="0" w:line="240" w:lineRule="auto"/>
      </w:pPr>
      <w:r>
        <w:separator/>
      </w:r>
    </w:p>
  </w:endnote>
  <w:endnote w:type="continuationSeparator" w:id="0">
    <w:p w14:paraId="12608338" w14:textId="77777777" w:rsidR="003C3428" w:rsidRDefault="003C3428" w:rsidP="004E6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Grande">
    <w:altName w:val="Times New Roman"/>
    <w:charset w:val="00"/>
    <w:family w:val="auto"/>
    <w:pitch w:val="variable"/>
    <w:sig w:usb0="00000000" w:usb1="5000A1FF" w:usb2="00000000" w:usb3="00000000" w:csb0="000001BF" w:csb1="00000000"/>
  </w:font>
  <w:font w:name="ヒラギノ角ゴ Pro W3">
    <w:altName w:val="MS Mincho"/>
    <w:charset w:val="4E"/>
    <w:family w:val="auto"/>
    <w:pitch w:val="variable"/>
    <w:sig w:usb0="E00002FF"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203968"/>
      <w:docPartObj>
        <w:docPartGallery w:val="Page Numbers (Bottom of Page)"/>
        <w:docPartUnique/>
      </w:docPartObj>
    </w:sdtPr>
    <w:sdtEndPr>
      <w:rPr>
        <w:noProof/>
      </w:rPr>
    </w:sdtEndPr>
    <w:sdtContent>
      <w:p w14:paraId="00CC82AF" w14:textId="13688B8A" w:rsidR="003E0F22" w:rsidRDefault="003E0F22">
        <w:pPr>
          <w:pStyle w:val="Footer"/>
          <w:jc w:val="center"/>
        </w:pPr>
        <w:r>
          <w:fldChar w:fldCharType="begin"/>
        </w:r>
        <w:r>
          <w:instrText xml:space="preserve"> PAGE   \* MERGEFORMAT </w:instrText>
        </w:r>
        <w:r>
          <w:fldChar w:fldCharType="separate"/>
        </w:r>
        <w:r w:rsidR="00081539">
          <w:rPr>
            <w:noProof/>
          </w:rPr>
          <w:t>22</w:t>
        </w:r>
        <w:r>
          <w:rPr>
            <w:noProof/>
          </w:rPr>
          <w:fldChar w:fldCharType="end"/>
        </w:r>
      </w:p>
    </w:sdtContent>
  </w:sdt>
  <w:p w14:paraId="6090F31E" w14:textId="77777777" w:rsidR="003E0F22" w:rsidRDefault="003E0F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3C2CAB" w14:textId="77777777" w:rsidR="003C3428" w:rsidRDefault="003C3428" w:rsidP="004E6C45">
      <w:pPr>
        <w:spacing w:after="0" w:line="240" w:lineRule="auto"/>
      </w:pPr>
      <w:r>
        <w:separator/>
      </w:r>
    </w:p>
  </w:footnote>
  <w:footnote w:type="continuationSeparator" w:id="0">
    <w:p w14:paraId="17CDD0B0" w14:textId="77777777" w:rsidR="003C3428" w:rsidRDefault="003C3428" w:rsidP="004E6C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ECD69" w14:textId="306CB6A5" w:rsidR="003E0F22" w:rsidRDefault="003E0F22" w:rsidP="004E2655">
    <w:pPr>
      <w:pStyle w:val="Header"/>
      <w:ind w:right="110"/>
      <w:jc w:val="right"/>
    </w:pPr>
    <w:r>
      <w:t>Tax Mini-Outline</w:t>
    </w:r>
  </w:p>
  <w:p w14:paraId="2E1A2D8B" w14:textId="77777777" w:rsidR="003E0F22" w:rsidRDefault="003E0F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86"/>
    <w:multiLevelType w:val="multilevel"/>
    <w:tmpl w:val="894EE8F8"/>
    <w:styleLink w:val="List90"/>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15:restartNumberingAfterBreak="0">
    <w:nsid w:val="00000087"/>
    <w:multiLevelType w:val="multilevel"/>
    <w:tmpl w:val="894EE8F8"/>
    <w:numStyleLink w:val="List90"/>
  </w:abstractNum>
  <w:abstractNum w:abstractNumId="2" w15:restartNumberingAfterBreak="0">
    <w:nsid w:val="000000BE"/>
    <w:multiLevelType w:val="multilevel"/>
    <w:tmpl w:val="894EE930"/>
    <w:lvl w:ilvl="0">
      <w:start w:val="1"/>
      <w:numFmt w:val="bullet"/>
      <w:lvlText w:val=""/>
      <w:lvlJc w:val="left"/>
      <w:pPr>
        <w:tabs>
          <w:tab w:val="num" w:pos="360"/>
        </w:tabs>
        <w:ind w:left="360" w:firstLine="720"/>
      </w:pPr>
      <w:rPr>
        <w:rFonts w:ascii="Wingdings" w:eastAsia="ヒラギノ角ゴ Pro W3" w:hAnsi="Wingdings"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
      <w:lvlJc w:val="left"/>
      <w:pPr>
        <w:tabs>
          <w:tab w:val="num" w:pos="360"/>
        </w:tabs>
        <w:ind w:left="360" w:firstLine="3240"/>
      </w:pPr>
      <w:rPr>
        <w:rFonts w:ascii="Wingdings" w:eastAsia="ヒラギノ角ゴ Pro W3" w:hAnsi="Wingdings"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3" w15:restartNumberingAfterBreak="0">
    <w:nsid w:val="000000D1"/>
    <w:multiLevelType w:val="multilevel"/>
    <w:tmpl w:val="894EE943"/>
    <w:styleLink w:val="List147"/>
    <w:lvl w:ilvl="0">
      <w:start w:val="1"/>
      <w:numFmt w:val="bullet"/>
      <w:lvlText w:val=""/>
      <w:lvlJc w:val="left"/>
      <w:pPr>
        <w:tabs>
          <w:tab w:val="num" w:pos="360"/>
        </w:tabs>
        <w:ind w:left="360" w:firstLine="0"/>
      </w:pPr>
      <w:rPr>
        <w:rFonts w:ascii="Wingdings" w:eastAsia="ヒラギノ角ゴ Pro W3" w:hAnsi="Wingdings"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4" w15:restartNumberingAfterBreak="0">
    <w:nsid w:val="000000D2"/>
    <w:multiLevelType w:val="multilevel"/>
    <w:tmpl w:val="894EE943"/>
    <w:numStyleLink w:val="List147"/>
  </w:abstractNum>
  <w:abstractNum w:abstractNumId="5" w15:restartNumberingAfterBreak="0">
    <w:nsid w:val="000000ED"/>
    <w:multiLevelType w:val="multilevel"/>
    <w:tmpl w:val="894EE95F"/>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6" w15:restartNumberingAfterBreak="0">
    <w:nsid w:val="00000120"/>
    <w:multiLevelType w:val="multilevel"/>
    <w:tmpl w:val="894EE992"/>
    <w:lvl w:ilvl="0">
      <w:start w:val="1"/>
      <w:numFmt w:val="bullet"/>
      <w:lvlText w:val=""/>
      <w:lvlJc w:val="left"/>
      <w:pPr>
        <w:tabs>
          <w:tab w:val="num" w:pos="360"/>
        </w:tabs>
        <w:ind w:left="360" w:firstLine="720"/>
      </w:pPr>
      <w:rPr>
        <w:rFonts w:ascii="Wingdings" w:eastAsia="ヒラギノ角ゴ Pro W3" w:hAnsi="Wingdings" w:hint="default"/>
        <w:color w:val="000000"/>
        <w:position w:val="0"/>
        <w:sz w:val="24"/>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4"/>
      </w:rPr>
    </w:lvl>
  </w:abstractNum>
  <w:abstractNum w:abstractNumId="7" w15:restartNumberingAfterBreak="0">
    <w:nsid w:val="0000012A"/>
    <w:multiLevelType w:val="multilevel"/>
    <w:tmpl w:val="894EE99C"/>
    <w:lvl w:ilvl="0">
      <w:start w:val="1"/>
      <w:numFmt w:val="bullet"/>
      <w:lvlText w:val=""/>
      <w:lvlJc w:val="left"/>
      <w:pPr>
        <w:tabs>
          <w:tab w:val="num" w:pos="360"/>
        </w:tabs>
        <w:ind w:left="360" w:firstLine="1440"/>
      </w:pPr>
      <w:rPr>
        <w:rFonts w:ascii="Wingdings" w:eastAsia="ヒラギノ角ゴ Pro W3" w:hAnsi="Wingdings" w:hint="default"/>
        <w:color w:val="000000"/>
        <w:position w:val="0"/>
        <w:sz w:val="24"/>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4"/>
      </w:rPr>
    </w:lvl>
  </w:abstractNum>
  <w:abstractNum w:abstractNumId="8" w15:restartNumberingAfterBreak="0">
    <w:nsid w:val="00000137"/>
    <w:multiLevelType w:val="multilevel"/>
    <w:tmpl w:val="894EE9A9"/>
    <w:styleLink w:val="List220"/>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9" w15:restartNumberingAfterBreak="0">
    <w:nsid w:val="00000138"/>
    <w:multiLevelType w:val="multilevel"/>
    <w:tmpl w:val="894EE9A9"/>
    <w:numStyleLink w:val="List220"/>
  </w:abstractNum>
  <w:abstractNum w:abstractNumId="10" w15:restartNumberingAfterBreak="0">
    <w:nsid w:val="08706B6B"/>
    <w:multiLevelType w:val="hybridMultilevel"/>
    <w:tmpl w:val="EBC8FC50"/>
    <w:lvl w:ilvl="0" w:tplc="6F44F990">
      <w:start w:val="1"/>
      <w:numFmt w:val="decimal"/>
      <w:lvlText w:val="%1."/>
      <w:lvlJc w:val="left"/>
      <w:pPr>
        <w:ind w:left="720" w:hanging="360"/>
      </w:pPr>
      <w:rPr>
        <w:rFonts w:hint="default"/>
        <w:sz w:val="20"/>
      </w:rPr>
    </w:lvl>
    <w:lvl w:ilvl="1" w:tplc="A00211A8">
      <w:start w:val="1"/>
      <w:numFmt w:val="lowerLetter"/>
      <w:lvlText w:val="%2."/>
      <w:lvlJc w:val="left"/>
      <w:pPr>
        <w:ind w:left="1440" w:hanging="360"/>
      </w:pPr>
      <w:rPr>
        <w:sz w:val="20"/>
      </w:rPr>
    </w:lvl>
    <w:lvl w:ilvl="2" w:tplc="0409001B">
      <w:start w:val="1"/>
      <w:numFmt w:val="lowerRoman"/>
      <w:lvlText w:val="%3."/>
      <w:lvlJc w:val="right"/>
      <w:pPr>
        <w:ind w:left="2160" w:hanging="180"/>
      </w:pPr>
    </w:lvl>
    <w:lvl w:ilvl="3" w:tplc="7B90DAE6">
      <w:start w:val="1"/>
      <w:numFmt w:val="decimal"/>
      <w:lvlText w:val="%4."/>
      <w:lvlJc w:val="left"/>
      <w:pPr>
        <w:ind w:left="2880" w:hanging="360"/>
      </w:pPr>
      <w:rPr>
        <w:sz w:val="20"/>
      </w:rPr>
    </w:lvl>
    <w:lvl w:ilvl="4" w:tplc="D5CC89AE">
      <w:start w:val="1"/>
      <w:numFmt w:val="lowerLetter"/>
      <w:lvlText w:val="%5."/>
      <w:lvlJc w:val="left"/>
      <w:pPr>
        <w:ind w:left="3600" w:hanging="360"/>
      </w:pPr>
      <w:rPr>
        <w:sz w:val="2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0F38FE"/>
    <w:multiLevelType w:val="hybridMultilevel"/>
    <w:tmpl w:val="F91EA362"/>
    <w:lvl w:ilvl="0" w:tplc="074E8E6E">
      <w:start w:val="1"/>
      <w:numFmt w:val="decimal"/>
      <w:lvlText w:val="%1."/>
      <w:lvlJc w:val="left"/>
      <w:pPr>
        <w:ind w:left="720" w:hanging="360"/>
      </w:pPr>
      <w:rPr>
        <w:rFonts w:hint="default"/>
        <w:b w:val="0"/>
        <w:sz w:val="20"/>
      </w:rPr>
    </w:lvl>
    <w:lvl w:ilvl="1" w:tplc="8B3613BA">
      <w:start w:val="1"/>
      <w:numFmt w:val="lowerLetter"/>
      <w:lvlText w:val="%2."/>
      <w:lvlJc w:val="left"/>
      <w:pPr>
        <w:ind w:left="1440" w:hanging="360"/>
      </w:pPr>
      <w:rPr>
        <w:b w:val="0"/>
        <w:sz w:val="20"/>
      </w:rPr>
    </w:lvl>
    <w:lvl w:ilvl="2" w:tplc="786404D6">
      <w:start w:val="1"/>
      <w:numFmt w:val="lowerRoman"/>
      <w:lvlText w:val="%3."/>
      <w:lvlJc w:val="right"/>
      <w:pPr>
        <w:ind w:left="2160" w:hanging="180"/>
      </w:pPr>
      <w:rPr>
        <w:b w:val="0"/>
        <w:sz w:val="20"/>
      </w:rPr>
    </w:lvl>
    <w:lvl w:ilvl="3" w:tplc="16F05AFE">
      <w:start w:val="1"/>
      <w:numFmt w:val="decimal"/>
      <w:lvlText w:val="%4."/>
      <w:lvlJc w:val="left"/>
      <w:pPr>
        <w:ind w:left="2880" w:hanging="360"/>
      </w:pPr>
      <w:rPr>
        <w:b w:val="0"/>
        <w:sz w:val="20"/>
      </w:rPr>
    </w:lvl>
    <w:lvl w:ilvl="4" w:tplc="D5CC89AE">
      <w:start w:val="1"/>
      <w:numFmt w:val="lowerLetter"/>
      <w:lvlText w:val="%5."/>
      <w:lvlJc w:val="left"/>
      <w:pPr>
        <w:ind w:left="3600" w:hanging="360"/>
      </w:pPr>
      <w:rPr>
        <w:sz w:val="2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B36E68"/>
    <w:multiLevelType w:val="hybridMultilevel"/>
    <w:tmpl w:val="13CCC07A"/>
    <w:lvl w:ilvl="0" w:tplc="074E8E6E">
      <w:start w:val="1"/>
      <w:numFmt w:val="decimal"/>
      <w:lvlText w:val="%1."/>
      <w:lvlJc w:val="left"/>
      <w:pPr>
        <w:ind w:left="720" w:hanging="360"/>
      </w:pPr>
      <w:rPr>
        <w:rFonts w:hint="default"/>
        <w:b w:val="0"/>
        <w:sz w:val="20"/>
      </w:rPr>
    </w:lvl>
    <w:lvl w:ilvl="1" w:tplc="8B3613BA">
      <w:start w:val="1"/>
      <w:numFmt w:val="lowerLetter"/>
      <w:lvlText w:val="%2."/>
      <w:lvlJc w:val="left"/>
      <w:pPr>
        <w:ind w:left="1440" w:hanging="360"/>
      </w:pPr>
      <w:rPr>
        <w:b w:val="0"/>
        <w:sz w:val="20"/>
      </w:rPr>
    </w:lvl>
    <w:lvl w:ilvl="2" w:tplc="AE0C7414">
      <w:start w:val="1"/>
      <w:numFmt w:val="lowerRoman"/>
      <w:lvlText w:val="%3."/>
      <w:lvlJc w:val="right"/>
      <w:pPr>
        <w:ind w:left="2160" w:hanging="180"/>
      </w:pPr>
      <w:rPr>
        <w:b w:val="0"/>
        <w:sz w:val="20"/>
      </w:rPr>
    </w:lvl>
    <w:lvl w:ilvl="3" w:tplc="16F05AFE">
      <w:start w:val="1"/>
      <w:numFmt w:val="decimal"/>
      <w:lvlText w:val="%4."/>
      <w:lvlJc w:val="left"/>
      <w:pPr>
        <w:ind w:left="2880" w:hanging="360"/>
      </w:pPr>
      <w:rPr>
        <w:b w:val="0"/>
        <w:sz w:val="20"/>
      </w:rPr>
    </w:lvl>
    <w:lvl w:ilvl="4" w:tplc="D5CC89AE">
      <w:start w:val="1"/>
      <w:numFmt w:val="lowerLetter"/>
      <w:lvlText w:val="%5."/>
      <w:lvlJc w:val="left"/>
      <w:pPr>
        <w:ind w:left="3600" w:hanging="360"/>
      </w:pPr>
      <w:rPr>
        <w:sz w:val="2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C5070D"/>
    <w:multiLevelType w:val="hybridMultilevel"/>
    <w:tmpl w:val="E91689E6"/>
    <w:lvl w:ilvl="0" w:tplc="188E474E">
      <w:start w:val="1"/>
      <w:numFmt w:val="decimal"/>
      <w:lvlText w:val="%1."/>
      <w:lvlJc w:val="left"/>
      <w:pPr>
        <w:ind w:left="720" w:hanging="360"/>
      </w:pPr>
      <w:rPr>
        <w:rFonts w:asciiTheme="minorHAnsi" w:hAnsiTheme="minorHAnsi" w:hint="default"/>
        <w:b w:val="0"/>
        <w:sz w:val="20"/>
      </w:rPr>
    </w:lvl>
    <w:lvl w:ilvl="1" w:tplc="DD36E04C">
      <w:start w:val="1"/>
      <w:numFmt w:val="lowerLetter"/>
      <w:lvlText w:val="%2."/>
      <w:lvlJc w:val="left"/>
      <w:pPr>
        <w:ind w:left="1440" w:hanging="360"/>
      </w:pPr>
      <w:rPr>
        <w:rFonts w:asciiTheme="minorHAnsi" w:hAnsiTheme="minorHAnsi" w:hint="default"/>
        <w:b w:val="0"/>
        <w:sz w:val="20"/>
      </w:rPr>
    </w:lvl>
    <w:lvl w:ilvl="2" w:tplc="BF2812B2">
      <w:start w:val="1"/>
      <w:numFmt w:val="lowerRoman"/>
      <w:lvlText w:val="%3."/>
      <w:lvlJc w:val="right"/>
      <w:pPr>
        <w:ind w:left="2160" w:hanging="180"/>
      </w:pPr>
      <w:rPr>
        <w:b w:val="0"/>
        <w:sz w:val="20"/>
      </w:rPr>
    </w:lvl>
    <w:lvl w:ilvl="3" w:tplc="16F05AFE">
      <w:start w:val="1"/>
      <w:numFmt w:val="decimal"/>
      <w:lvlText w:val="%4."/>
      <w:lvlJc w:val="left"/>
      <w:pPr>
        <w:ind w:left="2880" w:hanging="360"/>
      </w:pPr>
      <w:rPr>
        <w:b w:val="0"/>
        <w:sz w:val="20"/>
      </w:rPr>
    </w:lvl>
    <w:lvl w:ilvl="4" w:tplc="D5CC89AE">
      <w:start w:val="1"/>
      <w:numFmt w:val="lowerLetter"/>
      <w:lvlText w:val="%5."/>
      <w:lvlJc w:val="left"/>
      <w:pPr>
        <w:ind w:left="3600" w:hanging="360"/>
      </w:pPr>
      <w:rPr>
        <w:sz w:val="2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396804"/>
    <w:multiLevelType w:val="hybridMultilevel"/>
    <w:tmpl w:val="98521354"/>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B56946"/>
    <w:multiLevelType w:val="hybridMultilevel"/>
    <w:tmpl w:val="8C6CB1DA"/>
    <w:lvl w:ilvl="0" w:tplc="188E474E">
      <w:start w:val="1"/>
      <w:numFmt w:val="decimal"/>
      <w:lvlText w:val="%1."/>
      <w:lvlJc w:val="left"/>
      <w:pPr>
        <w:ind w:left="720" w:hanging="360"/>
      </w:pPr>
      <w:rPr>
        <w:rFonts w:asciiTheme="minorHAnsi" w:hAnsiTheme="minorHAnsi" w:hint="default"/>
        <w:b w:val="0"/>
        <w:sz w:val="20"/>
      </w:rPr>
    </w:lvl>
    <w:lvl w:ilvl="1" w:tplc="DD36E04C">
      <w:start w:val="1"/>
      <w:numFmt w:val="lowerLetter"/>
      <w:lvlText w:val="%2."/>
      <w:lvlJc w:val="left"/>
      <w:pPr>
        <w:ind w:left="1440" w:hanging="360"/>
      </w:pPr>
      <w:rPr>
        <w:rFonts w:asciiTheme="minorHAnsi" w:hAnsiTheme="minorHAnsi" w:hint="default"/>
        <w:b w:val="0"/>
        <w:sz w:val="20"/>
      </w:rPr>
    </w:lvl>
    <w:lvl w:ilvl="2" w:tplc="6A048056">
      <w:start w:val="1"/>
      <w:numFmt w:val="lowerRoman"/>
      <w:lvlText w:val="%3."/>
      <w:lvlJc w:val="right"/>
      <w:pPr>
        <w:ind w:left="2160" w:hanging="180"/>
      </w:pPr>
      <w:rPr>
        <w:b w:val="0"/>
        <w:sz w:val="20"/>
      </w:rPr>
    </w:lvl>
    <w:lvl w:ilvl="3" w:tplc="16F05AFE">
      <w:start w:val="1"/>
      <w:numFmt w:val="decimal"/>
      <w:lvlText w:val="%4."/>
      <w:lvlJc w:val="left"/>
      <w:pPr>
        <w:ind w:left="2880" w:hanging="360"/>
      </w:pPr>
      <w:rPr>
        <w:b w:val="0"/>
        <w:sz w:val="20"/>
      </w:rPr>
    </w:lvl>
    <w:lvl w:ilvl="4" w:tplc="D5CC89AE">
      <w:start w:val="1"/>
      <w:numFmt w:val="lowerLetter"/>
      <w:lvlText w:val="%5."/>
      <w:lvlJc w:val="left"/>
      <w:pPr>
        <w:ind w:left="3600" w:hanging="360"/>
      </w:pPr>
      <w:rPr>
        <w:sz w:val="2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1857BE"/>
    <w:multiLevelType w:val="hybridMultilevel"/>
    <w:tmpl w:val="526459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294CB4"/>
    <w:multiLevelType w:val="hybridMultilevel"/>
    <w:tmpl w:val="E91689E6"/>
    <w:lvl w:ilvl="0" w:tplc="188E474E">
      <w:start w:val="1"/>
      <w:numFmt w:val="decimal"/>
      <w:lvlText w:val="%1."/>
      <w:lvlJc w:val="left"/>
      <w:pPr>
        <w:ind w:left="720" w:hanging="360"/>
      </w:pPr>
      <w:rPr>
        <w:rFonts w:asciiTheme="minorHAnsi" w:hAnsiTheme="minorHAnsi" w:hint="default"/>
        <w:b w:val="0"/>
        <w:sz w:val="20"/>
      </w:rPr>
    </w:lvl>
    <w:lvl w:ilvl="1" w:tplc="DD36E04C">
      <w:start w:val="1"/>
      <w:numFmt w:val="lowerLetter"/>
      <w:lvlText w:val="%2."/>
      <w:lvlJc w:val="left"/>
      <w:pPr>
        <w:ind w:left="1440" w:hanging="360"/>
      </w:pPr>
      <w:rPr>
        <w:rFonts w:asciiTheme="minorHAnsi" w:hAnsiTheme="minorHAnsi" w:hint="default"/>
        <w:b w:val="0"/>
        <w:sz w:val="20"/>
      </w:rPr>
    </w:lvl>
    <w:lvl w:ilvl="2" w:tplc="BF2812B2">
      <w:start w:val="1"/>
      <w:numFmt w:val="lowerRoman"/>
      <w:lvlText w:val="%3."/>
      <w:lvlJc w:val="right"/>
      <w:pPr>
        <w:ind w:left="2160" w:hanging="180"/>
      </w:pPr>
      <w:rPr>
        <w:b w:val="0"/>
        <w:sz w:val="20"/>
      </w:rPr>
    </w:lvl>
    <w:lvl w:ilvl="3" w:tplc="16F05AFE">
      <w:start w:val="1"/>
      <w:numFmt w:val="decimal"/>
      <w:lvlText w:val="%4."/>
      <w:lvlJc w:val="left"/>
      <w:pPr>
        <w:ind w:left="2880" w:hanging="360"/>
      </w:pPr>
      <w:rPr>
        <w:b w:val="0"/>
        <w:sz w:val="20"/>
      </w:rPr>
    </w:lvl>
    <w:lvl w:ilvl="4" w:tplc="D5CC89AE">
      <w:start w:val="1"/>
      <w:numFmt w:val="lowerLetter"/>
      <w:lvlText w:val="%5."/>
      <w:lvlJc w:val="left"/>
      <w:pPr>
        <w:ind w:left="3600" w:hanging="360"/>
      </w:pPr>
      <w:rPr>
        <w:sz w:val="2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22256F"/>
    <w:multiLevelType w:val="hybridMultilevel"/>
    <w:tmpl w:val="98521354"/>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363246"/>
    <w:multiLevelType w:val="hybridMultilevel"/>
    <w:tmpl w:val="118EF680"/>
    <w:lvl w:ilvl="0" w:tplc="6F44F990">
      <w:start w:val="1"/>
      <w:numFmt w:val="decimal"/>
      <w:lvlText w:val="%1."/>
      <w:lvlJc w:val="left"/>
      <w:pPr>
        <w:ind w:left="720" w:hanging="360"/>
      </w:pPr>
      <w:rPr>
        <w:rFonts w:hint="default"/>
        <w:sz w:val="20"/>
      </w:rPr>
    </w:lvl>
    <w:lvl w:ilvl="1" w:tplc="A00211A8">
      <w:start w:val="1"/>
      <w:numFmt w:val="lowerLetter"/>
      <w:lvlText w:val="%2."/>
      <w:lvlJc w:val="left"/>
      <w:pPr>
        <w:ind w:left="1440" w:hanging="360"/>
      </w:pPr>
      <w:rPr>
        <w:sz w:val="20"/>
      </w:rPr>
    </w:lvl>
    <w:lvl w:ilvl="2" w:tplc="28247B06">
      <w:start w:val="1"/>
      <w:numFmt w:val="lowerRoman"/>
      <w:lvlText w:val="%3."/>
      <w:lvlJc w:val="right"/>
      <w:pPr>
        <w:ind w:left="2160" w:hanging="180"/>
      </w:pPr>
      <w:rPr>
        <w:sz w:val="20"/>
      </w:rPr>
    </w:lvl>
    <w:lvl w:ilvl="3" w:tplc="7B90DAE6">
      <w:start w:val="1"/>
      <w:numFmt w:val="decimal"/>
      <w:lvlText w:val="%4."/>
      <w:lvlJc w:val="left"/>
      <w:pPr>
        <w:ind w:left="2880" w:hanging="360"/>
      </w:pPr>
      <w:rPr>
        <w:sz w:val="20"/>
      </w:rPr>
    </w:lvl>
    <w:lvl w:ilvl="4" w:tplc="D5CC89AE">
      <w:start w:val="1"/>
      <w:numFmt w:val="lowerLetter"/>
      <w:lvlText w:val="%5."/>
      <w:lvlJc w:val="left"/>
      <w:pPr>
        <w:ind w:left="3600" w:hanging="360"/>
      </w:pPr>
      <w:rPr>
        <w:sz w:val="2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3727F3"/>
    <w:multiLevelType w:val="hybridMultilevel"/>
    <w:tmpl w:val="E91689E6"/>
    <w:lvl w:ilvl="0" w:tplc="188E474E">
      <w:start w:val="1"/>
      <w:numFmt w:val="decimal"/>
      <w:lvlText w:val="%1."/>
      <w:lvlJc w:val="left"/>
      <w:pPr>
        <w:ind w:left="720" w:hanging="360"/>
      </w:pPr>
      <w:rPr>
        <w:rFonts w:asciiTheme="minorHAnsi" w:hAnsiTheme="minorHAnsi" w:hint="default"/>
        <w:b w:val="0"/>
        <w:sz w:val="20"/>
      </w:rPr>
    </w:lvl>
    <w:lvl w:ilvl="1" w:tplc="DD36E04C">
      <w:start w:val="1"/>
      <w:numFmt w:val="lowerLetter"/>
      <w:lvlText w:val="%2."/>
      <w:lvlJc w:val="left"/>
      <w:pPr>
        <w:ind w:left="1440" w:hanging="360"/>
      </w:pPr>
      <w:rPr>
        <w:rFonts w:asciiTheme="minorHAnsi" w:hAnsiTheme="minorHAnsi" w:hint="default"/>
        <w:b w:val="0"/>
        <w:sz w:val="20"/>
      </w:rPr>
    </w:lvl>
    <w:lvl w:ilvl="2" w:tplc="BF2812B2">
      <w:start w:val="1"/>
      <w:numFmt w:val="lowerRoman"/>
      <w:lvlText w:val="%3."/>
      <w:lvlJc w:val="right"/>
      <w:pPr>
        <w:ind w:left="2160" w:hanging="180"/>
      </w:pPr>
      <w:rPr>
        <w:b w:val="0"/>
        <w:sz w:val="20"/>
      </w:rPr>
    </w:lvl>
    <w:lvl w:ilvl="3" w:tplc="16F05AFE">
      <w:start w:val="1"/>
      <w:numFmt w:val="decimal"/>
      <w:lvlText w:val="%4."/>
      <w:lvlJc w:val="left"/>
      <w:pPr>
        <w:ind w:left="2880" w:hanging="360"/>
      </w:pPr>
      <w:rPr>
        <w:b w:val="0"/>
        <w:sz w:val="20"/>
      </w:rPr>
    </w:lvl>
    <w:lvl w:ilvl="4" w:tplc="D5CC89AE">
      <w:start w:val="1"/>
      <w:numFmt w:val="lowerLetter"/>
      <w:lvlText w:val="%5."/>
      <w:lvlJc w:val="left"/>
      <w:pPr>
        <w:ind w:left="3600" w:hanging="360"/>
      </w:pPr>
      <w:rPr>
        <w:sz w:val="2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AD6133"/>
    <w:multiLevelType w:val="hybridMultilevel"/>
    <w:tmpl w:val="EBC8FC50"/>
    <w:lvl w:ilvl="0" w:tplc="6F44F990">
      <w:start w:val="1"/>
      <w:numFmt w:val="decimal"/>
      <w:lvlText w:val="%1."/>
      <w:lvlJc w:val="left"/>
      <w:pPr>
        <w:ind w:left="720" w:hanging="360"/>
      </w:pPr>
      <w:rPr>
        <w:rFonts w:hint="default"/>
        <w:sz w:val="20"/>
      </w:rPr>
    </w:lvl>
    <w:lvl w:ilvl="1" w:tplc="A00211A8">
      <w:start w:val="1"/>
      <w:numFmt w:val="lowerLetter"/>
      <w:lvlText w:val="%2."/>
      <w:lvlJc w:val="left"/>
      <w:pPr>
        <w:ind w:left="1440" w:hanging="360"/>
      </w:pPr>
      <w:rPr>
        <w:sz w:val="20"/>
      </w:rPr>
    </w:lvl>
    <w:lvl w:ilvl="2" w:tplc="0409001B">
      <w:start w:val="1"/>
      <w:numFmt w:val="lowerRoman"/>
      <w:lvlText w:val="%3."/>
      <w:lvlJc w:val="right"/>
      <w:pPr>
        <w:ind w:left="2160" w:hanging="180"/>
      </w:pPr>
    </w:lvl>
    <w:lvl w:ilvl="3" w:tplc="7B90DAE6">
      <w:start w:val="1"/>
      <w:numFmt w:val="decimal"/>
      <w:lvlText w:val="%4."/>
      <w:lvlJc w:val="left"/>
      <w:pPr>
        <w:ind w:left="2880" w:hanging="360"/>
      </w:pPr>
      <w:rPr>
        <w:sz w:val="20"/>
      </w:rPr>
    </w:lvl>
    <w:lvl w:ilvl="4" w:tplc="D5CC89AE">
      <w:start w:val="1"/>
      <w:numFmt w:val="lowerLetter"/>
      <w:lvlText w:val="%5."/>
      <w:lvlJc w:val="left"/>
      <w:pPr>
        <w:ind w:left="3600" w:hanging="360"/>
      </w:pPr>
      <w:rPr>
        <w:sz w:val="2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631FBC"/>
    <w:multiLevelType w:val="hybridMultilevel"/>
    <w:tmpl w:val="603C3D04"/>
    <w:lvl w:ilvl="0" w:tplc="188E474E">
      <w:start w:val="1"/>
      <w:numFmt w:val="decimal"/>
      <w:lvlText w:val="%1."/>
      <w:lvlJc w:val="left"/>
      <w:pPr>
        <w:ind w:left="720" w:hanging="360"/>
      </w:pPr>
      <w:rPr>
        <w:rFonts w:asciiTheme="minorHAnsi" w:hAnsiTheme="minorHAnsi" w:hint="default"/>
        <w:b w:val="0"/>
        <w:sz w:val="20"/>
      </w:rPr>
    </w:lvl>
    <w:lvl w:ilvl="1" w:tplc="DD36E04C">
      <w:start w:val="1"/>
      <w:numFmt w:val="lowerLetter"/>
      <w:lvlText w:val="%2."/>
      <w:lvlJc w:val="left"/>
      <w:pPr>
        <w:ind w:left="1440" w:hanging="360"/>
      </w:pPr>
      <w:rPr>
        <w:rFonts w:asciiTheme="minorHAnsi" w:hAnsiTheme="minorHAnsi" w:hint="default"/>
        <w:b w:val="0"/>
        <w:sz w:val="20"/>
      </w:rPr>
    </w:lvl>
    <w:lvl w:ilvl="2" w:tplc="8ECA5F28">
      <w:start w:val="1"/>
      <w:numFmt w:val="lowerRoman"/>
      <w:lvlText w:val="%3."/>
      <w:lvlJc w:val="right"/>
      <w:pPr>
        <w:ind w:left="2160" w:hanging="180"/>
      </w:pPr>
      <w:rPr>
        <w:b w:val="0"/>
      </w:rPr>
    </w:lvl>
    <w:lvl w:ilvl="3" w:tplc="16F05AFE">
      <w:start w:val="1"/>
      <w:numFmt w:val="decimal"/>
      <w:lvlText w:val="%4."/>
      <w:lvlJc w:val="left"/>
      <w:pPr>
        <w:ind w:left="2880" w:hanging="360"/>
      </w:pPr>
      <w:rPr>
        <w:b w:val="0"/>
        <w:sz w:val="20"/>
      </w:rPr>
    </w:lvl>
    <w:lvl w:ilvl="4" w:tplc="D5CC89AE">
      <w:start w:val="1"/>
      <w:numFmt w:val="lowerLetter"/>
      <w:lvlText w:val="%5."/>
      <w:lvlJc w:val="left"/>
      <w:pPr>
        <w:ind w:left="3600" w:hanging="360"/>
      </w:pPr>
      <w:rPr>
        <w:sz w:val="2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6562B9"/>
    <w:multiLevelType w:val="hybridMultilevel"/>
    <w:tmpl w:val="6C568702"/>
    <w:lvl w:ilvl="0" w:tplc="6F44F990">
      <w:start w:val="1"/>
      <w:numFmt w:val="decimal"/>
      <w:lvlText w:val="%1."/>
      <w:lvlJc w:val="left"/>
      <w:pPr>
        <w:ind w:left="720" w:hanging="360"/>
      </w:pPr>
      <w:rPr>
        <w:rFonts w:hint="default"/>
        <w:sz w:val="20"/>
      </w:rPr>
    </w:lvl>
    <w:lvl w:ilvl="1" w:tplc="A00211A8">
      <w:start w:val="1"/>
      <w:numFmt w:val="lowerLetter"/>
      <w:lvlText w:val="%2."/>
      <w:lvlJc w:val="left"/>
      <w:pPr>
        <w:ind w:left="1440" w:hanging="360"/>
      </w:pPr>
      <w:rPr>
        <w:sz w:val="20"/>
      </w:rPr>
    </w:lvl>
    <w:lvl w:ilvl="2" w:tplc="C0724A92">
      <w:start w:val="1"/>
      <w:numFmt w:val="lowerRoman"/>
      <w:lvlText w:val="%3."/>
      <w:lvlJc w:val="right"/>
      <w:pPr>
        <w:ind w:left="2160" w:hanging="180"/>
      </w:pPr>
      <w:rPr>
        <w:sz w:val="20"/>
      </w:rPr>
    </w:lvl>
    <w:lvl w:ilvl="3" w:tplc="7B90DAE6">
      <w:start w:val="1"/>
      <w:numFmt w:val="decimal"/>
      <w:lvlText w:val="%4."/>
      <w:lvlJc w:val="left"/>
      <w:pPr>
        <w:ind w:left="2880" w:hanging="360"/>
      </w:pPr>
      <w:rPr>
        <w:sz w:val="20"/>
      </w:rPr>
    </w:lvl>
    <w:lvl w:ilvl="4" w:tplc="D5CC89AE">
      <w:start w:val="1"/>
      <w:numFmt w:val="lowerLetter"/>
      <w:lvlText w:val="%5."/>
      <w:lvlJc w:val="left"/>
      <w:pPr>
        <w:ind w:left="3600" w:hanging="360"/>
      </w:pPr>
      <w:rPr>
        <w:sz w:val="2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3A1BE8"/>
    <w:multiLevelType w:val="hybridMultilevel"/>
    <w:tmpl w:val="F364E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D05CD0"/>
    <w:multiLevelType w:val="hybridMultilevel"/>
    <w:tmpl w:val="E91689E6"/>
    <w:lvl w:ilvl="0" w:tplc="188E474E">
      <w:start w:val="1"/>
      <w:numFmt w:val="decimal"/>
      <w:lvlText w:val="%1."/>
      <w:lvlJc w:val="left"/>
      <w:pPr>
        <w:ind w:left="720" w:hanging="360"/>
      </w:pPr>
      <w:rPr>
        <w:rFonts w:asciiTheme="minorHAnsi" w:hAnsiTheme="minorHAnsi" w:hint="default"/>
        <w:b w:val="0"/>
        <w:sz w:val="20"/>
      </w:rPr>
    </w:lvl>
    <w:lvl w:ilvl="1" w:tplc="DD36E04C">
      <w:start w:val="1"/>
      <w:numFmt w:val="lowerLetter"/>
      <w:lvlText w:val="%2."/>
      <w:lvlJc w:val="left"/>
      <w:pPr>
        <w:ind w:left="1440" w:hanging="360"/>
      </w:pPr>
      <w:rPr>
        <w:rFonts w:asciiTheme="minorHAnsi" w:hAnsiTheme="minorHAnsi" w:hint="default"/>
        <w:b w:val="0"/>
        <w:sz w:val="20"/>
      </w:rPr>
    </w:lvl>
    <w:lvl w:ilvl="2" w:tplc="BF2812B2">
      <w:start w:val="1"/>
      <w:numFmt w:val="lowerRoman"/>
      <w:lvlText w:val="%3."/>
      <w:lvlJc w:val="right"/>
      <w:pPr>
        <w:ind w:left="2160" w:hanging="180"/>
      </w:pPr>
      <w:rPr>
        <w:b w:val="0"/>
        <w:sz w:val="20"/>
      </w:rPr>
    </w:lvl>
    <w:lvl w:ilvl="3" w:tplc="16F05AFE">
      <w:start w:val="1"/>
      <w:numFmt w:val="decimal"/>
      <w:lvlText w:val="%4."/>
      <w:lvlJc w:val="left"/>
      <w:pPr>
        <w:ind w:left="2880" w:hanging="360"/>
      </w:pPr>
      <w:rPr>
        <w:b w:val="0"/>
        <w:sz w:val="20"/>
      </w:rPr>
    </w:lvl>
    <w:lvl w:ilvl="4" w:tplc="D5CC89AE">
      <w:start w:val="1"/>
      <w:numFmt w:val="lowerLetter"/>
      <w:lvlText w:val="%5."/>
      <w:lvlJc w:val="left"/>
      <w:pPr>
        <w:ind w:left="3600" w:hanging="360"/>
      </w:pPr>
      <w:rPr>
        <w:sz w:val="2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DE69F2"/>
    <w:multiLevelType w:val="hybridMultilevel"/>
    <w:tmpl w:val="A9EC6A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464381"/>
    <w:multiLevelType w:val="hybridMultilevel"/>
    <w:tmpl w:val="EBC8FC50"/>
    <w:lvl w:ilvl="0" w:tplc="6F44F990">
      <w:start w:val="1"/>
      <w:numFmt w:val="decimal"/>
      <w:lvlText w:val="%1."/>
      <w:lvlJc w:val="left"/>
      <w:pPr>
        <w:ind w:left="720" w:hanging="360"/>
      </w:pPr>
      <w:rPr>
        <w:rFonts w:hint="default"/>
        <w:sz w:val="20"/>
      </w:rPr>
    </w:lvl>
    <w:lvl w:ilvl="1" w:tplc="A00211A8">
      <w:start w:val="1"/>
      <w:numFmt w:val="lowerLetter"/>
      <w:lvlText w:val="%2."/>
      <w:lvlJc w:val="left"/>
      <w:pPr>
        <w:ind w:left="1440" w:hanging="360"/>
      </w:pPr>
      <w:rPr>
        <w:sz w:val="20"/>
      </w:rPr>
    </w:lvl>
    <w:lvl w:ilvl="2" w:tplc="0409001B">
      <w:start w:val="1"/>
      <w:numFmt w:val="lowerRoman"/>
      <w:lvlText w:val="%3."/>
      <w:lvlJc w:val="right"/>
      <w:pPr>
        <w:ind w:left="2160" w:hanging="180"/>
      </w:pPr>
    </w:lvl>
    <w:lvl w:ilvl="3" w:tplc="7B90DAE6">
      <w:start w:val="1"/>
      <w:numFmt w:val="decimal"/>
      <w:lvlText w:val="%4."/>
      <w:lvlJc w:val="left"/>
      <w:pPr>
        <w:ind w:left="2880" w:hanging="360"/>
      </w:pPr>
      <w:rPr>
        <w:sz w:val="20"/>
      </w:rPr>
    </w:lvl>
    <w:lvl w:ilvl="4" w:tplc="D5CC89AE">
      <w:start w:val="1"/>
      <w:numFmt w:val="lowerLetter"/>
      <w:lvlText w:val="%5."/>
      <w:lvlJc w:val="left"/>
      <w:pPr>
        <w:ind w:left="3600" w:hanging="360"/>
      </w:pPr>
      <w:rPr>
        <w:sz w:val="2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121E82"/>
    <w:multiLevelType w:val="hybridMultilevel"/>
    <w:tmpl w:val="817CFE76"/>
    <w:lvl w:ilvl="0" w:tplc="6F44F990">
      <w:start w:val="1"/>
      <w:numFmt w:val="decimal"/>
      <w:lvlText w:val="%1."/>
      <w:lvlJc w:val="left"/>
      <w:pPr>
        <w:ind w:left="720" w:hanging="360"/>
      </w:pPr>
      <w:rPr>
        <w:rFonts w:hint="default"/>
        <w:sz w:val="20"/>
      </w:rPr>
    </w:lvl>
    <w:lvl w:ilvl="1" w:tplc="A00211A8">
      <w:start w:val="1"/>
      <w:numFmt w:val="lowerLetter"/>
      <w:lvlText w:val="%2."/>
      <w:lvlJc w:val="left"/>
      <w:pPr>
        <w:ind w:left="1440" w:hanging="360"/>
      </w:pPr>
      <w:rPr>
        <w:sz w:val="20"/>
      </w:rPr>
    </w:lvl>
    <w:lvl w:ilvl="2" w:tplc="BE3C86E6">
      <w:start w:val="1"/>
      <w:numFmt w:val="lowerRoman"/>
      <w:lvlText w:val="%3."/>
      <w:lvlJc w:val="right"/>
      <w:pPr>
        <w:ind w:left="2160" w:hanging="180"/>
      </w:pPr>
      <w:rPr>
        <w:sz w:val="20"/>
      </w:rPr>
    </w:lvl>
    <w:lvl w:ilvl="3" w:tplc="7B90DAE6">
      <w:start w:val="1"/>
      <w:numFmt w:val="decimal"/>
      <w:lvlText w:val="%4."/>
      <w:lvlJc w:val="left"/>
      <w:pPr>
        <w:ind w:left="2880" w:hanging="360"/>
      </w:pPr>
      <w:rPr>
        <w:sz w:val="20"/>
      </w:rPr>
    </w:lvl>
    <w:lvl w:ilvl="4" w:tplc="D5CC89AE">
      <w:start w:val="1"/>
      <w:numFmt w:val="lowerLetter"/>
      <w:lvlText w:val="%5."/>
      <w:lvlJc w:val="left"/>
      <w:pPr>
        <w:ind w:left="3600" w:hanging="360"/>
      </w:pPr>
      <w:rPr>
        <w:sz w:val="2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45368E"/>
    <w:multiLevelType w:val="hybridMultilevel"/>
    <w:tmpl w:val="463E43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48A3453"/>
    <w:multiLevelType w:val="hybridMultilevel"/>
    <w:tmpl w:val="CD6ADB70"/>
    <w:lvl w:ilvl="0" w:tplc="074E8E6E">
      <w:start w:val="1"/>
      <w:numFmt w:val="decimal"/>
      <w:lvlText w:val="%1."/>
      <w:lvlJc w:val="left"/>
      <w:pPr>
        <w:ind w:left="720" w:hanging="360"/>
      </w:pPr>
      <w:rPr>
        <w:rFonts w:hint="default"/>
        <w:b w:val="0"/>
        <w:sz w:val="20"/>
      </w:rPr>
    </w:lvl>
    <w:lvl w:ilvl="1" w:tplc="8B3613BA">
      <w:start w:val="1"/>
      <w:numFmt w:val="lowerLetter"/>
      <w:lvlText w:val="%2."/>
      <w:lvlJc w:val="left"/>
      <w:pPr>
        <w:ind w:left="1440" w:hanging="360"/>
      </w:pPr>
      <w:rPr>
        <w:b w:val="0"/>
        <w:sz w:val="20"/>
      </w:rPr>
    </w:lvl>
    <w:lvl w:ilvl="2" w:tplc="8ECA5F28">
      <w:start w:val="1"/>
      <w:numFmt w:val="lowerRoman"/>
      <w:lvlText w:val="%3."/>
      <w:lvlJc w:val="right"/>
      <w:pPr>
        <w:ind w:left="2160" w:hanging="180"/>
      </w:pPr>
      <w:rPr>
        <w:b w:val="0"/>
      </w:rPr>
    </w:lvl>
    <w:lvl w:ilvl="3" w:tplc="16F05AFE">
      <w:start w:val="1"/>
      <w:numFmt w:val="decimal"/>
      <w:lvlText w:val="%4."/>
      <w:lvlJc w:val="left"/>
      <w:pPr>
        <w:ind w:left="2880" w:hanging="360"/>
      </w:pPr>
      <w:rPr>
        <w:b w:val="0"/>
        <w:sz w:val="20"/>
      </w:rPr>
    </w:lvl>
    <w:lvl w:ilvl="4" w:tplc="D5CC89AE">
      <w:start w:val="1"/>
      <w:numFmt w:val="lowerLetter"/>
      <w:lvlText w:val="%5."/>
      <w:lvlJc w:val="left"/>
      <w:pPr>
        <w:ind w:left="3600" w:hanging="360"/>
      </w:pPr>
      <w:rPr>
        <w:sz w:val="2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DD5786"/>
    <w:multiLevelType w:val="hybridMultilevel"/>
    <w:tmpl w:val="875E848C"/>
    <w:lvl w:ilvl="0" w:tplc="188E474E">
      <w:start w:val="1"/>
      <w:numFmt w:val="decimal"/>
      <w:lvlText w:val="%1."/>
      <w:lvlJc w:val="left"/>
      <w:pPr>
        <w:ind w:left="720" w:hanging="360"/>
      </w:pPr>
      <w:rPr>
        <w:rFonts w:asciiTheme="minorHAnsi" w:hAnsiTheme="minorHAnsi" w:hint="default"/>
        <w:b w:val="0"/>
        <w:sz w:val="20"/>
      </w:rPr>
    </w:lvl>
    <w:lvl w:ilvl="1" w:tplc="DD36E04C">
      <w:start w:val="1"/>
      <w:numFmt w:val="lowerLetter"/>
      <w:lvlText w:val="%2."/>
      <w:lvlJc w:val="left"/>
      <w:pPr>
        <w:ind w:left="1440" w:hanging="360"/>
      </w:pPr>
      <w:rPr>
        <w:rFonts w:asciiTheme="minorHAnsi" w:hAnsiTheme="minorHAnsi" w:hint="default"/>
        <w:b w:val="0"/>
        <w:sz w:val="20"/>
      </w:rPr>
    </w:lvl>
    <w:lvl w:ilvl="2" w:tplc="80B05784">
      <w:start w:val="1"/>
      <w:numFmt w:val="lowerRoman"/>
      <w:lvlText w:val="%3."/>
      <w:lvlJc w:val="right"/>
      <w:pPr>
        <w:ind w:left="2160" w:hanging="180"/>
      </w:pPr>
      <w:rPr>
        <w:b w:val="0"/>
        <w:sz w:val="20"/>
      </w:rPr>
    </w:lvl>
    <w:lvl w:ilvl="3" w:tplc="16F05AFE">
      <w:start w:val="1"/>
      <w:numFmt w:val="decimal"/>
      <w:lvlText w:val="%4."/>
      <w:lvlJc w:val="left"/>
      <w:pPr>
        <w:ind w:left="2880" w:hanging="360"/>
      </w:pPr>
      <w:rPr>
        <w:b w:val="0"/>
        <w:sz w:val="20"/>
      </w:rPr>
    </w:lvl>
    <w:lvl w:ilvl="4" w:tplc="D5CC89AE">
      <w:start w:val="1"/>
      <w:numFmt w:val="lowerLetter"/>
      <w:lvlText w:val="%5."/>
      <w:lvlJc w:val="left"/>
      <w:pPr>
        <w:ind w:left="3600" w:hanging="360"/>
      </w:pPr>
      <w:rPr>
        <w:sz w:val="2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9450CF"/>
    <w:multiLevelType w:val="hybridMultilevel"/>
    <w:tmpl w:val="2D046FA0"/>
    <w:lvl w:ilvl="0" w:tplc="074E8E6E">
      <w:start w:val="1"/>
      <w:numFmt w:val="decimal"/>
      <w:lvlText w:val="%1."/>
      <w:lvlJc w:val="left"/>
      <w:pPr>
        <w:ind w:left="720" w:hanging="360"/>
      </w:pPr>
      <w:rPr>
        <w:rFonts w:hint="default"/>
        <w:b w:val="0"/>
        <w:sz w:val="20"/>
      </w:rPr>
    </w:lvl>
    <w:lvl w:ilvl="1" w:tplc="DD36E04C">
      <w:start w:val="1"/>
      <w:numFmt w:val="lowerLetter"/>
      <w:lvlText w:val="%2."/>
      <w:lvlJc w:val="left"/>
      <w:pPr>
        <w:ind w:left="1440" w:hanging="360"/>
      </w:pPr>
      <w:rPr>
        <w:rFonts w:asciiTheme="minorHAnsi" w:hAnsiTheme="minorHAnsi" w:hint="default"/>
        <w:b w:val="0"/>
        <w:sz w:val="20"/>
      </w:rPr>
    </w:lvl>
    <w:lvl w:ilvl="2" w:tplc="8ECA5F28">
      <w:start w:val="1"/>
      <w:numFmt w:val="lowerRoman"/>
      <w:lvlText w:val="%3."/>
      <w:lvlJc w:val="right"/>
      <w:pPr>
        <w:ind w:left="2160" w:hanging="180"/>
      </w:pPr>
      <w:rPr>
        <w:b w:val="0"/>
      </w:rPr>
    </w:lvl>
    <w:lvl w:ilvl="3" w:tplc="16F05AFE">
      <w:start w:val="1"/>
      <w:numFmt w:val="decimal"/>
      <w:lvlText w:val="%4."/>
      <w:lvlJc w:val="left"/>
      <w:pPr>
        <w:ind w:left="2880" w:hanging="360"/>
      </w:pPr>
      <w:rPr>
        <w:b w:val="0"/>
        <w:sz w:val="20"/>
      </w:rPr>
    </w:lvl>
    <w:lvl w:ilvl="4" w:tplc="D5CC89AE">
      <w:start w:val="1"/>
      <w:numFmt w:val="lowerLetter"/>
      <w:lvlText w:val="%5."/>
      <w:lvlJc w:val="left"/>
      <w:pPr>
        <w:ind w:left="3600" w:hanging="360"/>
      </w:pPr>
      <w:rPr>
        <w:sz w:val="2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8"/>
  </w:num>
  <w:num w:numId="3">
    <w:abstractNumId w:val="14"/>
  </w:num>
  <w:num w:numId="4">
    <w:abstractNumId w:val="21"/>
  </w:num>
  <w:num w:numId="5">
    <w:abstractNumId w:val="27"/>
  </w:num>
  <w:num w:numId="6">
    <w:abstractNumId w:val="23"/>
  </w:num>
  <w:num w:numId="7">
    <w:abstractNumId w:val="10"/>
  </w:num>
  <w:num w:numId="8">
    <w:abstractNumId w:val="19"/>
  </w:num>
  <w:num w:numId="9">
    <w:abstractNumId w:val="12"/>
  </w:num>
  <w:num w:numId="10">
    <w:abstractNumId w:val="11"/>
  </w:num>
  <w:num w:numId="11">
    <w:abstractNumId w:val="0"/>
  </w:num>
  <w:num w:numId="12">
    <w:abstractNumId w:val="1"/>
  </w:num>
  <w:num w:numId="13">
    <w:abstractNumId w:val="30"/>
  </w:num>
  <w:num w:numId="14">
    <w:abstractNumId w:val="2"/>
  </w:num>
  <w:num w:numId="15">
    <w:abstractNumId w:val="32"/>
  </w:num>
  <w:num w:numId="16">
    <w:abstractNumId w:val="3"/>
  </w:num>
  <w:num w:numId="17">
    <w:abstractNumId w:val="4"/>
  </w:num>
  <w:num w:numId="18">
    <w:abstractNumId w:val="15"/>
  </w:num>
  <w:num w:numId="19">
    <w:abstractNumId w:val="5"/>
  </w:num>
  <w:num w:numId="20">
    <w:abstractNumId w:val="22"/>
  </w:num>
  <w:num w:numId="21">
    <w:abstractNumId w:val="6"/>
  </w:num>
  <w:num w:numId="22">
    <w:abstractNumId w:val="31"/>
  </w:num>
  <w:num w:numId="23">
    <w:abstractNumId w:val="25"/>
  </w:num>
  <w:num w:numId="24">
    <w:abstractNumId w:val="7"/>
  </w:num>
  <w:num w:numId="25">
    <w:abstractNumId w:val="8"/>
  </w:num>
  <w:num w:numId="26">
    <w:abstractNumId w:val="9"/>
  </w:num>
  <w:num w:numId="27">
    <w:abstractNumId w:val="29"/>
  </w:num>
  <w:num w:numId="28">
    <w:abstractNumId w:val="17"/>
  </w:num>
  <w:num w:numId="29">
    <w:abstractNumId w:val="20"/>
  </w:num>
  <w:num w:numId="30">
    <w:abstractNumId w:val="13"/>
  </w:num>
  <w:num w:numId="31">
    <w:abstractNumId w:val="26"/>
  </w:num>
  <w:num w:numId="32">
    <w:abstractNumId w:val="24"/>
  </w:num>
  <w:num w:numId="33">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 w:name="CITRUS_DOC_GUID" w:val="db76d7b2-b514-4a95-8b91-4b76bea34362"/>
  </w:docVars>
  <w:rsids>
    <w:rsidRoot w:val="00505123"/>
    <w:rsid w:val="00001159"/>
    <w:rsid w:val="00002344"/>
    <w:rsid w:val="000027B5"/>
    <w:rsid w:val="0000550B"/>
    <w:rsid w:val="000107D3"/>
    <w:rsid w:val="0001155B"/>
    <w:rsid w:val="00012948"/>
    <w:rsid w:val="00022760"/>
    <w:rsid w:val="000233E4"/>
    <w:rsid w:val="0002366D"/>
    <w:rsid w:val="00026809"/>
    <w:rsid w:val="00030BEB"/>
    <w:rsid w:val="000335E9"/>
    <w:rsid w:val="00033E69"/>
    <w:rsid w:val="000419C8"/>
    <w:rsid w:val="00042840"/>
    <w:rsid w:val="000435EB"/>
    <w:rsid w:val="00045817"/>
    <w:rsid w:val="00047C4B"/>
    <w:rsid w:val="00052B7A"/>
    <w:rsid w:val="0005426B"/>
    <w:rsid w:val="000554FD"/>
    <w:rsid w:val="000558A1"/>
    <w:rsid w:val="000566E6"/>
    <w:rsid w:val="00056740"/>
    <w:rsid w:val="0006029C"/>
    <w:rsid w:val="00061EE2"/>
    <w:rsid w:val="0006279D"/>
    <w:rsid w:val="00062F01"/>
    <w:rsid w:val="0006306E"/>
    <w:rsid w:val="00064CC3"/>
    <w:rsid w:val="00064F64"/>
    <w:rsid w:val="00067A01"/>
    <w:rsid w:val="00071288"/>
    <w:rsid w:val="00071B09"/>
    <w:rsid w:val="00071E0F"/>
    <w:rsid w:val="00072E19"/>
    <w:rsid w:val="0008055D"/>
    <w:rsid w:val="000805F1"/>
    <w:rsid w:val="00080E82"/>
    <w:rsid w:val="00081539"/>
    <w:rsid w:val="00082377"/>
    <w:rsid w:val="000858A0"/>
    <w:rsid w:val="00086513"/>
    <w:rsid w:val="00090332"/>
    <w:rsid w:val="00091893"/>
    <w:rsid w:val="00091A57"/>
    <w:rsid w:val="00092A69"/>
    <w:rsid w:val="0009326C"/>
    <w:rsid w:val="00093B2A"/>
    <w:rsid w:val="0009548B"/>
    <w:rsid w:val="00096DDD"/>
    <w:rsid w:val="000A5A28"/>
    <w:rsid w:val="000A7D75"/>
    <w:rsid w:val="000B154F"/>
    <w:rsid w:val="000B1867"/>
    <w:rsid w:val="000B3871"/>
    <w:rsid w:val="000B3CDD"/>
    <w:rsid w:val="000B4196"/>
    <w:rsid w:val="000B419D"/>
    <w:rsid w:val="000B42E6"/>
    <w:rsid w:val="000B510D"/>
    <w:rsid w:val="000B66B7"/>
    <w:rsid w:val="000C08E7"/>
    <w:rsid w:val="000C32F0"/>
    <w:rsid w:val="000C35CA"/>
    <w:rsid w:val="000C3FAC"/>
    <w:rsid w:val="000C5602"/>
    <w:rsid w:val="000C58E1"/>
    <w:rsid w:val="000C6504"/>
    <w:rsid w:val="000C6652"/>
    <w:rsid w:val="000D0013"/>
    <w:rsid w:val="000D0D9A"/>
    <w:rsid w:val="000D1FBC"/>
    <w:rsid w:val="000D38DD"/>
    <w:rsid w:val="000D3C1B"/>
    <w:rsid w:val="000D748B"/>
    <w:rsid w:val="000E0BE0"/>
    <w:rsid w:val="000E12AF"/>
    <w:rsid w:val="000E14C0"/>
    <w:rsid w:val="000E2268"/>
    <w:rsid w:val="000E2A78"/>
    <w:rsid w:val="000E3147"/>
    <w:rsid w:val="000E375C"/>
    <w:rsid w:val="000E38DB"/>
    <w:rsid w:val="000E39D8"/>
    <w:rsid w:val="000E4CA8"/>
    <w:rsid w:val="000E5993"/>
    <w:rsid w:val="000E6F86"/>
    <w:rsid w:val="000F0F6A"/>
    <w:rsid w:val="000F415E"/>
    <w:rsid w:val="000F6CE2"/>
    <w:rsid w:val="000F6EB1"/>
    <w:rsid w:val="000F724E"/>
    <w:rsid w:val="000F74CD"/>
    <w:rsid w:val="000F7527"/>
    <w:rsid w:val="00100B1B"/>
    <w:rsid w:val="00101591"/>
    <w:rsid w:val="001018CE"/>
    <w:rsid w:val="00101A69"/>
    <w:rsid w:val="00102829"/>
    <w:rsid w:val="00102F10"/>
    <w:rsid w:val="00104CB7"/>
    <w:rsid w:val="00106B3A"/>
    <w:rsid w:val="00113C08"/>
    <w:rsid w:val="00113DF3"/>
    <w:rsid w:val="00115248"/>
    <w:rsid w:val="00115FC0"/>
    <w:rsid w:val="001210CA"/>
    <w:rsid w:val="001212BC"/>
    <w:rsid w:val="00122C80"/>
    <w:rsid w:val="00127B68"/>
    <w:rsid w:val="001303C2"/>
    <w:rsid w:val="001324D2"/>
    <w:rsid w:val="00133E30"/>
    <w:rsid w:val="00141718"/>
    <w:rsid w:val="00141913"/>
    <w:rsid w:val="0014263B"/>
    <w:rsid w:val="00145D1D"/>
    <w:rsid w:val="00146186"/>
    <w:rsid w:val="001473BB"/>
    <w:rsid w:val="00147582"/>
    <w:rsid w:val="00150E5C"/>
    <w:rsid w:val="00151766"/>
    <w:rsid w:val="00151A3F"/>
    <w:rsid w:val="001534E4"/>
    <w:rsid w:val="001550E3"/>
    <w:rsid w:val="0015709F"/>
    <w:rsid w:val="00157FD5"/>
    <w:rsid w:val="001604EC"/>
    <w:rsid w:val="001607C7"/>
    <w:rsid w:val="00161091"/>
    <w:rsid w:val="0016345F"/>
    <w:rsid w:val="0016768B"/>
    <w:rsid w:val="00170C48"/>
    <w:rsid w:val="00173026"/>
    <w:rsid w:val="001801A7"/>
    <w:rsid w:val="0018043C"/>
    <w:rsid w:val="00180CD1"/>
    <w:rsid w:val="0018132F"/>
    <w:rsid w:val="00181424"/>
    <w:rsid w:val="001829F6"/>
    <w:rsid w:val="001830EA"/>
    <w:rsid w:val="001831C7"/>
    <w:rsid w:val="00184468"/>
    <w:rsid w:val="00185849"/>
    <w:rsid w:val="001867DB"/>
    <w:rsid w:val="00187375"/>
    <w:rsid w:val="00190FAE"/>
    <w:rsid w:val="001919EE"/>
    <w:rsid w:val="00193A0D"/>
    <w:rsid w:val="00195D40"/>
    <w:rsid w:val="00195F9B"/>
    <w:rsid w:val="0019658D"/>
    <w:rsid w:val="00196F92"/>
    <w:rsid w:val="001A079A"/>
    <w:rsid w:val="001A2DF7"/>
    <w:rsid w:val="001A5C3C"/>
    <w:rsid w:val="001A6071"/>
    <w:rsid w:val="001A656F"/>
    <w:rsid w:val="001A77E6"/>
    <w:rsid w:val="001B04B3"/>
    <w:rsid w:val="001B2882"/>
    <w:rsid w:val="001B5275"/>
    <w:rsid w:val="001B5F3B"/>
    <w:rsid w:val="001B69D5"/>
    <w:rsid w:val="001C2EE2"/>
    <w:rsid w:val="001C457B"/>
    <w:rsid w:val="001C512B"/>
    <w:rsid w:val="001C521D"/>
    <w:rsid w:val="001C6588"/>
    <w:rsid w:val="001D1216"/>
    <w:rsid w:val="001D47D5"/>
    <w:rsid w:val="001D670C"/>
    <w:rsid w:val="001D68A3"/>
    <w:rsid w:val="001D76BA"/>
    <w:rsid w:val="001E06C4"/>
    <w:rsid w:val="001E25CA"/>
    <w:rsid w:val="001E691B"/>
    <w:rsid w:val="001F2214"/>
    <w:rsid w:val="001F3B6D"/>
    <w:rsid w:val="001F44DA"/>
    <w:rsid w:val="001F5B14"/>
    <w:rsid w:val="002048EC"/>
    <w:rsid w:val="00205DB3"/>
    <w:rsid w:val="00206309"/>
    <w:rsid w:val="00213182"/>
    <w:rsid w:val="0021647B"/>
    <w:rsid w:val="00216778"/>
    <w:rsid w:val="00216FB9"/>
    <w:rsid w:val="00217021"/>
    <w:rsid w:val="002171B6"/>
    <w:rsid w:val="00220AE9"/>
    <w:rsid w:val="00221C93"/>
    <w:rsid w:val="0022229F"/>
    <w:rsid w:val="00222721"/>
    <w:rsid w:val="002254B7"/>
    <w:rsid w:val="00227F15"/>
    <w:rsid w:val="00232483"/>
    <w:rsid w:val="00232CBA"/>
    <w:rsid w:val="00232E95"/>
    <w:rsid w:val="00234984"/>
    <w:rsid w:val="0023576A"/>
    <w:rsid w:val="00235E7B"/>
    <w:rsid w:val="00236B20"/>
    <w:rsid w:val="00237244"/>
    <w:rsid w:val="00241BFE"/>
    <w:rsid w:val="0024343E"/>
    <w:rsid w:val="00243EFE"/>
    <w:rsid w:val="00245824"/>
    <w:rsid w:val="00245AF2"/>
    <w:rsid w:val="00245E6E"/>
    <w:rsid w:val="00246064"/>
    <w:rsid w:val="002464B2"/>
    <w:rsid w:val="00246D77"/>
    <w:rsid w:val="00252E47"/>
    <w:rsid w:val="00255623"/>
    <w:rsid w:val="00255C3F"/>
    <w:rsid w:val="00257DC4"/>
    <w:rsid w:val="00257FA0"/>
    <w:rsid w:val="00261FBB"/>
    <w:rsid w:val="002637AE"/>
    <w:rsid w:val="002637E8"/>
    <w:rsid w:val="0026608E"/>
    <w:rsid w:val="00267752"/>
    <w:rsid w:val="0027056C"/>
    <w:rsid w:val="00270ABD"/>
    <w:rsid w:val="0027507C"/>
    <w:rsid w:val="002775B9"/>
    <w:rsid w:val="00281AA4"/>
    <w:rsid w:val="002834E3"/>
    <w:rsid w:val="002837D7"/>
    <w:rsid w:val="002856D8"/>
    <w:rsid w:val="00286052"/>
    <w:rsid w:val="00286089"/>
    <w:rsid w:val="00287167"/>
    <w:rsid w:val="002908B2"/>
    <w:rsid w:val="00292FA6"/>
    <w:rsid w:val="0029304C"/>
    <w:rsid w:val="00294449"/>
    <w:rsid w:val="00294DDA"/>
    <w:rsid w:val="00295768"/>
    <w:rsid w:val="002A4A22"/>
    <w:rsid w:val="002A55A7"/>
    <w:rsid w:val="002A7BCC"/>
    <w:rsid w:val="002B1FA1"/>
    <w:rsid w:val="002B3811"/>
    <w:rsid w:val="002B462B"/>
    <w:rsid w:val="002B6BE1"/>
    <w:rsid w:val="002B76F5"/>
    <w:rsid w:val="002C1BE7"/>
    <w:rsid w:val="002C2152"/>
    <w:rsid w:val="002C2B91"/>
    <w:rsid w:val="002C2F7E"/>
    <w:rsid w:val="002C3468"/>
    <w:rsid w:val="002C49EB"/>
    <w:rsid w:val="002C5B55"/>
    <w:rsid w:val="002C5E65"/>
    <w:rsid w:val="002D127C"/>
    <w:rsid w:val="002D1C38"/>
    <w:rsid w:val="002D2B2D"/>
    <w:rsid w:val="002D39C2"/>
    <w:rsid w:val="002D41D6"/>
    <w:rsid w:val="002E0A27"/>
    <w:rsid w:val="002E1BE5"/>
    <w:rsid w:val="002E2499"/>
    <w:rsid w:val="002E4A80"/>
    <w:rsid w:val="002E71F0"/>
    <w:rsid w:val="002F060E"/>
    <w:rsid w:val="002F4140"/>
    <w:rsid w:val="002F4F0F"/>
    <w:rsid w:val="002F51C9"/>
    <w:rsid w:val="002F7BFA"/>
    <w:rsid w:val="00304103"/>
    <w:rsid w:val="003050E3"/>
    <w:rsid w:val="00305123"/>
    <w:rsid w:val="003054DE"/>
    <w:rsid w:val="0030650E"/>
    <w:rsid w:val="00307D2A"/>
    <w:rsid w:val="00311F6A"/>
    <w:rsid w:val="00313690"/>
    <w:rsid w:val="003143C9"/>
    <w:rsid w:val="003165AE"/>
    <w:rsid w:val="00316B95"/>
    <w:rsid w:val="00317A21"/>
    <w:rsid w:val="00317C35"/>
    <w:rsid w:val="00317D22"/>
    <w:rsid w:val="00321033"/>
    <w:rsid w:val="003215B0"/>
    <w:rsid w:val="00321C08"/>
    <w:rsid w:val="00324BBC"/>
    <w:rsid w:val="003313F7"/>
    <w:rsid w:val="003320A9"/>
    <w:rsid w:val="00333281"/>
    <w:rsid w:val="00333E9F"/>
    <w:rsid w:val="00336BC6"/>
    <w:rsid w:val="0033713A"/>
    <w:rsid w:val="0033745F"/>
    <w:rsid w:val="0033774B"/>
    <w:rsid w:val="00337A73"/>
    <w:rsid w:val="003403F9"/>
    <w:rsid w:val="00340AC5"/>
    <w:rsid w:val="003410DE"/>
    <w:rsid w:val="00343B46"/>
    <w:rsid w:val="00344559"/>
    <w:rsid w:val="0034527C"/>
    <w:rsid w:val="00345EEE"/>
    <w:rsid w:val="00351701"/>
    <w:rsid w:val="00352A57"/>
    <w:rsid w:val="003535E9"/>
    <w:rsid w:val="00356049"/>
    <w:rsid w:val="00360022"/>
    <w:rsid w:val="00362E4A"/>
    <w:rsid w:val="00364A17"/>
    <w:rsid w:val="00364AD4"/>
    <w:rsid w:val="00364BFC"/>
    <w:rsid w:val="0036528A"/>
    <w:rsid w:val="00365452"/>
    <w:rsid w:val="003655EC"/>
    <w:rsid w:val="003709C2"/>
    <w:rsid w:val="00370A45"/>
    <w:rsid w:val="00372566"/>
    <w:rsid w:val="00374CFD"/>
    <w:rsid w:val="0038139C"/>
    <w:rsid w:val="0038243A"/>
    <w:rsid w:val="003837C6"/>
    <w:rsid w:val="003841A6"/>
    <w:rsid w:val="00385668"/>
    <w:rsid w:val="00391758"/>
    <w:rsid w:val="00391957"/>
    <w:rsid w:val="00392198"/>
    <w:rsid w:val="00392230"/>
    <w:rsid w:val="00392B7A"/>
    <w:rsid w:val="00393734"/>
    <w:rsid w:val="00395BA4"/>
    <w:rsid w:val="00396EAD"/>
    <w:rsid w:val="00397376"/>
    <w:rsid w:val="00397B09"/>
    <w:rsid w:val="003A1174"/>
    <w:rsid w:val="003A475A"/>
    <w:rsid w:val="003A4F8F"/>
    <w:rsid w:val="003A53BF"/>
    <w:rsid w:val="003A54DE"/>
    <w:rsid w:val="003A5B98"/>
    <w:rsid w:val="003A63C4"/>
    <w:rsid w:val="003A7F1D"/>
    <w:rsid w:val="003B2709"/>
    <w:rsid w:val="003B2A5B"/>
    <w:rsid w:val="003B3F01"/>
    <w:rsid w:val="003B4B8E"/>
    <w:rsid w:val="003B585A"/>
    <w:rsid w:val="003B588B"/>
    <w:rsid w:val="003B6352"/>
    <w:rsid w:val="003C2774"/>
    <w:rsid w:val="003C3428"/>
    <w:rsid w:val="003C39D9"/>
    <w:rsid w:val="003C42BD"/>
    <w:rsid w:val="003C5914"/>
    <w:rsid w:val="003C637B"/>
    <w:rsid w:val="003D0661"/>
    <w:rsid w:val="003D10AE"/>
    <w:rsid w:val="003D1945"/>
    <w:rsid w:val="003D2DA6"/>
    <w:rsid w:val="003D374A"/>
    <w:rsid w:val="003D44DA"/>
    <w:rsid w:val="003D662F"/>
    <w:rsid w:val="003D757E"/>
    <w:rsid w:val="003E0F22"/>
    <w:rsid w:val="003E4BFF"/>
    <w:rsid w:val="003E5980"/>
    <w:rsid w:val="003E5E73"/>
    <w:rsid w:val="003E5FFC"/>
    <w:rsid w:val="003F302F"/>
    <w:rsid w:val="003F5C4A"/>
    <w:rsid w:val="003F7B4A"/>
    <w:rsid w:val="004005C7"/>
    <w:rsid w:val="00400985"/>
    <w:rsid w:val="00400E81"/>
    <w:rsid w:val="00402855"/>
    <w:rsid w:val="0040687B"/>
    <w:rsid w:val="00407F09"/>
    <w:rsid w:val="00410131"/>
    <w:rsid w:val="00414233"/>
    <w:rsid w:val="00416A9E"/>
    <w:rsid w:val="0041783E"/>
    <w:rsid w:val="004216A8"/>
    <w:rsid w:val="004222C2"/>
    <w:rsid w:val="00425155"/>
    <w:rsid w:val="00427BC1"/>
    <w:rsid w:val="00432D26"/>
    <w:rsid w:val="00433771"/>
    <w:rsid w:val="00435180"/>
    <w:rsid w:val="004353F1"/>
    <w:rsid w:val="00437021"/>
    <w:rsid w:val="00437251"/>
    <w:rsid w:val="00437E92"/>
    <w:rsid w:val="00440F1C"/>
    <w:rsid w:val="00441E63"/>
    <w:rsid w:val="00442FA0"/>
    <w:rsid w:val="00445FF9"/>
    <w:rsid w:val="0044703E"/>
    <w:rsid w:val="00447C0F"/>
    <w:rsid w:val="0045080F"/>
    <w:rsid w:val="00453982"/>
    <w:rsid w:val="004550FC"/>
    <w:rsid w:val="00457437"/>
    <w:rsid w:val="0046373F"/>
    <w:rsid w:val="0046535E"/>
    <w:rsid w:val="0046577A"/>
    <w:rsid w:val="00466309"/>
    <w:rsid w:val="0047003A"/>
    <w:rsid w:val="004746ED"/>
    <w:rsid w:val="0047537B"/>
    <w:rsid w:val="004767C7"/>
    <w:rsid w:val="0048039B"/>
    <w:rsid w:val="00480BC9"/>
    <w:rsid w:val="0048102A"/>
    <w:rsid w:val="00482106"/>
    <w:rsid w:val="00487F5C"/>
    <w:rsid w:val="004922E9"/>
    <w:rsid w:val="00497699"/>
    <w:rsid w:val="004A0A87"/>
    <w:rsid w:val="004A1D21"/>
    <w:rsid w:val="004A42B6"/>
    <w:rsid w:val="004A5EA5"/>
    <w:rsid w:val="004A647C"/>
    <w:rsid w:val="004A762D"/>
    <w:rsid w:val="004B0137"/>
    <w:rsid w:val="004B2761"/>
    <w:rsid w:val="004B2F66"/>
    <w:rsid w:val="004B3C29"/>
    <w:rsid w:val="004B4C40"/>
    <w:rsid w:val="004B6648"/>
    <w:rsid w:val="004B778B"/>
    <w:rsid w:val="004C2035"/>
    <w:rsid w:val="004C2C58"/>
    <w:rsid w:val="004C5541"/>
    <w:rsid w:val="004C7651"/>
    <w:rsid w:val="004C7931"/>
    <w:rsid w:val="004D1C51"/>
    <w:rsid w:val="004D32EF"/>
    <w:rsid w:val="004D39CA"/>
    <w:rsid w:val="004D4C32"/>
    <w:rsid w:val="004D6799"/>
    <w:rsid w:val="004E03DA"/>
    <w:rsid w:val="004E263E"/>
    <w:rsid w:val="004E2655"/>
    <w:rsid w:val="004E6655"/>
    <w:rsid w:val="004E6C45"/>
    <w:rsid w:val="004E7F21"/>
    <w:rsid w:val="004F0427"/>
    <w:rsid w:val="004F06A9"/>
    <w:rsid w:val="004F0CE9"/>
    <w:rsid w:val="004F1661"/>
    <w:rsid w:val="004F3695"/>
    <w:rsid w:val="004F3AA9"/>
    <w:rsid w:val="004F44BE"/>
    <w:rsid w:val="004F5977"/>
    <w:rsid w:val="00505123"/>
    <w:rsid w:val="0050520C"/>
    <w:rsid w:val="0051050A"/>
    <w:rsid w:val="00510842"/>
    <w:rsid w:val="0051201A"/>
    <w:rsid w:val="00512498"/>
    <w:rsid w:val="00515639"/>
    <w:rsid w:val="00516206"/>
    <w:rsid w:val="00516AB6"/>
    <w:rsid w:val="005216D2"/>
    <w:rsid w:val="00523184"/>
    <w:rsid w:val="005236D3"/>
    <w:rsid w:val="005257DE"/>
    <w:rsid w:val="005266BC"/>
    <w:rsid w:val="00527B77"/>
    <w:rsid w:val="00527C70"/>
    <w:rsid w:val="005300BC"/>
    <w:rsid w:val="00531E8A"/>
    <w:rsid w:val="00532120"/>
    <w:rsid w:val="005327B8"/>
    <w:rsid w:val="0053485B"/>
    <w:rsid w:val="005366B5"/>
    <w:rsid w:val="005367F5"/>
    <w:rsid w:val="00536F03"/>
    <w:rsid w:val="00537674"/>
    <w:rsid w:val="00537EF3"/>
    <w:rsid w:val="00542D4E"/>
    <w:rsid w:val="0054381B"/>
    <w:rsid w:val="00544814"/>
    <w:rsid w:val="005478A6"/>
    <w:rsid w:val="00550B1C"/>
    <w:rsid w:val="0055137C"/>
    <w:rsid w:val="00552CEF"/>
    <w:rsid w:val="00552EF4"/>
    <w:rsid w:val="00554DC4"/>
    <w:rsid w:val="00562332"/>
    <w:rsid w:val="00563DB8"/>
    <w:rsid w:val="00564702"/>
    <w:rsid w:val="005658A0"/>
    <w:rsid w:val="00566122"/>
    <w:rsid w:val="00566779"/>
    <w:rsid w:val="0056767A"/>
    <w:rsid w:val="005679FF"/>
    <w:rsid w:val="00571067"/>
    <w:rsid w:val="005710F9"/>
    <w:rsid w:val="00571355"/>
    <w:rsid w:val="00571C51"/>
    <w:rsid w:val="00574EA5"/>
    <w:rsid w:val="00575E6F"/>
    <w:rsid w:val="0057642D"/>
    <w:rsid w:val="005855AA"/>
    <w:rsid w:val="005867A8"/>
    <w:rsid w:val="00587CD4"/>
    <w:rsid w:val="00590755"/>
    <w:rsid w:val="005908B8"/>
    <w:rsid w:val="00590D62"/>
    <w:rsid w:val="00590F82"/>
    <w:rsid w:val="005910DC"/>
    <w:rsid w:val="00591552"/>
    <w:rsid w:val="005920BD"/>
    <w:rsid w:val="0059218F"/>
    <w:rsid w:val="005925AB"/>
    <w:rsid w:val="00592ABB"/>
    <w:rsid w:val="00594646"/>
    <w:rsid w:val="00595997"/>
    <w:rsid w:val="0059673B"/>
    <w:rsid w:val="005A0B98"/>
    <w:rsid w:val="005A19B4"/>
    <w:rsid w:val="005A2B54"/>
    <w:rsid w:val="005A3737"/>
    <w:rsid w:val="005A3EC1"/>
    <w:rsid w:val="005A5437"/>
    <w:rsid w:val="005A5441"/>
    <w:rsid w:val="005A5CC3"/>
    <w:rsid w:val="005A6BC7"/>
    <w:rsid w:val="005A71A5"/>
    <w:rsid w:val="005B15BB"/>
    <w:rsid w:val="005B3823"/>
    <w:rsid w:val="005B39DF"/>
    <w:rsid w:val="005B47B4"/>
    <w:rsid w:val="005C03A4"/>
    <w:rsid w:val="005C0CB2"/>
    <w:rsid w:val="005C1A0F"/>
    <w:rsid w:val="005D240D"/>
    <w:rsid w:val="005D30AB"/>
    <w:rsid w:val="005D3DBB"/>
    <w:rsid w:val="005D3E0E"/>
    <w:rsid w:val="005D4D34"/>
    <w:rsid w:val="005D4E56"/>
    <w:rsid w:val="005D647B"/>
    <w:rsid w:val="005E04E1"/>
    <w:rsid w:val="005E0BC7"/>
    <w:rsid w:val="005E3E75"/>
    <w:rsid w:val="005E44FB"/>
    <w:rsid w:val="005E634E"/>
    <w:rsid w:val="005E63EC"/>
    <w:rsid w:val="005E6BD3"/>
    <w:rsid w:val="005F06EC"/>
    <w:rsid w:val="005F1D26"/>
    <w:rsid w:val="005F4CEF"/>
    <w:rsid w:val="005F6894"/>
    <w:rsid w:val="00602CC1"/>
    <w:rsid w:val="00603CBC"/>
    <w:rsid w:val="00603F2A"/>
    <w:rsid w:val="00605706"/>
    <w:rsid w:val="00606A18"/>
    <w:rsid w:val="0060762E"/>
    <w:rsid w:val="006108E3"/>
    <w:rsid w:val="006113B8"/>
    <w:rsid w:val="00611ECA"/>
    <w:rsid w:val="00612C91"/>
    <w:rsid w:val="00613D1C"/>
    <w:rsid w:val="00615D70"/>
    <w:rsid w:val="00620956"/>
    <w:rsid w:val="00623E6C"/>
    <w:rsid w:val="00625AD3"/>
    <w:rsid w:val="006261E1"/>
    <w:rsid w:val="00627393"/>
    <w:rsid w:val="00630308"/>
    <w:rsid w:val="006339A3"/>
    <w:rsid w:val="00633DB3"/>
    <w:rsid w:val="00634F75"/>
    <w:rsid w:val="0063615F"/>
    <w:rsid w:val="00641312"/>
    <w:rsid w:val="006423A8"/>
    <w:rsid w:val="00643516"/>
    <w:rsid w:val="006455E0"/>
    <w:rsid w:val="00645DF9"/>
    <w:rsid w:val="0064756B"/>
    <w:rsid w:val="0066070B"/>
    <w:rsid w:val="00663F20"/>
    <w:rsid w:val="0066405A"/>
    <w:rsid w:val="00664DE1"/>
    <w:rsid w:val="00667014"/>
    <w:rsid w:val="00672051"/>
    <w:rsid w:val="0067340B"/>
    <w:rsid w:val="006769C9"/>
    <w:rsid w:val="00684F51"/>
    <w:rsid w:val="00692C36"/>
    <w:rsid w:val="006955C0"/>
    <w:rsid w:val="006A136C"/>
    <w:rsid w:val="006A48C5"/>
    <w:rsid w:val="006A764D"/>
    <w:rsid w:val="006A7E6B"/>
    <w:rsid w:val="006B044C"/>
    <w:rsid w:val="006B1AB4"/>
    <w:rsid w:val="006B44B7"/>
    <w:rsid w:val="006B6B81"/>
    <w:rsid w:val="006B7DE4"/>
    <w:rsid w:val="006C1962"/>
    <w:rsid w:val="006C4DD2"/>
    <w:rsid w:val="006C5752"/>
    <w:rsid w:val="006C5CE5"/>
    <w:rsid w:val="006C7490"/>
    <w:rsid w:val="006D2005"/>
    <w:rsid w:val="006D4BE8"/>
    <w:rsid w:val="006D67E8"/>
    <w:rsid w:val="006D7943"/>
    <w:rsid w:val="006E0CCE"/>
    <w:rsid w:val="006E2850"/>
    <w:rsid w:val="006E2A69"/>
    <w:rsid w:val="006E36FA"/>
    <w:rsid w:val="006E453E"/>
    <w:rsid w:val="006E7ACC"/>
    <w:rsid w:val="006E7BBF"/>
    <w:rsid w:val="006E7BC4"/>
    <w:rsid w:val="006F2CAE"/>
    <w:rsid w:val="006F3F0F"/>
    <w:rsid w:val="006F75DC"/>
    <w:rsid w:val="006F7CB3"/>
    <w:rsid w:val="00700AC6"/>
    <w:rsid w:val="00702395"/>
    <w:rsid w:val="00702857"/>
    <w:rsid w:val="00702F19"/>
    <w:rsid w:val="00703963"/>
    <w:rsid w:val="007042B5"/>
    <w:rsid w:val="007072CB"/>
    <w:rsid w:val="00711A7D"/>
    <w:rsid w:val="00712397"/>
    <w:rsid w:val="00715617"/>
    <w:rsid w:val="007158EA"/>
    <w:rsid w:val="007164A5"/>
    <w:rsid w:val="0071708F"/>
    <w:rsid w:val="0071746A"/>
    <w:rsid w:val="0071758A"/>
    <w:rsid w:val="00720F18"/>
    <w:rsid w:val="00721DD9"/>
    <w:rsid w:val="00725FC6"/>
    <w:rsid w:val="0072606C"/>
    <w:rsid w:val="007264C5"/>
    <w:rsid w:val="00726E12"/>
    <w:rsid w:val="00726FDA"/>
    <w:rsid w:val="00727421"/>
    <w:rsid w:val="007318CE"/>
    <w:rsid w:val="00731E45"/>
    <w:rsid w:val="00733D5C"/>
    <w:rsid w:val="00735C42"/>
    <w:rsid w:val="0073600A"/>
    <w:rsid w:val="007375D8"/>
    <w:rsid w:val="00737699"/>
    <w:rsid w:val="00740451"/>
    <w:rsid w:val="0074151B"/>
    <w:rsid w:val="00743437"/>
    <w:rsid w:val="00744374"/>
    <w:rsid w:val="00745B59"/>
    <w:rsid w:val="00745BCC"/>
    <w:rsid w:val="007460A9"/>
    <w:rsid w:val="007468A6"/>
    <w:rsid w:val="00750778"/>
    <w:rsid w:val="00752D4E"/>
    <w:rsid w:val="0075324F"/>
    <w:rsid w:val="00754287"/>
    <w:rsid w:val="00754E25"/>
    <w:rsid w:val="00755B89"/>
    <w:rsid w:val="00755E34"/>
    <w:rsid w:val="00756381"/>
    <w:rsid w:val="00760774"/>
    <w:rsid w:val="007613F8"/>
    <w:rsid w:val="00761A25"/>
    <w:rsid w:val="00765E1F"/>
    <w:rsid w:val="00765F9F"/>
    <w:rsid w:val="007668DC"/>
    <w:rsid w:val="00770C69"/>
    <w:rsid w:val="00771A9B"/>
    <w:rsid w:val="00771CAC"/>
    <w:rsid w:val="00772DC3"/>
    <w:rsid w:val="00773B09"/>
    <w:rsid w:val="00774C40"/>
    <w:rsid w:val="007764C9"/>
    <w:rsid w:val="00776A85"/>
    <w:rsid w:val="00780231"/>
    <w:rsid w:val="007812F4"/>
    <w:rsid w:val="007823B6"/>
    <w:rsid w:val="00784F5D"/>
    <w:rsid w:val="007875D3"/>
    <w:rsid w:val="00790185"/>
    <w:rsid w:val="00794433"/>
    <w:rsid w:val="007956C5"/>
    <w:rsid w:val="0079688C"/>
    <w:rsid w:val="007A2158"/>
    <w:rsid w:val="007B012D"/>
    <w:rsid w:val="007B08E2"/>
    <w:rsid w:val="007B1DAC"/>
    <w:rsid w:val="007B24C4"/>
    <w:rsid w:val="007B2F36"/>
    <w:rsid w:val="007B5520"/>
    <w:rsid w:val="007B59FB"/>
    <w:rsid w:val="007C1645"/>
    <w:rsid w:val="007C1E5D"/>
    <w:rsid w:val="007C4ABF"/>
    <w:rsid w:val="007C5076"/>
    <w:rsid w:val="007C5E0E"/>
    <w:rsid w:val="007D0BA0"/>
    <w:rsid w:val="007D0D43"/>
    <w:rsid w:val="007D1D9A"/>
    <w:rsid w:val="007D26D9"/>
    <w:rsid w:val="007D4749"/>
    <w:rsid w:val="007D4C2B"/>
    <w:rsid w:val="007E0B0D"/>
    <w:rsid w:val="007E0B1D"/>
    <w:rsid w:val="007E0D5B"/>
    <w:rsid w:val="007E18BA"/>
    <w:rsid w:val="007E2435"/>
    <w:rsid w:val="007E27EF"/>
    <w:rsid w:val="007E2DF8"/>
    <w:rsid w:val="007E44C1"/>
    <w:rsid w:val="007E53D9"/>
    <w:rsid w:val="007E6024"/>
    <w:rsid w:val="007E6AE1"/>
    <w:rsid w:val="007F079A"/>
    <w:rsid w:val="007F130D"/>
    <w:rsid w:val="007F165E"/>
    <w:rsid w:val="007F1C46"/>
    <w:rsid w:val="007F1E4D"/>
    <w:rsid w:val="007F20AE"/>
    <w:rsid w:val="007F3361"/>
    <w:rsid w:val="007F3DAD"/>
    <w:rsid w:val="007F3E3C"/>
    <w:rsid w:val="007F4684"/>
    <w:rsid w:val="007F4A0A"/>
    <w:rsid w:val="007F50EA"/>
    <w:rsid w:val="007F6C85"/>
    <w:rsid w:val="007F7409"/>
    <w:rsid w:val="007F79AC"/>
    <w:rsid w:val="008002D9"/>
    <w:rsid w:val="008012F9"/>
    <w:rsid w:val="00804A1E"/>
    <w:rsid w:val="00805C20"/>
    <w:rsid w:val="0080634D"/>
    <w:rsid w:val="0080651D"/>
    <w:rsid w:val="00806F5C"/>
    <w:rsid w:val="00807E78"/>
    <w:rsid w:val="00810206"/>
    <w:rsid w:val="0081198C"/>
    <w:rsid w:val="00816C9D"/>
    <w:rsid w:val="008179F6"/>
    <w:rsid w:val="008211D9"/>
    <w:rsid w:val="0082672C"/>
    <w:rsid w:val="00827A89"/>
    <w:rsid w:val="00831556"/>
    <w:rsid w:val="008342C5"/>
    <w:rsid w:val="008346F8"/>
    <w:rsid w:val="008367FE"/>
    <w:rsid w:val="00837187"/>
    <w:rsid w:val="0084027E"/>
    <w:rsid w:val="00842518"/>
    <w:rsid w:val="00842CC1"/>
    <w:rsid w:val="008450BA"/>
    <w:rsid w:val="00845B27"/>
    <w:rsid w:val="00847CBA"/>
    <w:rsid w:val="0085170E"/>
    <w:rsid w:val="00851EAF"/>
    <w:rsid w:val="00852127"/>
    <w:rsid w:val="0085355B"/>
    <w:rsid w:val="0085479E"/>
    <w:rsid w:val="00854B5F"/>
    <w:rsid w:val="00854E61"/>
    <w:rsid w:val="0085596C"/>
    <w:rsid w:val="00860F5F"/>
    <w:rsid w:val="008641DA"/>
    <w:rsid w:val="00864424"/>
    <w:rsid w:val="0086450E"/>
    <w:rsid w:val="00864657"/>
    <w:rsid w:val="00867568"/>
    <w:rsid w:val="00871130"/>
    <w:rsid w:val="00872607"/>
    <w:rsid w:val="00873188"/>
    <w:rsid w:val="008738B2"/>
    <w:rsid w:val="00873D7B"/>
    <w:rsid w:val="008751FB"/>
    <w:rsid w:val="0088140C"/>
    <w:rsid w:val="00882142"/>
    <w:rsid w:val="008832DB"/>
    <w:rsid w:val="008849A1"/>
    <w:rsid w:val="00885C74"/>
    <w:rsid w:val="00887D11"/>
    <w:rsid w:val="00890AFC"/>
    <w:rsid w:val="00891030"/>
    <w:rsid w:val="00891851"/>
    <w:rsid w:val="00892722"/>
    <w:rsid w:val="00894108"/>
    <w:rsid w:val="00894625"/>
    <w:rsid w:val="008953F6"/>
    <w:rsid w:val="008959B6"/>
    <w:rsid w:val="00896B1C"/>
    <w:rsid w:val="008976EC"/>
    <w:rsid w:val="008A0AAB"/>
    <w:rsid w:val="008A1EE7"/>
    <w:rsid w:val="008A324E"/>
    <w:rsid w:val="008A4A47"/>
    <w:rsid w:val="008A586C"/>
    <w:rsid w:val="008A74AB"/>
    <w:rsid w:val="008B1723"/>
    <w:rsid w:val="008B20CF"/>
    <w:rsid w:val="008B23EA"/>
    <w:rsid w:val="008B2717"/>
    <w:rsid w:val="008B4ABF"/>
    <w:rsid w:val="008B5FA3"/>
    <w:rsid w:val="008B6D74"/>
    <w:rsid w:val="008C0044"/>
    <w:rsid w:val="008C206A"/>
    <w:rsid w:val="008C3A1C"/>
    <w:rsid w:val="008C3E88"/>
    <w:rsid w:val="008C5A7D"/>
    <w:rsid w:val="008C5C61"/>
    <w:rsid w:val="008C6858"/>
    <w:rsid w:val="008D2089"/>
    <w:rsid w:val="008D25F4"/>
    <w:rsid w:val="008D3404"/>
    <w:rsid w:val="008D40E3"/>
    <w:rsid w:val="008D5F8B"/>
    <w:rsid w:val="008D7CCD"/>
    <w:rsid w:val="008E1C05"/>
    <w:rsid w:val="008E1CDB"/>
    <w:rsid w:val="008E40F4"/>
    <w:rsid w:val="008E5605"/>
    <w:rsid w:val="008E5706"/>
    <w:rsid w:val="008E6A2F"/>
    <w:rsid w:val="008E7E48"/>
    <w:rsid w:val="008F1801"/>
    <w:rsid w:val="008F3F0F"/>
    <w:rsid w:val="008F475E"/>
    <w:rsid w:val="008F4940"/>
    <w:rsid w:val="008F5F55"/>
    <w:rsid w:val="008F6187"/>
    <w:rsid w:val="008F6D52"/>
    <w:rsid w:val="00900BF5"/>
    <w:rsid w:val="00900C75"/>
    <w:rsid w:val="00901C08"/>
    <w:rsid w:val="00901EEF"/>
    <w:rsid w:val="009023E2"/>
    <w:rsid w:val="009026D2"/>
    <w:rsid w:val="00902A8D"/>
    <w:rsid w:val="00903AAC"/>
    <w:rsid w:val="009055E8"/>
    <w:rsid w:val="00906B31"/>
    <w:rsid w:val="00911ABE"/>
    <w:rsid w:val="009122A3"/>
    <w:rsid w:val="00912377"/>
    <w:rsid w:val="009126D4"/>
    <w:rsid w:val="0091434A"/>
    <w:rsid w:val="0091586B"/>
    <w:rsid w:val="00916117"/>
    <w:rsid w:val="00917BFF"/>
    <w:rsid w:val="00922A12"/>
    <w:rsid w:val="00924276"/>
    <w:rsid w:val="00926E45"/>
    <w:rsid w:val="009301C4"/>
    <w:rsid w:val="00930739"/>
    <w:rsid w:val="00936C24"/>
    <w:rsid w:val="0093702D"/>
    <w:rsid w:val="00942C35"/>
    <w:rsid w:val="00943CC5"/>
    <w:rsid w:val="009457E7"/>
    <w:rsid w:val="00945AE0"/>
    <w:rsid w:val="00945D57"/>
    <w:rsid w:val="00946681"/>
    <w:rsid w:val="00950353"/>
    <w:rsid w:val="009509B0"/>
    <w:rsid w:val="00951C4B"/>
    <w:rsid w:val="00953A7C"/>
    <w:rsid w:val="00954BF3"/>
    <w:rsid w:val="009570F3"/>
    <w:rsid w:val="00960134"/>
    <w:rsid w:val="00961040"/>
    <w:rsid w:val="00962359"/>
    <w:rsid w:val="00964101"/>
    <w:rsid w:val="00966BBB"/>
    <w:rsid w:val="00966DCA"/>
    <w:rsid w:val="00970A17"/>
    <w:rsid w:val="00973987"/>
    <w:rsid w:val="009757AE"/>
    <w:rsid w:val="009768AD"/>
    <w:rsid w:val="00980842"/>
    <w:rsid w:val="00983F21"/>
    <w:rsid w:val="00987DCA"/>
    <w:rsid w:val="0099194D"/>
    <w:rsid w:val="0099204E"/>
    <w:rsid w:val="00992854"/>
    <w:rsid w:val="00992E62"/>
    <w:rsid w:val="00995CA7"/>
    <w:rsid w:val="00996B13"/>
    <w:rsid w:val="009A14D3"/>
    <w:rsid w:val="009A2C3E"/>
    <w:rsid w:val="009A2D37"/>
    <w:rsid w:val="009A49C9"/>
    <w:rsid w:val="009A64A3"/>
    <w:rsid w:val="009B2A72"/>
    <w:rsid w:val="009B44CC"/>
    <w:rsid w:val="009B4B99"/>
    <w:rsid w:val="009B5459"/>
    <w:rsid w:val="009B62B3"/>
    <w:rsid w:val="009B6BCC"/>
    <w:rsid w:val="009C26FC"/>
    <w:rsid w:val="009C2D27"/>
    <w:rsid w:val="009C31D9"/>
    <w:rsid w:val="009C3646"/>
    <w:rsid w:val="009C7DCE"/>
    <w:rsid w:val="009D0830"/>
    <w:rsid w:val="009D3B63"/>
    <w:rsid w:val="009E21E7"/>
    <w:rsid w:val="009E227D"/>
    <w:rsid w:val="009E25B3"/>
    <w:rsid w:val="009E3DF2"/>
    <w:rsid w:val="009E5FD1"/>
    <w:rsid w:val="009E61E4"/>
    <w:rsid w:val="009E6F8C"/>
    <w:rsid w:val="009F0241"/>
    <w:rsid w:val="009F07B6"/>
    <w:rsid w:val="009F1792"/>
    <w:rsid w:val="009F1995"/>
    <w:rsid w:val="009F2A77"/>
    <w:rsid w:val="009F5622"/>
    <w:rsid w:val="009F5820"/>
    <w:rsid w:val="009F6515"/>
    <w:rsid w:val="009F7677"/>
    <w:rsid w:val="00A01739"/>
    <w:rsid w:val="00A05CE6"/>
    <w:rsid w:val="00A06640"/>
    <w:rsid w:val="00A0684F"/>
    <w:rsid w:val="00A11843"/>
    <w:rsid w:val="00A1269E"/>
    <w:rsid w:val="00A13104"/>
    <w:rsid w:val="00A13553"/>
    <w:rsid w:val="00A1606B"/>
    <w:rsid w:val="00A170B5"/>
    <w:rsid w:val="00A22279"/>
    <w:rsid w:val="00A227ED"/>
    <w:rsid w:val="00A24415"/>
    <w:rsid w:val="00A24AAD"/>
    <w:rsid w:val="00A25068"/>
    <w:rsid w:val="00A252F8"/>
    <w:rsid w:val="00A25679"/>
    <w:rsid w:val="00A258AB"/>
    <w:rsid w:val="00A25D00"/>
    <w:rsid w:val="00A271AF"/>
    <w:rsid w:val="00A272E1"/>
    <w:rsid w:val="00A30822"/>
    <w:rsid w:val="00A3474A"/>
    <w:rsid w:val="00A40F8A"/>
    <w:rsid w:val="00A44BFE"/>
    <w:rsid w:val="00A45698"/>
    <w:rsid w:val="00A463F7"/>
    <w:rsid w:val="00A46728"/>
    <w:rsid w:val="00A47256"/>
    <w:rsid w:val="00A47EE5"/>
    <w:rsid w:val="00A50CFB"/>
    <w:rsid w:val="00A5380A"/>
    <w:rsid w:val="00A548E6"/>
    <w:rsid w:val="00A54DA1"/>
    <w:rsid w:val="00A56798"/>
    <w:rsid w:val="00A579B1"/>
    <w:rsid w:val="00A579DF"/>
    <w:rsid w:val="00A63B2C"/>
    <w:rsid w:val="00A64103"/>
    <w:rsid w:val="00A643BC"/>
    <w:rsid w:val="00A67126"/>
    <w:rsid w:val="00A67884"/>
    <w:rsid w:val="00A71372"/>
    <w:rsid w:val="00A75247"/>
    <w:rsid w:val="00A752CD"/>
    <w:rsid w:val="00A76250"/>
    <w:rsid w:val="00A76D22"/>
    <w:rsid w:val="00A805FD"/>
    <w:rsid w:val="00A81F79"/>
    <w:rsid w:val="00A82AB7"/>
    <w:rsid w:val="00A85ED1"/>
    <w:rsid w:val="00A86515"/>
    <w:rsid w:val="00A87AAB"/>
    <w:rsid w:val="00A90E5B"/>
    <w:rsid w:val="00A911AC"/>
    <w:rsid w:val="00A92117"/>
    <w:rsid w:val="00AA0766"/>
    <w:rsid w:val="00AA29FD"/>
    <w:rsid w:val="00AA38A8"/>
    <w:rsid w:val="00AA466E"/>
    <w:rsid w:val="00AA5083"/>
    <w:rsid w:val="00AA7E54"/>
    <w:rsid w:val="00AB325F"/>
    <w:rsid w:val="00AB605D"/>
    <w:rsid w:val="00AB685F"/>
    <w:rsid w:val="00AB7664"/>
    <w:rsid w:val="00AB7B05"/>
    <w:rsid w:val="00AC462E"/>
    <w:rsid w:val="00AC5B98"/>
    <w:rsid w:val="00AC674C"/>
    <w:rsid w:val="00AC7655"/>
    <w:rsid w:val="00AD05B8"/>
    <w:rsid w:val="00AD12A7"/>
    <w:rsid w:val="00AD15FF"/>
    <w:rsid w:val="00AD1718"/>
    <w:rsid w:val="00AD1E4F"/>
    <w:rsid w:val="00AD202B"/>
    <w:rsid w:val="00AD366C"/>
    <w:rsid w:val="00AD3DE3"/>
    <w:rsid w:val="00AD4404"/>
    <w:rsid w:val="00AD624A"/>
    <w:rsid w:val="00AD6AA1"/>
    <w:rsid w:val="00AD7229"/>
    <w:rsid w:val="00AE0676"/>
    <w:rsid w:val="00AE0793"/>
    <w:rsid w:val="00AE0C8F"/>
    <w:rsid w:val="00AE276D"/>
    <w:rsid w:val="00AE3C45"/>
    <w:rsid w:val="00AE4858"/>
    <w:rsid w:val="00AE4A5C"/>
    <w:rsid w:val="00AE66D3"/>
    <w:rsid w:val="00AE6A9C"/>
    <w:rsid w:val="00AE6D89"/>
    <w:rsid w:val="00AE7EEC"/>
    <w:rsid w:val="00AF0933"/>
    <w:rsid w:val="00AF17DC"/>
    <w:rsid w:val="00AF4651"/>
    <w:rsid w:val="00AF4DCB"/>
    <w:rsid w:val="00AF653F"/>
    <w:rsid w:val="00AF683B"/>
    <w:rsid w:val="00B01799"/>
    <w:rsid w:val="00B01967"/>
    <w:rsid w:val="00B02624"/>
    <w:rsid w:val="00B04EC5"/>
    <w:rsid w:val="00B05F65"/>
    <w:rsid w:val="00B07653"/>
    <w:rsid w:val="00B07AE6"/>
    <w:rsid w:val="00B103E8"/>
    <w:rsid w:val="00B11AC9"/>
    <w:rsid w:val="00B123CD"/>
    <w:rsid w:val="00B12655"/>
    <w:rsid w:val="00B12D87"/>
    <w:rsid w:val="00B133F6"/>
    <w:rsid w:val="00B17D02"/>
    <w:rsid w:val="00B20EBF"/>
    <w:rsid w:val="00B210C6"/>
    <w:rsid w:val="00B22711"/>
    <w:rsid w:val="00B22F80"/>
    <w:rsid w:val="00B23577"/>
    <w:rsid w:val="00B23B60"/>
    <w:rsid w:val="00B2421C"/>
    <w:rsid w:val="00B2634E"/>
    <w:rsid w:val="00B277FD"/>
    <w:rsid w:val="00B2784A"/>
    <w:rsid w:val="00B30F9C"/>
    <w:rsid w:val="00B334F4"/>
    <w:rsid w:val="00B34B47"/>
    <w:rsid w:val="00B350B4"/>
    <w:rsid w:val="00B36D16"/>
    <w:rsid w:val="00B3720C"/>
    <w:rsid w:val="00B37CF8"/>
    <w:rsid w:val="00B41327"/>
    <w:rsid w:val="00B41592"/>
    <w:rsid w:val="00B435DD"/>
    <w:rsid w:val="00B44158"/>
    <w:rsid w:val="00B44481"/>
    <w:rsid w:val="00B4600E"/>
    <w:rsid w:val="00B46934"/>
    <w:rsid w:val="00B46C5B"/>
    <w:rsid w:val="00B46CE2"/>
    <w:rsid w:val="00B46CFC"/>
    <w:rsid w:val="00B50053"/>
    <w:rsid w:val="00B51668"/>
    <w:rsid w:val="00B5449C"/>
    <w:rsid w:val="00B55D5C"/>
    <w:rsid w:val="00B56A3C"/>
    <w:rsid w:val="00B56E4F"/>
    <w:rsid w:val="00B608D9"/>
    <w:rsid w:val="00B60B52"/>
    <w:rsid w:val="00B62626"/>
    <w:rsid w:val="00B627FE"/>
    <w:rsid w:val="00B635DC"/>
    <w:rsid w:val="00B64457"/>
    <w:rsid w:val="00B64959"/>
    <w:rsid w:val="00B66E14"/>
    <w:rsid w:val="00B66ECE"/>
    <w:rsid w:val="00B677A5"/>
    <w:rsid w:val="00B67A09"/>
    <w:rsid w:val="00B7140F"/>
    <w:rsid w:val="00B71A6E"/>
    <w:rsid w:val="00B73DC2"/>
    <w:rsid w:val="00B7472D"/>
    <w:rsid w:val="00B75772"/>
    <w:rsid w:val="00B8199D"/>
    <w:rsid w:val="00B82F6A"/>
    <w:rsid w:val="00B85825"/>
    <w:rsid w:val="00B86C16"/>
    <w:rsid w:val="00B874BF"/>
    <w:rsid w:val="00B91FB7"/>
    <w:rsid w:val="00B93FB5"/>
    <w:rsid w:val="00B94FD1"/>
    <w:rsid w:val="00B95CCE"/>
    <w:rsid w:val="00BA0F1A"/>
    <w:rsid w:val="00BA1331"/>
    <w:rsid w:val="00BA2408"/>
    <w:rsid w:val="00BA417C"/>
    <w:rsid w:val="00BA5AE1"/>
    <w:rsid w:val="00BA782C"/>
    <w:rsid w:val="00BB032E"/>
    <w:rsid w:val="00BB0805"/>
    <w:rsid w:val="00BB13B8"/>
    <w:rsid w:val="00BB6827"/>
    <w:rsid w:val="00BB7A0E"/>
    <w:rsid w:val="00BC1A0C"/>
    <w:rsid w:val="00BC4A7F"/>
    <w:rsid w:val="00BC56D5"/>
    <w:rsid w:val="00BC5F33"/>
    <w:rsid w:val="00BD044B"/>
    <w:rsid w:val="00BD15F4"/>
    <w:rsid w:val="00BD18B3"/>
    <w:rsid w:val="00BD337C"/>
    <w:rsid w:val="00BD4BD4"/>
    <w:rsid w:val="00BD4E15"/>
    <w:rsid w:val="00BD57B3"/>
    <w:rsid w:val="00BD6DC2"/>
    <w:rsid w:val="00BE05F0"/>
    <w:rsid w:val="00BE1125"/>
    <w:rsid w:val="00BE1AE9"/>
    <w:rsid w:val="00BE20BF"/>
    <w:rsid w:val="00BE2A58"/>
    <w:rsid w:val="00BE414C"/>
    <w:rsid w:val="00BE4FB7"/>
    <w:rsid w:val="00BF066E"/>
    <w:rsid w:val="00BF0722"/>
    <w:rsid w:val="00BF0AF2"/>
    <w:rsid w:val="00BF1301"/>
    <w:rsid w:val="00BF3CC5"/>
    <w:rsid w:val="00BF3CF1"/>
    <w:rsid w:val="00BF49A1"/>
    <w:rsid w:val="00BF4FE8"/>
    <w:rsid w:val="00BF5330"/>
    <w:rsid w:val="00BF5C27"/>
    <w:rsid w:val="00BF6980"/>
    <w:rsid w:val="00C0021A"/>
    <w:rsid w:val="00C03260"/>
    <w:rsid w:val="00C0351C"/>
    <w:rsid w:val="00C10098"/>
    <w:rsid w:val="00C106C0"/>
    <w:rsid w:val="00C1167C"/>
    <w:rsid w:val="00C123C8"/>
    <w:rsid w:val="00C13B3E"/>
    <w:rsid w:val="00C1417D"/>
    <w:rsid w:val="00C15C97"/>
    <w:rsid w:val="00C21F01"/>
    <w:rsid w:val="00C24B72"/>
    <w:rsid w:val="00C25F53"/>
    <w:rsid w:val="00C313AF"/>
    <w:rsid w:val="00C336A3"/>
    <w:rsid w:val="00C4059F"/>
    <w:rsid w:val="00C408C4"/>
    <w:rsid w:val="00C410B1"/>
    <w:rsid w:val="00C419F2"/>
    <w:rsid w:val="00C4213C"/>
    <w:rsid w:val="00C4641A"/>
    <w:rsid w:val="00C472F6"/>
    <w:rsid w:val="00C478EA"/>
    <w:rsid w:val="00C50D1C"/>
    <w:rsid w:val="00C51667"/>
    <w:rsid w:val="00C51AB3"/>
    <w:rsid w:val="00C52338"/>
    <w:rsid w:val="00C535A7"/>
    <w:rsid w:val="00C55499"/>
    <w:rsid w:val="00C56489"/>
    <w:rsid w:val="00C63D13"/>
    <w:rsid w:val="00C6548A"/>
    <w:rsid w:val="00C660DB"/>
    <w:rsid w:val="00C665D3"/>
    <w:rsid w:val="00C70080"/>
    <w:rsid w:val="00C70FBB"/>
    <w:rsid w:val="00C71E3C"/>
    <w:rsid w:val="00C721A1"/>
    <w:rsid w:val="00C72CA4"/>
    <w:rsid w:val="00C73219"/>
    <w:rsid w:val="00C73FE0"/>
    <w:rsid w:val="00C7466C"/>
    <w:rsid w:val="00C81491"/>
    <w:rsid w:val="00C81987"/>
    <w:rsid w:val="00C87C45"/>
    <w:rsid w:val="00C905DA"/>
    <w:rsid w:val="00C91A90"/>
    <w:rsid w:val="00C92465"/>
    <w:rsid w:val="00C92473"/>
    <w:rsid w:val="00C951D2"/>
    <w:rsid w:val="00C95A4B"/>
    <w:rsid w:val="00CA0F1A"/>
    <w:rsid w:val="00CA1B5B"/>
    <w:rsid w:val="00CA1D84"/>
    <w:rsid w:val="00CA4AF1"/>
    <w:rsid w:val="00CA5611"/>
    <w:rsid w:val="00CA6419"/>
    <w:rsid w:val="00CA6AEE"/>
    <w:rsid w:val="00CA72AA"/>
    <w:rsid w:val="00CA7CDE"/>
    <w:rsid w:val="00CB06BB"/>
    <w:rsid w:val="00CB38D2"/>
    <w:rsid w:val="00CC00E1"/>
    <w:rsid w:val="00CC46DF"/>
    <w:rsid w:val="00CC548F"/>
    <w:rsid w:val="00CC61FF"/>
    <w:rsid w:val="00CD27BC"/>
    <w:rsid w:val="00CD2A5F"/>
    <w:rsid w:val="00CD625E"/>
    <w:rsid w:val="00CE235A"/>
    <w:rsid w:val="00CE332A"/>
    <w:rsid w:val="00CE3C52"/>
    <w:rsid w:val="00CE5204"/>
    <w:rsid w:val="00CE5E14"/>
    <w:rsid w:val="00CF1207"/>
    <w:rsid w:val="00CF13B3"/>
    <w:rsid w:val="00CF15D2"/>
    <w:rsid w:val="00CF29E9"/>
    <w:rsid w:val="00CF34DF"/>
    <w:rsid w:val="00CF4810"/>
    <w:rsid w:val="00CF4AF3"/>
    <w:rsid w:val="00CF4FB3"/>
    <w:rsid w:val="00CF5E8D"/>
    <w:rsid w:val="00CF792D"/>
    <w:rsid w:val="00D01637"/>
    <w:rsid w:val="00D01745"/>
    <w:rsid w:val="00D04C1C"/>
    <w:rsid w:val="00D10B3A"/>
    <w:rsid w:val="00D123BD"/>
    <w:rsid w:val="00D1314D"/>
    <w:rsid w:val="00D13B3A"/>
    <w:rsid w:val="00D248BF"/>
    <w:rsid w:val="00D25371"/>
    <w:rsid w:val="00D258B7"/>
    <w:rsid w:val="00D2772D"/>
    <w:rsid w:val="00D35267"/>
    <w:rsid w:val="00D37796"/>
    <w:rsid w:val="00D4032F"/>
    <w:rsid w:val="00D41D0F"/>
    <w:rsid w:val="00D42739"/>
    <w:rsid w:val="00D43C56"/>
    <w:rsid w:val="00D43D65"/>
    <w:rsid w:val="00D46044"/>
    <w:rsid w:val="00D477A3"/>
    <w:rsid w:val="00D50576"/>
    <w:rsid w:val="00D50BE3"/>
    <w:rsid w:val="00D51705"/>
    <w:rsid w:val="00D5213B"/>
    <w:rsid w:val="00D534B5"/>
    <w:rsid w:val="00D54153"/>
    <w:rsid w:val="00D56622"/>
    <w:rsid w:val="00D5675F"/>
    <w:rsid w:val="00D56E36"/>
    <w:rsid w:val="00D57440"/>
    <w:rsid w:val="00D577ED"/>
    <w:rsid w:val="00D61CDC"/>
    <w:rsid w:val="00D62043"/>
    <w:rsid w:val="00D6260B"/>
    <w:rsid w:val="00D64427"/>
    <w:rsid w:val="00D644BB"/>
    <w:rsid w:val="00D64852"/>
    <w:rsid w:val="00D65C2D"/>
    <w:rsid w:val="00D66BD1"/>
    <w:rsid w:val="00D67139"/>
    <w:rsid w:val="00D67D88"/>
    <w:rsid w:val="00D7078F"/>
    <w:rsid w:val="00D72330"/>
    <w:rsid w:val="00D75E16"/>
    <w:rsid w:val="00D763E3"/>
    <w:rsid w:val="00D828C9"/>
    <w:rsid w:val="00D83AAE"/>
    <w:rsid w:val="00D84BDC"/>
    <w:rsid w:val="00D86B6C"/>
    <w:rsid w:val="00D879FE"/>
    <w:rsid w:val="00D9064A"/>
    <w:rsid w:val="00D92203"/>
    <w:rsid w:val="00D9510B"/>
    <w:rsid w:val="00D95857"/>
    <w:rsid w:val="00D9585D"/>
    <w:rsid w:val="00D969EB"/>
    <w:rsid w:val="00D973C7"/>
    <w:rsid w:val="00DA271F"/>
    <w:rsid w:val="00DA35C7"/>
    <w:rsid w:val="00DA3711"/>
    <w:rsid w:val="00DA4FD4"/>
    <w:rsid w:val="00DA5107"/>
    <w:rsid w:val="00DA5820"/>
    <w:rsid w:val="00DA5C23"/>
    <w:rsid w:val="00DA623D"/>
    <w:rsid w:val="00DA6C09"/>
    <w:rsid w:val="00DA782C"/>
    <w:rsid w:val="00DB0AAC"/>
    <w:rsid w:val="00DB16C8"/>
    <w:rsid w:val="00DB1982"/>
    <w:rsid w:val="00DB214A"/>
    <w:rsid w:val="00DB6FBA"/>
    <w:rsid w:val="00DC0D5C"/>
    <w:rsid w:val="00DC3119"/>
    <w:rsid w:val="00DC3E36"/>
    <w:rsid w:val="00DC446A"/>
    <w:rsid w:val="00DC48D2"/>
    <w:rsid w:val="00DC50D3"/>
    <w:rsid w:val="00DC6BD7"/>
    <w:rsid w:val="00DD0B64"/>
    <w:rsid w:val="00DD2B86"/>
    <w:rsid w:val="00DD59B8"/>
    <w:rsid w:val="00DD5ACC"/>
    <w:rsid w:val="00DD60FE"/>
    <w:rsid w:val="00DD6458"/>
    <w:rsid w:val="00DD71E1"/>
    <w:rsid w:val="00DE165A"/>
    <w:rsid w:val="00DE2E88"/>
    <w:rsid w:val="00DE5031"/>
    <w:rsid w:val="00DE5FD2"/>
    <w:rsid w:val="00DE7355"/>
    <w:rsid w:val="00DE76EC"/>
    <w:rsid w:val="00DF243E"/>
    <w:rsid w:val="00DF2863"/>
    <w:rsid w:val="00DF4094"/>
    <w:rsid w:val="00DF5B59"/>
    <w:rsid w:val="00DF66FA"/>
    <w:rsid w:val="00E0030C"/>
    <w:rsid w:val="00E03496"/>
    <w:rsid w:val="00E0414E"/>
    <w:rsid w:val="00E06A2C"/>
    <w:rsid w:val="00E07FF5"/>
    <w:rsid w:val="00E10C2B"/>
    <w:rsid w:val="00E121ED"/>
    <w:rsid w:val="00E128D4"/>
    <w:rsid w:val="00E15749"/>
    <w:rsid w:val="00E161B4"/>
    <w:rsid w:val="00E16666"/>
    <w:rsid w:val="00E20DF7"/>
    <w:rsid w:val="00E23568"/>
    <w:rsid w:val="00E25442"/>
    <w:rsid w:val="00E2556A"/>
    <w:rsid w:val="00E2618A"/>
    <w:rsid w:val="00E26EC9"/>
    <w:rsid w:val="00E27142"/>
    <w:rsid w:val="00E3105A"/>
    <w:rsid w:val="00E34619"/>
    <w:rsid w:val="00E34D2C"/>
    <w:rsid w:val="00E34FCE"/>
    <w:rsid w:val="00E35753"/>
    <w:rsid w:val="00E360CB"/>
    <w:rsid w:val="00E41297"/>
    <w:rsid w:val="00E418B7"/>
    <w:rsid w:val="00E45062"/>
    <w:rsid w:val="00E45FB6"/>
    <w:rsid w:val="00E465F8"/>
    <w:rsid w:val="00E46A59"/>
    <w:rsid w:val="00E47E98"/>
    <w:rsid w:val="00E51FB2"/>
    <w:rsid w:val="00E520DF"/>
    <w:rsid w:val="00E52268"/>
    <w:rsid w:val="00E52907"/>
    <w:rsid w:val="00E54011"/>
    <w:rsid w:val="00E550BB"/>
    <w:rsid w:val="00E55BF9"/>
    <w:rsid w:val="00E565E3"/>
    <w:rsid w:val="00E57274"/>
    <w:rsid w:val="00E57497"/>
    <w:rsid w:val="00E60A55"/>
    <w:rsid w:val="00E612A4"/>
    <w:rsid w:val="00E64123"/>
    <w:rsid w:val="00E64E41"/>
    <w:rsid w:val="00E672A9"/>
    <w:rsid w:val="00E678BC"/>
    <w:rsid w:val="00E720EB"/>
    <w:rsid w:val="00E73DB9"/>
    <w:rsid w:val="00E82462"/>
    <w:rsid w:val="00E84E7D"/>
    <w:rsid w:val="00E85C39"/>
    <w:rsid w:val="00E86000"/>
    <w:rsid w:val="00E905F8"/>
    <w:rsid w:val="00E90E0D"/>
    <w:rsid w:val="00E91CB3"/>
    <w:rsid w:val="00E93290"/>
    <w:rsid w:val="00E93590"/>
    <w:rsid w:val="00E941DC"/>
    <w:rsid w:val="00E94327"/>
    <w:rsid w:val="00E9682D"/>
    <w:rsid w:val="00E97B20"/>
    <w:rsid w:val="00EA017A"/>
    <w:rsid w:val="00EA087E"/>
    <w:rsid w:val="00EA23F9"/>
    <w:rsid w:val="00EA3F60"/>
    <w:rsid w:val="00EA586E"/>
    <w:rsid w:val="00EA69C7"/>
    <w:rsid w:val="00EB1625"/>
    <w:rsid w:val="00EB166A"/>
    <w:rsid w:val="00EB1BFD"/>
    <w:rsid w:val="00EB3914"/>
    <w:rsid w:val="00EB3BE9"/>
    <w:rsid w:val="00EB40CA"/>
    <w:rsid w:val="00EB4AE2"/>
    <w:rsid w:val="00EB4F2B"/>
    <w:rsid w:val="00EB5882"/>
    <w:rsid w:val="00EB7E3C"/>
    <w:rsid w:val="00EC03E6"/>
    <w:rsid w:val="00EC20CF"/>
    <w:rsid w:val="00ED0103"/>
    <w:rsid w:val="00ED184E"/>
    <w:rsid w:val="00ED1A02"/>
    <w:rsid w:val="00ED34EF"/>
    <w:rsid w:val="00ED5478"/>
    <w:rsid w:val="00ED6043"/>
    <w:rsid w:val="00ED694D"/>
    <w:rsid w:val="00ED741A"/>
    <w:rsid w:val="00EE1561"/>
    <w:rsid w:val="00EE5004"/>
    <w:rsid w:val="00EE564C"/>
    <w:rsid w:val="00EE5F54"/>
    <w:rsid w:val="00EE6FDE"/>
    <w:rsid w:val="00EE7AB9"/>
    <w:rsid w:val="00EF1B48"/>
    <w:rsid w:val="00EF4434"/>
    <w:rsid w:val="00EF4685"/>
    <w:rsid w:val="00EF5F3A"/>
    <w:rsid w:val="00EF67F9"/>
    <w:rsid w:val="00F00B8E"/>
    <w:rsid w:val="00F0315D"/>
    <w:rsid w:val="00F0406F"/>
    <w:rsid w:val="00F050CE"/>
    <w:rsid w:val="00F05695"/>
    <w:rsid w:val="00F07CB9"/>
    <w:rsid w:val="00F12A2F"/>
    <w:rsid w:val="00F15A36"/>
    <w:rsid w:val="00F163C2"/>
    <w:rsid w:val="00F16C4A"/>
    <w:rsid w:val="00F20A56"/>
    <w:rsid w:val="00F22662"/>
    <w:rsid w:val="00F236A1"/>
    <w:rsid w:val="00F25D4B"/>
    <w:rsid w:val="00F30A47"/>
    <w:rsid w:val="00F351B4"/>
    <w:rsid w:val="00F4244A"/>
    <w:rsid w:val="00F43303"/>
    <w:rsid w:val="00F45670"/>
    <w:rsid w:val="00F458DD"/>
    <w:rsid w:val="00F45C9F"/>
    <w:rsid w:val="00F46466"/>
    <w:rsid w:val="00F46A20"/>
    <w:rsid w:val="00F46ED7"/>
    <w:rsid w:val="00F47F46"/>
    <w:rsid w:val="00F503DC"/>
    <w:rsid w:val="00F50603"/>
    <w:rsid w:val="00F50832"/>
    <w:rsid w:val="00F51AAC"/>
    <w:rsid w:val="00F5370A"/>
    <w:rsid w:val="00F53CAB"/>
    <w:rsid w:val="00F60CDA"/>
    <w:rsid w:val="00F61AA5"/>
    <w:rsid w:val="00F61F68"/>
    <w:rsid w:val="00F623EF"/>
    <w:rsid w:val="00F64EAF"/>
    <w:rsid w:val="00F64F71"/>
    <w:rsid w:val="00F65CF2"/>
    <w:rsid w:val="00F67823"/>
    <w:rsid w:val="00F703EF"/>
    <w:rsid w:val="00F73F93"/>
    <w:rsid w:val="00F753AA"/>
    <w:rsid w:val="00F75D17"/>
    <w:rsid w:val="00F76694"/>
    <w:rsid w:val="00F7697D"/>
    <w:rsid w:val="00F773DB"/>
    <w:rsid w:val="00F80411"/>
    <w:rsid w:val="00F81D34"/>
    <w:rsid w:val="00F84457"/>
    <w:rsid w:val="00F857B8"/>
    <w:rsid w:val="00F865A1"/>
    <w:rsid w:val="00F86AD4"/>
    <w:rsid w:val="00F9290C"/>
    <w:rsid w:val="00F941E8"/>
    <w:rsid w:val="00FA1CBD"/>
    <w:rsid w:val="00FA1DBB"/>
    <w:rsid w:val="00FA3205"/>
    <w:rsid w:val="00FB0193"/>
    <w:rsid w:val="00FB0B07"/>
    <w:rsid w:val="00FB3226"/>
    <w:rsid w:val="00FB4118"/>
    <w:rsid w:val="00FB4848"/>
    <w:rsid w:val="00FB48BA"/>
    <w:rsid w:val="00FB60A6"/>
    <w:rsid w:val="00FB7BF6"/>
    <w:rsid w:val="00FC03AE"/>
    <w:rsid w:val="00FC0C57"/>
    <w:rsid w:val="00FC1EF0"/>
    <w:rsid w:val="00FC5895"/>
    <w:rsid w:val="00FC72F0"/>
    <w:rsid w:val="00FD2EB2"/>
    <w:rsid w:val="00FD5BC0"/>
    <w:rsid w:val="00FD680D"/>
    <w:rsid w:val="00FD6B1D"/>
    <w:rsid w:val="00FE005F"/>
    <w:rsid w:val="00FE1387"/>
    <w:rsid w:val="00FE1673"/>
    <w:rsid w:val="00FE4957"/>
    <w:rsid w:val="00FE53B3"/>
    <w:rsid w:val="00FE6803"/>
    <w:rsid w:val="00FE6BA1"/>
    <w:rsid w:val="00FF0942"/>
    <w:rsid w:val="00FF5AE9"/>
    <w:rsid w:val="00FF5E15"/>
    <w:rsid w:val="00FF651E"/>
    <w:rsid w:val="00FF7F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A1FD5"/>
  <w15:chartTrackingRefBased/>
  <w15:docId w15:val="{B79ACE4D-32C0-4795-B4E1-28531562C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51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0512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0512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0512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512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0512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0512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505123"/>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505123"/>
    <w:pPr>
      <w:ind w:left="720"/>
      <w:contextualSpacing/>
    </w:pPr>
  </w:style>
  <w:style w:type="paragraph" w:styleId="Header">
    <w:name w:val="header"/>
    <w:basedOn w:val="Normal"/>
    <w:link w:val="HeaderChar"/>
    <w:uiPriority w:val="99"/>
    <w:unhideWhenUsed/>
    <w:rsid w:val="004E6C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C45"/>
  </w:style>
  <w:style w:type="paragraph" w:styleId="Footer">
    <w:name w:val="footer"/>
    <w:basedOn w:val="Normal"/>
    <w:link w:val="FooterChar"/>
    <w:uiPriority w:val="99"/>
    <w:unhideWhenUsed/>
    <w:rsid w:val="004E6C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C45"/>
  </w:style>
  <w:style w:type="table" w:styleId="TableGrid">
    <w:name w:val="Table Grid"/>
    <w:basedOn w:val="TableNormal"/>
    <w:uiPriority w:val="39"/>
    <w:rsid w:val="00D96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28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829"/>
    <w:rPr>
      <w:rFonts w:ascii="Segoe UI" w:hAnsi="Segoe UI" w:cs="Segoe UI"/>
      <w:sz w:val="18"/>
      <w:szCs w:val="18"/>
    </w:rPr>
  </w:style>
  <w:style w:type="numbering" w:customStyle="1" w:styleId="List90">
    <w:name w:val="List 90"/>
    <w:rsid w:val="00482106"/>
    <w:pPr>
      <w:numPr>
        <w:numId w:val="11"/>
      </w:numPr>
    </w:pPr>
  </w:style>
  <w:style w:type="numbering" w:customStyle="1" w:styleId="List147">
    <w:name w:val="List 147"/>
    <w:rsid w:val="004767C7"/>
    <w:pPr>
      <w:numPr>
        <w:numId w:val="16"/>
      </w:numPr>
    </w:pPr>
  </w:style>
  <w:style w:type="numbering" w:customStyle="1" w:styleId="List220">
    <w:name w:val="List 220"/>
    <w:rsid w:val="006F7CB3"/>
    <w:pPr>
      <w:numPr>
        <w:numId w:val="25"/>
      </w:numPr>
    </w:pPr>
  </w:style>
  <w:style w:type="table" w:styleId="GridTable5Dark">
    <w:name w:val="Grid Table 5 Dark"/>
    <w:basedOn w:val="TableNormal"/>
    <w:uiPriority w:val="50"/>
    <w:rsid w:val="0048102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
    <w:name w:val="Grid Table 4"/>
    <w:basedOn w:val="TableNormal"/>
    <w:uiPriority w:val="49"/>
    <w:rsid w:val="0048102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Accent3">
    <w:name w:val="Grid Table 5 Dark Accent 3"/>
    <w:basedOn w:val="TableNormal"/>
    <w:uiPriority w:val="50"/>
    <w:rsid w:val="0048102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4-Accent3">
    <w:name w:val="Grid Table 4 Accent 3"/>
    <w:basedOn w:val="TableNormal"/>
    <w:uiPriority w:val="49"/>
    <w:rsid w:val="00FD5BC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EndnoteText">
    <w:name w:val="endnote text"/>
    <w:basedOn w:val="Normal"/>
    <w:link w:val="EndnoteTextChar"/>
    <w:uiPriority w:val="99"/>
    <w:semiHidden/>
    <w:unhideWhenUsed/>
    <w:rsid w:val="005327B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327B8"/>
    <w:rPr>
      <w:sz w:val="20"/>
      <w:szCs w:val="20"/>
    </w:rPr>
  </w:style>
  <w:style w:type="character" w:styleId="EndnoteReference">
    <w:name w:val="endnote reference"/>
    <w:basedOn w:val="DefaultParagraphFont"/>
    <w:uiPriority w:val="99"/>
    <w:semiHidden/>
    <w:unhideWhenUsed/>
    <w:rsid w:val="005327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EFE51B1-44B9-429C-A74D-928011AB93BD}" type="doc">
      <dgm:prSet loTypeId="urn:microsoft.com/office/officeart/2009/3/layout/HorizontalOrganizationChart" loCatId="hierarchy" qsTypeId="urn:microsoft.com/office/officeart/2005/8/quickstyle/simple1" qsCatId="simple" csTypeId="urn:microsoft.com/office/officeart/2005/8/colors/accent1_2" csCatId="accent1" phldr="1"/>
      <dgm:spPr/>
      <dgm:t>
        <a:bodyPr/>
        <a:lstStyle/>
        <a:p>
          <a:endParaRPr lang="en-US"/>
        </a:p>
      </dgm:t>
    </dgm:pt>
    <dgm:pt modelId="{03012586-F57C-4AB6-B5D5-4ABC23BD2576}">
      <dgm:prSet phldrT="[Text]"/>
      <dgm:spPr/>
      <dgm:t>
        <a:bodyPr/>
        <a:lstStyle/>
        <a:p>
          <a:r>
            <a:rPr lang="en-US"/>
            <a:t>Gross Income (</a:t>
          </a:r>
          <a:r>
            <a:rPr lang="en-US">
              <a:latin typeface="Times New Roman" panose="02020603050405020304" pitchFamily="18" charset="0"/>
              <a:cs typeface="Times New Roman" panose="02020603050405020304" pitchFamily="18" charset="0"/>
            </a:rPr>
            <a:t>§</a:t>
          </a:r>
          <a:r>
            <a:rPr lang="en-US"/>
            <a:t>61)</a:t>
          </a:r>
        </a:p>
      </dgm:t>
    </dgm:pt>
    <dgm:pt modelId="{74A4DFF5-8AF7-4DD9-AD1A-247F825208C8}" type="parTrans" cxnId="{BFF6521F-C2F3-4853-ADF2-2866951279D2}">
      <dgm:prSet/>
      <dgm:spPr/>
      <dgm:t>
        <a:bodyPr/>
        <a:lstStyle/>
        <a:p>
          <a:endParaRPr lang="en-US"/>
        </a:p>
      </dgm:t>
    </dgm:pt>
    <dgm:pt modelId="{FBE93F0D-BB74-4534-8A91-FD921E2D133B}" type="sibTrans" cxnId="{BFF6521F-C2F3-4853-ADF2-2866951279D2}">
      <dgm:prSet/>
      <dgm:spPr/>
      <dgm:t>
        <a:bodyPr/>
        <a:lstStyle/>
        <a:p>
          <a:endParaRPr lang="en-US"/>
        </a:p>
      </dgm:t>
    </dgm:pt>
    <dgm:pt modelId="{1B908784-FC74-4481-A77E-5EDA6014AFE0}">
      <dgm:prSet phldrT="[Text]"/>
      <dgm:spPr/>
      <dgm:t>
        <a:bodyPr/>
        <a:lstStyle/>
        <a:p>
          <a:r>
            <a:rPr lang="en-US"/>
            <a:t>= Adjusted</a:t>
          </a:r>
          <a:br>
            <a:rPr lang="en-US"/>
          </a:br>
          <a:r>
            <a:rPr lang="en-US"/>
            <a:t> Gross Income</a:t>
          </a:r>
        </a:p>
      </dgm:t>
    </dgm:pt>
    <dgm:pt modelId="{AF5E49AA-CB33-4F76-816B-E73B6CEF72B0}" type="parTrans" cxnId="{E68862D3-1120-4AB8-9AD0-2F834B5D657B}">
      <dgm:prSet/>
      <dgm:spPr/>
      <dgm:t>
        <a:bodyPr/>
        <a:lstStyle/>
        <a:p>
          <a:endParaRPr lang="en-US"/>
        </a:p>
      </dgm:t>
    </dgm:pt>
    <dgm:pt modelId="{B481CFA5-F188-4E51-A748-C7D78CB22DD5}" type="sibTrans" cxnId="{E68862D3-1120-4AB8-9AD0-2F834B5D657B}">
      <dgm:prSet/>
      <dgm:spPr/>
      <dgm:t>
        <a:bodyPr/>
        <a:lstStyle/>
        <a:p>
          <a:endParaRPr lang="en-US"/>
        </a:p>
      </dgm:t>
    </dgm:pt>
    <dgm:pt modelId="{B1A618E1-BD4B-4DB0-BD07-32C1761E957A}">
      <dgm:prSet phldrT="[Text]"/>
      <dgm:spPr/>
      <dgm:t>
        <a:bodyPr/>
        <a:lstStyle/>
        <a:p>
          <a:r>
            <a:rPr lang="en-US"/>
            <a:t> - Itemized Deductions (</a:t>
          </a:r>
          <a:r>
            <a:rPr lang="en-US">
              <a:latin typeface="Times New Roman" panose="02020603050405020304" pitchFamily="18" charset="0"/>
              <a:cs typeface="Times New Roman" panose="02020603050405020304" pitchFamily="18" charset="0"/>
            </a:rPr>
            <a:t>§63(a))</a:t>
          </a:r>
          <a:endParaRPr lang="en-US"/>
        </a:p>
      </dgm:t>
    </dgm:pt>
    <dgm:pt modelId="{9B20FB7E-D58B-4131-ADAE-A39FA0D9AB80}" type="parTrans" cxnId="{685B9594-A037-4261-8757-E8D0F12A6672}">
      <dgm:prSet/>
      <dgm:spPr/>
      <dgm:t>
        <a:bodyPr/>
        <a:lstStyle/>
        <a:p>
          <a:endParaRPr lang="en-US"/>
        </a:p>
      </dgm:t>
    </dgm:pt>
    <dgm:pt modelId="{E329AB15-2CB6-46A2-86E6-C975BB41A4A3}" type="sibTrans" cxnId="{685B9594-A037-4261-8757-E8D0F12A6672}">
      <dgm:prSet/>
      <dgm:spPr/>
      <dgm:t>
        <a:bodyPr/>
        <a:lstStyle/>
        <a:p>
          <a:endParaRPr lang="en-US"/>
        </a:p>
      </dgm:t>
    </dgm:pt>
    <dgm:pt modelId="{781C072A-4786-4D09-8740-FBA5BAD2D41A}">
      <dgm:prSet phldrT="[Text]"/>
      <dgm:spPr/>
      <dgm:t>
        <a:bodyPr/>
        <a:lstStyle/>
        <a:p>
          <a:r>
            <a:rPr lang="en-US"/>
            <a:t>- Standard</a:t>
          </a:r>
          <a:br>
            <a:rPr lang="en-US"/>
          </a:br>
          <a:r>
            <a:rPr lang="en-US"/>
            <a:t> Deduction (</a:t>
          </a:r>
          <a:r>
            <a:rPr lang="en-US">
              <a:latin typeface="Times New Roman" panose="02020603050405020304" pitchFamily="18" charset="0"/>
              <a:cs typeface="Times New Roman" panose="02020603050405020304" pitchFamily="18" charset="0"/>
            </a:rPr>
            <a:t>§63(b))</a:t>
          </a:r>
          <a:endParaRPr lang="en-US"/>
        </a:p>
      </dgm:t>
    </dgm:pt>
    <dgm:pt modelId="{56C8CC58-A0EB-431E-9F63-36D547F62804}" type="parTrans" cxnId="{B8384D1C-CD9A-4DC7-A805-81A2F025AD42}">
      <dgm:prSet/>
      <dgm:spPr/>
      <dgm:t>
        <a:bodyPr/>
        <a:lstStyle/>
        <a:p>
          <a:endParaRPr lang="en-US"/>
        </a:p>
      </dgm:t>
    </dgm:pt>
    <dgm:pt modelId="{356AD9E2-81AF-4BE4-9DAD-176B0AF3A2F9}" type="sibTrans" cxnId="{B8384D1C-CD9A-4DC7-A805-81A2F025AD42}">
      <dgm:prSet/>
      <dgm:spPr/>
      <dgm:t>
        <a:bodyPr/>
        <a:lstStyle/>
        <a:p>
          <a:endParaRPr lang="en-US"/>
        </a:p>
      </dgm:t>
    </dgm:pt>
    <dgm:pt modelId="{5D49B0EA-FBD9-488B-86A0-0AF02F6279CC}">
      <dgm:prSet phldrT="[Text]"/>
      <dgm:spPr/>
      <dgm:t>
        <a:bodyPr/>
        <a:lstStyle/>
        <a:p>
          <a:r>
            <a:rPr lang="en-US"/>
            <a:t>- Adjustments (</a:t>
          </a:r>
          <a:r>
            <a:rPr lang="en-US">
              <a:latin typeface="Times New Roman" panose="02020603050405020304" pitchFamily="18" charset="0"/>
              <a:cs typeface="Times New Roman" panose="02020603050405020304" pitchFamily="18" charset="0"/>
            </a:rPr>
            <a:t>§62)</a:t>
          </a:r>
          <a:endParaRPr lang="en-US"/>
        </a:p>
      </dgm:t>
    </dgm:pt>
    <dgm:pt modelId="{ED494B14-7240-4A25-9C00-FFF4DDA2C93A}" type="parTrans" cxnId="{4A54DC76-E9A1-45C2-A112-FF2AC2C8DAAF}">
      <dgm:prSet/>
      <dgm:spPr/>
      <dgm:t>
        <a:bodyPr/>
        <a:lstStyle/>
        <a:p>
          <a:endParaRPr lang="en-US"/>
        </a:p>
      </dgm:t>
    </dgm:pt>
    <dgm:pt modelId="{396BDB86-3001-4685-946F-EEF2AD62922C}" type="sibTrans" cxnId="{4A54DC76-E9A1-45C2-A112-FF2AC2C8DAAF}">
      <dgm:prSet/>
      <dgm:spPr/>
      <dgm:t>
        <a:bodyPr/>
        <a:lstStyle/>
        <a:p>
          <a:endParaRPr lang="en-US"/>
        </a:p>
      </dgm:t>
    </dgm:pt>
    <dgm:pt modelId="{80A515FB-8984-47E0-AF34-44DC288C6868}">
      <dgm:prSet phldrT="[Text]"/>
      <dgm:spPr/>
      <dgm:t>
        <a:bodyPr/>
        <a:lstStyle/>
        <a:p>
          <a:r>
            <a:rPr lang="en-US"/>
            <a:t>- Personal Exemption (</a:t>
          </a:r>
          <a:r>
            <a:rPr lang="en-US">
              <a:latin typeface="Times New Roman" panose="02020603050405020304" pitchFamily="18" charset="0"/>
              <a:cs typeface="Times New Roman" panose="02020603050405020304" pitchFamily="18" charset="0"/>
            </a:rPr>
            <a:t>§§151-52)</a:t>
          </a:r>
          <a:endParaRPr lang="en-US"/>
        </a:p>
      </dgm:t>
    </dgm:pt>
    <dgm:pt modelId="{DA3D31F2-0355-483D-9146-5E0E6580276D}" type="parTrans" cxnId="{A1AD6767-2F8B-4944-AC51-68A0E11E8D00}">
      <dgm:prSet/>
      <dgm:spPr/>
      <dgm:t>
        <a:bodyPr/>
        <a:lstStyle/>
        <a:p>
          <a:endParaRPr lang="en-US"/>
        </a:p>
      </dgm:t>
    </dgm:pt>
    <dgm:pt modelId="{88109551-87B8-4E4E-A0C5-B4A88B4CDC3F}" type="sibTrans" cxnId="{A1AD6767-2F8B-4944-AC51-68A0E11E8D00}">
      <dgm:prSet/>
      <dgm:spPr/>
      <dgm:t>
        <a:bodyPr/>
        <a:lstStyle/>
        <a:p>
          <a:endParaRPr lang="en-US"/>
        </a:p>
      </dgm:t>
    </dgm:pt>
    <dgm:pt modelId="{59A5F9FB-BEAE-4B74-ADC5-80203EA628E5}">
      <dgm:prSet phldrT="[Text]"/>
      <dgm:spPr/>
      <dgm:t>
        <a:bodyPr/>
        <a:lstStyle/>
        <a:p>
          <a:r>
            <a:rPr lang="en-US"/>
            <a:t>= Taxable Income</a:t>
          </a:r>
        </a:p>
      </dgm:t>
    </dgm:pt>
    <dgm:pt modelId="{059C75FB-1DC6-430A-92A9-E4379C9BE08A}" type="parTrans" cxnId="{3DEFBE3E-2872-44C2-B930-21F7919FDA2D}">
      <dgm:prSet/>
      <dgm:spPr/>
      <dgm:t>
        <a:bodyPr/>
        <a:lstStyle/>
        <a:p>
          <a:endParaRPr lang="en-US"/>
        </a:p>
      </dgm:t>
    </dgm:pt>
    <dgm:pt modelId="{508A4F70-2CB3-43DA-B852-94217CFC7F32}" type="sibTrans" cxnId="{3DEFBE3E-2872-44C2-B930-21F7919FDA2D}">
      <dgm:prSet/>
      <dgm:spPr/>
      <dgm:t>
        <a:bodyPr/>
        <a:lstStyle/>
        <a:p>
          <a:endParaRPr lang="en-US"/>
        </a:p>
      </dgm:t>
    </dgm:pt>
    <dgm:pt modelId="{C36DB179-6109-4D63-A899-8F61A246D920}" type="pres">
      <dgm:prSet presAssocID="{2EFE51B1-44B9-429C-A74D-928011AB93BD}" presName="hierChild1" presStyleCnt="0">
        <dgm:presLayoutVars>
          <dgm:orgChart val="1"/>
          <dgm:chPref val="1"/>
          <dgm:dir/>
          <dgm:animOne val="branch"/>
          <dgm:animLvl val="lvl"/>
          <dgm:resizeHandles/>
        </dgm:presLayoutVars>
      </dgm:prSet>
      <dgm:spPr/>
    </dgm:pt>
    <dgm:pt modelId="{DA647EA0-BAC4-4FE6-A560-14B919FB53A9}" type="pres">
      <dgm:prSet presAssocID="{03012586-F57C-4AB6-B5D5-4ABC23BD2576}" presName="hierRoot1" presStyleCnt="0">
        <dgm:presLayoutVars>
          <dgm:hierBranch val="init"/>
        </dgm:presLayoutVars>
      </dgm:prSet>
      <dgm:spPr/>
    </dgm:pt>
    <dgm:pt modelId="{6FCAB67E-CCE8-4CDE-BA69-D5634A6E97B3}" type="pres">
      <dgm:prSet presAssocID="{03012586-F57C-4AB6-B5D5-4ABC23BD2576}" presName="rootComposite1" presStyleCnt="0"/>
      <dgm:spPr/>
    </dgm:pt>
    <dgm:pt modelId="{EB18A394-FE2F-4C14-ABD9-3A564D5A0731}" type="pres">
      <dgm:prSet presAssocID="{03012586-F57C-4AB6-B5D5-4ABC23BD2576}" presName="rootText1" presStyleLbl="node0" presStyleIdx="0" presStyleCnt="1">
        <dgm:presLayoutVars>
          <dgm:chPref val="3"/>
        </dgm:presLayoutVars>
      </dgm:prSet>
      <dgm:spPr/>
    </dgm:pt>
    <dgm:pt modelId="{D9B24DD5-F573-47EF-B6E2-FB051A5DB699}" type="pres">
      <dgm:prSet presAssocID="{03012586-F57C-4AB6-B5D5-4ABC23BD2576}" presName="rootConnector1" presStyleLbl="node1" presStyleIdx="0" presStyleCnt="0"/>
      <dgm:spPr/>
    </dgm:pt>
    <dgm:pt modelId="{CB4CEB29-B5C9-4781-9C69-EA1908EABF18}" type="pres">
      <dgm:prSet presAssocID="{03012586-F57C-4AB6-B5D5-4ABC23BD2576}" presName="hierChild2" presStyleCnt="0"/>
      <dgm:spPr/>
    </dgm:pt>
    <dgm:pt modelId="{2FC9D762-F27B-4623-BBD5-75B09E228255}" type="pres">
      <dgm:prSet presAssocID="{ED494B14-7240-4A25-9C00-FFF4DDA2C93A}" presName="Name64" presStyleLbl="parChTrans1D2" presStyleIdx="0" presStyleCnt="1"/>
      <dgm:spPr/>
    </dgm:pt>
    <dgm:pt modelId="{89656580-5EAC-4220-89A0-5A5A4BA9F834}" type="pres">
      <dgm:prSet presAssocID="{5D49B0EA-FBD9-488B-86A0-0AF02F6279CC}" presName="hierRoot2" presStyleCnt="0">
        <dgm:presLayoutVars>
          <dgm:hierBranch val="init"/>
        </dgm:presLayoutVars>
      </dgm:prSet>
      <dgm:spPr/>
    </dgm:pt>
    <dgm:pt modelId="{518C34E9-2C3C-40CC-BEB9-933821F7FC28}" type="pres">
      <dgm:prSet presAssocID="{5D49B0EA-FBD9-488B-86A0-0AF02F6279CC}" presName="rootComposite" presStyleCnt="0"/>
      <dgm:spPr/>
    </dgm:pt>
    <dgm:pt modelId="{25EB2843-5819-46D2-B2C3-007D069E6393}" type="pres">
      <dgm:prSet presAssocID="{5D49B0EA-FBD9-488B-86A0-0AF02F6279CC}" presName="rootText" presStyleLbl="node2" presStyleIdx="0" presStyleCnt="1">
        <dgm:presLayoutVars>
          <dgm:chPref val="3"/>
        </dgm:presLayoutVars>
      </dgm:prSet>
      <dgm:spPr/>
    </dgm:pt>
    <dgm:pt modelId="{B11D925C-B41C-4DB4-A260-B7FA9D53BC8E}" type="pres">
      <dgm:prSet presAssocID="{5D49B0EA-FBD9-488B-86A0-0AF02F6279CC}" presName="rootConnector" presStyleLbl="node2" presStyleIdx="0" presStyleCnt="1"/>
      <dgm:spPr/>
    </dgm:pt>
    <dgm:pt modelId="{4CFEADBF-854F-4857-AD6B-DC57DF501C51}" type="pres">
      <dgm:prSet presAssocID="{5D49B0EA-FBD9-488B-86A0-0AF02F6279CC}" presName="hierChild4" presStyleCnt="0"/>
      <dgm:spPr/>
    </dgm:pt>
    <dgm:pt modelId="{C99DE926-633B-4BF6-B8E9-B0B2D0DFE0A5}" type="pres">
      <dgm:prSet presAssocID="{AF5E49AA-CB33-4F76-816B-E73B6CEF72B0}" presName="Name64" presStyleLbl="parChTrans1D3" presStyleIdx="0" presStyleCnt="1"/>
      <dgm:spPr/>
    </dgm:pt>
    <dgm:pt modelId="{4F1B3484-2FBA-4F30-AB1A-9440041B4265}" type="pres">
      <dgm:prSet presAssocID="{1B908784-FC74-4481-A77E-5EDA6014AFE0}" presName="hierRoot2" presStyleCnt="0">
        <dgm:presLayoutVars>
          <dgm:hierBranch val="init"/>
        </dgm:presLayoutVars>
      </dgm:prSet>
      <dgm:spPr/>
    </dgm:pt>
    <dgm:pt modelId="{03A101F5-2BF0-4C51-A645-80692BF53175}" type="pres">
      <dgm:prSet presAssocID="{1B908784-FC74-4481-A77E-5EDA6014AFE0}" presName="rootComposite" presStyleCnt="0"/>
      <dgm:spPr/>
    </dgm:pt>
    <dgm:pt modelId="{FB84A448-15E1-4ED6-9ACC-8BCC5C269AB9}" type="pres">
      <dgm:prSet presAssocID="{1B908784-FC74-4481-A77E-5EDA6014AFE0}" presName="rootText" presStyleLbl="node3" presStyleIdx="0" presStyleCnt="1">
        <dgm:presLayoutVars>
          <dgm:chPref val="3"/>
        </dgm:presLayoutVars>
      </dgm:prSet>
      <dgm:spPr/>
    </dgm:pt>
    <dgm:pt modelId="{4ADDA482-4F1A-4431-94B3-1AAABCC9E49A}" type="pres">
      <dgm:prSet presAssocID="{1B908784-FC74-4481-A77E-5EDA6014AFE0}" presName="rootConnector" presStyleLbl="node3" presStyleIdx="0" presStyleCnt="1"/>
      <dgm:spPr/>
    </dgm:pt>
    <dgm:pt modelId="{EFA2DE85-4FF9-42FB-ABA1-DE857DD2E1A1}" type="pres">
      <dgm:prSet presAssocID="{1B908784-FC74-4481-A77E-5EDA6014AFE0}" presName="hierChild4" presStyleCnt="0"/>
      <dgm:spPr/>
    </dgm:pt>
    <dgm:pt modelId="{58A6AD26-385B-4A9F-96C9-DC24F6C22777}" type="pres">
      <dgm:prSet presAssocID="{9B20FB7E-D58B-4131-ADAE-A39FA0D9AB80}" presName="Name64" presStyleLbl="parChTrans1D4" presStyleIdx="0" presStyleCnt="4"/>
      <dgm:spPr/>
    </dgm:pt>
    <dgm:pt modelId="{209533AC-2267-4D26-968C-6092B73ED294}" type="pres">
      <dgm:prSet presAssocID="{B1A618E1-BD4B-4DB0-BD07-32C1761E957A}" presName="hierRoot2" presStyleCnt="0">
        <dgm:presLayoutVars>
          <dgm:hierBranch val="init"/>
        </dgm:presLayoutVars>
      </dgm:prSet>
      <dgm:spPr/>
    </dgm:pt>
    <dgm:pt modelId="{3E797417-4BD2-482F-ADBF-04860F48120C}" type="pres">
      <dgm:prSet presAssocID="{B1A618E1-BD4B-4DB0-BD07-32C1761E957A}" presName="rootComposite" presStyleCnt="0"/>
      <dgm:spPr/>
    </dgm:pt>
    <dgm:pt modelId="{301D659B-85EA-4293-9703-7CF032CA435B}" type="pres">
      <dgm:prSet presAssocID="{B1A618E1-BD4B-4DB0-BD07-32C1761E957A}" presName="rootText" presStyleLbl="node4" presStyleIdx="0" presStyleCnt="4">
        <dgm:presLayoutVars>
          <dgm:chPref val="3"/>
        </dgm:presLayoutVars>
      </dgm:prSet>
      <dgm:spPr/>
    </dgm:pt>
    <dgm:pt modelId="{3F15F3D3-B0D6-4B0A-AE48-A9CEABDE9E1F}" type="pres">
      <dgm:prSet presAssocID="{B1A618E1-BD4B-4DB0-BD07-32C1761E957A}" presName="rootConnector" presStyleLbl="node4" presStyleIdx="0" presStyleCnt="4"/>
      <dgm:spPr/>
    </dgm:pt>
    <dgm:pt modelId="{4D1A9074-1EF6-47D2-96E2-A7377E7D20FE}" type="pres">
      <dgm:prSet presAssocID="{B1A618E1-BD4B-4DB0-BD07-32C1761E957A}" presName="hierChild4" presStyleCnt="0"/>
      <dgm:spPr/>
    </dgm:pt>
    <dgm:pt modelId="{08AE19EA-342B-4EB4-B249-7997889C0A5A}" type="pres">
      <dgm:prSet presAssocID="{B1A618E1-BD4B-4DB0-BD07-32C1761E957A}" presName="hierChild5" presStyleCnt="0"/>
      <dgm:spPr/>
    </dgm:pt>
    <dgm:pt modelId="{E3458A23-F3FB-47A5-8FD4-BA24E91B1A79}" type="pres">
      <dgm:prSet presAssocID="{56C8CC58-A0EB-431E-9F63-36D547F62804}" presName="Name64" presStyleLbl="parChTrans1D4" presStyleIdx="1" presStyleCnt="4"/>
      <dgm:spPr/>
    </dgm:pt>
    <dgm:pt modelId="{69A97CED-AB68-4FEE-BD66-58C984477BAF}" type="pres">
      <dgm:prSet presAssocID="{781C072A-4786-4D09-8740-FBA5BAD2D41A}" presName="hierRoot2" presStyleCnt="0">
        <dgm:presLayoutVars>
          <dgm:hierBranch val="init"/>
        </dgm:presLayoutVars>
      </dgm:prSet>
      <dgm:spPr/>
    </dgm:pt>
    <dgm:pt modelId="{D9195985-85E7-41A3-8317-A5663CB6E67F}" type="pres">
      <dgm:prSet presAssocID="{781C072A-4786-4D09-8740-FBA5BAD2D41A}" presName="rootComposite" presStyleCnt="0"/>
      <dgm:spPr/>
    </dgm:pt>
    <dgm:pt modelId="{94CC0DAE-9AE7-48E2-87FD-447466D11FAE}" type="pres">
      <dgm:prSet presAssocID="{781C072A-4786-4D09-8740-FBA5BAD2D41A}" presName="rootText" presStyleLbl="node4" presStyleIdx="1" presStyleCnt="4">
        <dgm:presLayoutVars>
          <dgm:chPref val="3"/>
        </dgm:presLayoutVars>
      </dgm:prSet>
      <dgm:spPr/>
    </dgm:pt>
    <dgm:pt modelId="{BAD45A2F-E5C5-452A-BE7F-2861CA63A794}" type="pres">
      <dgm:prSet presAssocID="{781C072A-4786-4D09-8740-FBA5BAD2D41A}" presName="rootConnector" presStyleLbl="node4" presStyleIdx="1" presStyleCnt="4"/>
      <dgm:spPr/>
    </dgm:pt>
    <dgm:pt modelId="{7C7F9C02-0A04-4D73-A184-21E7DA3D44C6}" type="pres">
      <dgm:prSet presAssocID="{781C072A-4786-4D09-8740-FBA5BAD2D41A}" presName="hierChild4" presStyleCnt="0"/>
      <dgm:spPr/>
    </dgm:pt>
    <dgm:pt modelId="{CF762A9D-87CC-401E-B5B5-15620E70CB39}" type="pres">
      <dgm:prSet presAssocID="{DA3D31F2-0355-483D-9146-5E0E6580276D}" presName="Name64" presStyleLbl="parChTrans1D4" presStyleIdx="2" presStyleCnt="4"/>
      <dgm:spPr/>
    </dgm:pt>
    <dgm:pt modelId="{53AB679A-5A02-4E3D-997F-2D2907B8CABE}" type="pres">
      <dgm:prSet presAssocID="{80A515FB-8984-47E0-AF34-44DC288C6868}" presName="hierRoot2" presStyleCnt="0">
        <dgm:presLayoutVars>
          <dgm:hierBranch val="init"/>
        </dgm:presLayoutVars>
      </dgm:prSet>
      <dgm:spPr/>
    </dgm:pt>
    <dgm:pt modelId="{20CA00D9-7928-493A-A1E6-0B432314EE65}" type="pres">
      <dgm:prSet presAssocID="{80A515FB-8984-47E0-AF34-44DC288C6868}" presName="rootComposite" presStyleCnt="0"/>
      <dgm:spPr/>
    </dgm:pt>
    <dgm:pt modelId="{EDB719DC-0239-4366-84EE-0CDB83F0E908}" type="pres">
      <dgm:prSet presAssocID="{80A515FB-8984-47E0-AF34-44DC288C6868}" presName="rootText" presStyleLbl="node4" presStyleIdx="2" presStyleCnt="4" custLinFactNeighborY="-77053">
        <dgm:presLayoutVars>
          <dgm:chPref val="3"/>
        </dgm:presLayoutVars>
      </dgm:prSet>
      <dgm:spPr/>
    </dgm:pt>
    <dgm:pt modelId="{2BDEFD52-DE94-42C1-B2E0-A4A38D1A947B}" type="pres">
      <dgm:prSet presAssocID="{80A515FB-8984-47E0-AF34-44DC288C6868}" presName="rootConnector" presStyleLbl="node4" presStyleIdx="2" presStyleCnt="4"/>
      <dgm:spPr/>
    </dgm:pt>
    <dgm:pt modelId="{625F2B85-C076-42F2-9421-99C94A452C8B}" type="pres">
      <dgm:prSet presAssocID="{80A515FB-8984-47E0-AF34-44DC288C6868}" presName="hierChild4" presStyleCnt="0"/>
      <dgm:spPr/>
    </dgm:pt>
    <dgm:pt modelId="{025ACD8C-4A11-404D-99A0-92D8ACAF1383}" type="pres">
      <dgm:prSet presAssocID="{059C75FB-1DC6-430A-92A9-E4379C9BE08A}" presName="Name64" presStyleLbl="parChTrans1D4" presStyleIdx="3" presStyleCnt="4"/>
      <dgm:spPr/>
    </dgm:pt>
    <dgm:pt modelId="{108DCF74-4B89-4251-910F-91D7DC89B632}" type="pres">
      <dgm:prSet presAssocID="{59A5F9FB-BEAE-4B74-ADC5-80203EA628E5}" presName="hierRoot2" presStyleCnt="0">
        <dgm:presLayoutVars>
          <dgm:hierBranch val="init"/>
        </dgm:presLayoutVars>
      </dgm:prSet>
      <dgm:spPr/>
    </dgm:pt>
    <dgm:pt modelId="{40708631-E1F6-430F-A550-4A72DAC22A3B}" type="pres">
      <dgm:prSet presAssocID="{59A5F9FB-BEAE-4B74-ADC5-80203EA628E5}" presName="rootComposite" presStyleCnt="0"/>
      <dgm:spPr/>
    </dgm:pt>
    <dgm:pt modelId="{7CA0D2EC-7E81-4C30-829C-497439A68A07}" type="pres">
      <dgm:prSet presAssocID="{59A5F9FB-BEAE-4B74-ADC5-80203EA628E5}" presName="rootText" presStyleLbl="node4" presStyleIdx="3" presStyleCnt="4" custLinFactNeighborY="-77053">
        <dgm:presLayoutVars>
          <dgm:chPref val="3"/>
        </dgm:presLayoutVars>
      </dgm:prSet>
      <dgm:spPr/>
    </dgm:pt>
    <dgm:pt modelId="{ACFB1A1C-1B69-4F5A-AD90-40F0CFF9EDC0}" type="pres">
      <dgm:prSet presAssocID="{59A5F9FB-BEAE-4B74-ADC5-80203EA628E5}" presName="rootConnector" presStyleLbl="node4" presStyleIdx="3" presStyleCnt="4"/>
      <dgm:spPr/>
    </dgm:pt>
    <dgm:pt modelId="{36DF2416-1C9E-4255-B443-5BA5C5525036}" type="pres">
      <dgm:prSet presAssocID="{59A5F9FB-BEAE-4B74-ADC5-80203EA628E5}" presName="hierChild4" presStyleCnt="0"/>
      <dgm:spPr/>
    </dgm:pt>
    <dgm:pt modelId="{DA7BBE68-C02F-4B45-9403-98FCCE980D0A}" type="pres">
      <dgm:prSet presAssocID="{59A5F9FB-BEAE-4B74-ADC5-80203EA628E5}" presName="hierChild5" presStyleCnt="0"/>
      <dgm:spPr/>
    </dgm:pt>
    <dgm:pt modelId="{C2E9A698-8237-4B0E-9336-562FFD3C7176}" type="pres">
      <dgm:prSet presAssocID="{80A515FB-8984-47E0-AF34-44DC288C6868}" presName="hierChild5" presStyleCnt="0"/>
      <dgm:spPr/>
    </dgm:pt>
    <dgm:pt modelId="{8AF42EE6-3AB1-4C8C-B603-8BBB09FE0D52}" type="pres">
      <dgm:prSet presAssocID="{781C072A-4786-4D09-8740-FBA5BAD2D41A}" presName="hierChild5" presStyleCnt="0"/>
      <dgm:spPr/>
    </dgm:pt>
    <dgm:pt modelId="{350CFCF7-C98B-4FC5-9ABF-15455579F3E9}" type="pres">
      <dgm:prSet presAssocID="{1B908784-FC74-4481-A77E-5EDA6014AFE0}" presName="hierChild5" presStyleCnt="0"/>
      <dgm:spPr/>
    </dgm:pt>
    <dgm:pt modelId="{E0478FB7-D2CD-4851-A4F7-54D7C0CBF1BF}" type="pres">
      <dgm:prSet presAssocID="{5D49B0EA-FBD9-488B-86A0-0AF02F6279CC}" presName="hierChild5" presStyleCnt="0"/>
      <dgm:spPr/>
    </dgm:pt>
    <dgm:pt modelId="{B5D95CD2-ADB6-411B-8C30-33C6E893F0B2}" type="pres">
      <dgm:prSet presAssocID="{03012586-F57C-4AB6-B5D5-4ABC23BD2576}" presName="hierChild3" presStyleCnt="0"/>
      <dgm:spPr/>
    </dgm:pt>
  </dgm:ptLst>
  <dgm:cxnLst>
    <dgm:cxn modelId="{EAA90189-0B34-49AA-B371-152A74E18560}" type="presOf" srcId="{DA3D31F2-0355-483D-9146-5E0E6580276D}" destId="{CF762A9D-87CC-401E-B5B5-15620E70CB39}" srcOrd="0" destOrd="0" presId="urn:microsoft.com/office/officeart/2009/3/layout/HorizontalOrganizationChart"/>
    <dgm:cxn modelId="{6CC2052A-707D-4C9F-B310-4C33A8A5E932}" type="presOf" srcId="{03012586-F57C-4AB6-B5D5-4ABC23BD2576}" destId="{D9B24DD5-F573-47EF-B6E2-FB051A5DB699}" srcOrd="1" destOrd="0" presId="urn:microsoft.com/office/officeart/2009/3/layout/HorizontalOrganizationChart"/>
    <dgm:cxn modelId="{8EC20887-EF53-42CD-9B2B-E00DF4B75577}" type="presOf" srcId="{1B908784-FC74-4481-A77E-5EDA6014AFE0}" destId="{FB84A448-15E1-4ED6-9ACC-8BCC5C269AB9}" srcOrd="0" destOrd="0" presId="urn:microsoft.com/office/officeart/2009/3/layout/HorizontalOrganizationChart"/>
    <dgm:cxn modelId="{E68862D3-1120-4AB8-9AD0-2F834B5D657B}" srcId="{5D49B0EA-FBD9-488B-86A0-0AF02F6279CC}" destId="{1B908784-FC74-4481-A77E-5EDA6014AFE0}" srcOrd="0" destOrd="0" parTransId="{AF5E49AA-CB33-4F76-816B-E73B6CEF72B0}" sibTransId="{B481CFA5-F188-4E51-A748-C7D78CB22DD5}"/>
    <dgm:cxn modelId="{EFF455CB-FD0D-4DD6-816C-060C4CB2EEC1}" type="presOf" srcId="{ED494B14-7240-4A25-9C00-FFF4DDA2C93A}" destId="{2FC9D762-F27B-4623-BBD5-75B09E228255}" srcOrd="0" destOrd="0" presId="urn:microsoft.com/office/officeart/2009/3/layout/HorizontalOrganizationChart"/>
    <dgm:cxn modelId="{864CD461-24D8-4564-A69F-A8CA946AF0EB}" type="presOf" srcId="{59A5F9FB-BEAE-4B74-ADC5-80203EA628E5}" destId="{ACFB1A1C-1B69-4F5A-AD90-40F0CFF9EDC0}" srcOrd="1" destOrd="0" presId="urn:microsoft.com/office/officeart/2009/3/layout/HorizontalOrganizationChart"/>
    <dgm:cxn modelId="{39D13744-9002-4F41-B1FE-DF71271AF150}" type="presOf" srcId="{B1A618E1-BD4B-4DB0-BD07-32C1761E957A}" destId="{3F15F3D3-B0D6-4B0A-AE48-A9CEABDE9E1F}" srcOrd="1" destOrd="0" presId="urn:microsoft.com/office/officeart/2009/3/layout/HorizontalOrganizationChart"/>
    <dgm:cxn modelId="{99C841B9-D52D-45F8-B8EA-BA5FAE77FF55}" type="presOf" srcId="{80A515FB-8984-47E0-AF34-44DC288C6868}" destId="{2BDEFD52-DE94-42C1-B2E0-A4A38D1A947B}" srcOrd="1" destOrd="0" presId="urn:microsoft.com/office/officeart/2009/3/layout/HorizontalOrganizationChart"/>
    <dgm:cxn modelId="{B8384D1C-CD9A-4DC7-A805-81A2F025AD42}" srcId="{1B908784-FC74-4481-A77E-5EDA6014AFE0}" destId="{781C072A-4786-4D09-8740-FBA5BAD2D41A}" srcOrd="1" destOrd="0" parTransId="{56C8CC58-A0EB-431E-9F63-36D547F62804}" sibTransId="{356AD9E2-81AF-4BE4-9DAD-176B0AF3A2F9}"/>
    <dgm:cxn modelId="{3DEFBE3E-2872-44C2-B930-21F7919FDA2D}" srcId="{80A515FB-8984-47E0-AF34-44DC288C6868}" destId="{59A5F9FB-BEAE-4B74-ADC5-80203EA628E5}" srcOrd="0" destOrd="0" parTransId="{059C75FB-1DC6-430A-92A9-E4379C9BE08A}" sibTransId="{508A4F70-2CB3-43DA-B852-94217CFC7F32}"/>
    <dgm:cxn modelId="{8EF92609-6772-452D-9BB1-688B7BF80D16}" type="presOf" srcId="{9B20FB7E-D58B-4131-ADAE-A39FA0D9AB80}" destId="{58A6AD26-385B-4A9F-96C9-DC24F6C22777}" srcOrd="0" destOrd="0" presId="urn:microsoft.com/office/officeart/2009/3/layout/HorizontalOrganizationChart"/>
    <dgm:cxn modelId="{AC480E15-727C-4501-BB30-2A9F9C1BBDD9}" type="presOf" srcId="{B1A618E1-BD4B-4DB0-BD07-32C1761E957A}" destId="{301D659B-85EA-4293-9703-7CF032CA435B}" srcOrd="0" destOrd="0" presId="urn:microsoft.com/office/officeart/2009/3/layout/HorizontalOrganizationChart"/>
    <dgm:cxn modelId="{6789D8B7-8AB8-4BF7-B723-4E8412B4027B}" type="presOf" srcId="{AF5E49AA-CB33-4F76-816B-E73B6CEF72B0}" destId="{C99DE926-633B-4BF6-B8E9-B0B2D0DFE0A5}" srcOrd="0" destOrd="0" presId="urn:microsoft.com/office/officeart/2009/3/layout/HorizontalOrganizationChart"/>
    <dgm:cxn modelId="{5417DF80-37C7-4DDF-A216-F74BACFADA77}" type="presOf" srcId="{2EFE51B1-44B9-429C-A74D-928011AB93BD}" destId="{C36DB179-6109-4D63-A899-8F61A246D920}" srcOrd="0" destOrd="0" presId="urn:microsoft.com/office/officeart/2009/3/layout/HorizontalOrganizationChart"/>
    <dgm:cxn modelId="{F156CDE2-095B-42FF-9ABA-47E699A017B2}" type="presOf" srcId="{59A5F9FB-BEAE-4B74-ADC5-80203EA628E5}" destId="{7CA0D2EC-7E81-4C30-829C-497439A68A07}" srcOrd="0" destOrd="0" presId="urn:microsoft.com/office/officeart/2009/3/layout/HorizontalOrganizationChart"/>
    <dgm:cxn modelId="{F8B90EE7-A392-4059-95FC-D39C10A1D826}" type="presOf" srcId="{03012586-F57C-4AB6-B5D5-4ABC23BD2576}" destId="{EB18A394-FE2F-4C14-ABD9-3A564D5A0731}" srcOrd="0" destOrd="0" presId="urn:microsoft.com/office/officeart/2009/3/layout/HorizontalOrganizationChart"/>
    <dgm:cxn modelId="{BFF6521F-C2F3-4853-ADF2-2866951279D2}" srcId="{2EFE51B1-44B9-429C-A74D-928011AB93BD}" destId="{03012586-F57C-4AB6-B5D5-4ABC23BD2576}" srcOrd="0" destOrd="0" parTransId="{74A4DFF5-8AF7-4DD9-AD1A-247F825208C8}" sibTransId="{FBE93F0D-BB74-4534-8A91-FD921E2D133B}"/>
    <dgm:cxn modelId="{507CDDBA-8F7A-4211-A6D0-24B109395E78}" type="presOf" srcId="{781C072A-4786-4D09-8740-FBA5BAD2D41A}" destId="{94CC0DAE-9AE7-48E2-87FD-447466D11FAE}" srcOrd="0" destOrd="0" presId="urn:microsoft.com/office/officeart/2009/3/layout/HorizontalOrganizationChart"/>
    <dgm:cxn modelId="{AB88FBB7-DC71-4597-926D-034C494EE7D5}" type="presOf" srcId="{781C072A-4786-4D09-8740-FBA5BAD2D41A}" destId="{BAD45A2F-E5C5-452A-BE7F-2861CA63A794}" srcOrd="1" destOrd="0" presId="urn:microsoft.com/office/officeart/2009/3/layout/HorizontalOrganizationChart"/>
    <dgm:cxn modelId="{E229C6DE-23D5-4DCB-8DD6-08695AC6BF1A}" type="presOf" srcId="{059C75FB-1DC6-430A-92A9-E4379C9BE08A}" destId="{025ACD8C-4A11-404D-99A0-92D8ACAF1383}" srcOrd="0" destOrd="0" presId="urn:microsoft.com/office/officeart/2009/3/layout/HorizontalOrganizationChart"/>
    <dgm:cxn modelId="{B6291E0C-9A58-4722-8D65-9B9B7A3C17D7}" type="presOf" srcId="{5D49B0EA-FBD9-488B-86A0-0AF02F6279CC}" destId="{B11D925C-B41C-4DB4-A260-B7FA9D53BC8E}" srcOrd="1" destOrd="0" presId="urn:microsoft.com/office/officeart/2009/3/layout/HorizontalOrganizationChart"/>
    <dgm:cxn modelId="{A1AD6767-2F8B-4944-AC51-68A0E11E8D00}" srcId="{781C072A-4786-4D09-8740-FBA5BAD2D41A}" destId="{80A515FB-8984-47E0-AF34-44DC288C6868}" srcOrd="0" destOrd="0" parTransId="{DA3D31F2-0355-483D-9146-5E0E6580276D}" sibTransId="{88109551-87B8-4E4E-A0C5-B4A88B4CDC3F}"/>
    <dgm:cxn modelId="{4A54DC76-E9A1-45C2-A112-FF2AC2C8DAAF}" srcId="{03012586-F57C-4AB6-B5D5-4ABC23BD2576}" destId="{5D49B0EA-FBD9-488B-86A0-0AF02F6279CC}" srcOrd="0" destOrd="0" parTransId="{ED494B14-7240-4A25-9C00-FFF4DDA2C93A}" sibTransId="{396BDB86-3001-4685-946F-EEF2AD62922C}"/>
    <dgm:cxn modelId="{9D4CA74A-9242-4F83-A5D6-1E131963098B}" type="presOf" srcId="{1B908784-FC74-4481-A77E-5EDA6014AFE0}" destId="{4ADDA482-4F1A-4431-94B3-1AAABCC9E49A}" srcOrd="1" destOrd="0" presId="urn:microsoft.com/office/officeart/2009/3/layout/HorizontalOrganizationChart"/>
    <dgm:cxn modelId="{410E1FE3-5C8B-4FA5-9CF3-9B9FFCD57482}" type="presOf" srcId="{80A515FB-8984-47E0-AF34-44DC288C6868}" destId="{EDB719DC-0239-4366-84EE-0CDB83F0E908}" srcOrd="0" destOrd="0" presId="urn:microsoft.com/office/officeart/2009/3/layout/HorizontalOrganizationChart"/>
    <dgm:cxn modelId="{685B9594-A037-4261-8757-E8D0F12A6672}" srcId="{1B908784-FC74-4481-A77E-5EDA6014AFE0}" destId="{B1A618E1-BD4B-4DB0-BD07-32C1761E957A}" srcOrd="0" destOrd="0" parTransId="{9B20FB7E-D58B-4131-ADAE-A39FA0D9AB80}" sibTransId="{E329AB15-2CB6-46A2-86E6-C975BB41A4A3}"/>
    <dgm:cxn modelId="{232EADED-20BC-48D9-B7B1-BB6781BDC17C}" type="presOf" srcId="{56C8CC58-A0EB-431E-9F63-36D547F62804}" destId="{E3458A23-F3FB-47A5-8FD4-BA24E91B1A79}" srcOrd="0" destOrd="0" presId="urn:microsoft.com/office/officeart/2009/3/layout/HorizontalOrganizationChart"/>
    <dgm:cxn modelId="{D796214D-C37B-4EA0-B840-8063C3A882F2}" type="presOf" srcId="{5D49B0EA-FBD9-488B-86A0-0AF02F6279CC}" destId="{25EB2843-5819-46D2-B2C3-007D069E6393}" srcOrd="0" destOrd="0" presId="urn:microsoft.com/office/officeart/2009/3/layout/HorizontalOrganizationChart"/>
    <dgm:cxn modelId="{97E5FAB8-E0BA-443B-BD9C-EA2A19ED8E2F}" type="presParOf" srcId="{C36DB179-6109-4D63-A899-8F61A246D920}" destId="{DA647EA0-BAC4-4FE6-A560-14B919FB53A9}" srcOrd="0" destOrd="0" presId="urn:microsoft.com/office/officeart/2009/3/layout/HorizontalOrganizationChart"/>
    <dgm:cxn modelId="{4408F768-A932-46C7-82CE-0DA14518806F}" type="presParOf" srcId="{DA647EA0-BAC4-4FE6-A560-14B919FB53A9}" destId="{6FCAB67E-CCE8-4CDE-BA69-D5634A6E97B3}" srcOrd="0" destOrd="0" presId="urn:microsoft.com/office/officeart/2009/3/layout/HorizontalOrganizationChart"/>
    <dgm:cxn modelId="{7A6C5788-4DC6-4AD3-ACCF-5F31C25C4C0C}" type="presParOf" srcId="{6FCAB67E-CCE8-4CDE-BA69-D5634A6E97B3}" destId="{EB18A394-FE2F-4C14-ABD9-3A564D5A0731}" srcOrd="0" destOrd="0" presId="urn:microsoft.com/office/officeart/2009/3/layout/HorizontalOrganizationChart"/>
    <dgm:cxn modelId="{F08A619D-6863-43E9-AB3F-AEC104BBA86D}" type="presParOf" srcId="{6FCAB67E-CCE8-4CDE-BA69-D5634A6E97B3}" destId="{D9B24DD5-F573-47EF-B6E2-FB051A5DB699}" srcOrd="1" destOrd="0" presId="urn:microsoft.com/office/officeart/2009/3/layout/HorizontalOrganizationChart"/>
    <dgm:cxn modelId="{28D6538F-99DF-46B6-8713-D26950F88C3C}" type="presParOf" srcId="{DA647EA0-BAC4-4FE6-A560-14B919FB53A9}" destId="{CB4CEB29-B5C9-4781-9C69-EA1908EABF18}" srcOrd="1" destOrd="0" presId="urn:microsoft.com/office/officeart/2009/3/layout/HorizontalOrganizationChart"/>
    <dgm:cxn modelId="{809D12F6-C0AA-4107-91ED-1AE64078AFE2}" type="presParOf" srcId="{CB4CEB29-B5C9-4781-9C69-EA1908EABF18}" destId="{2FC9D762-F27B-4623-BBD5-75B09E228255}" srcOrd="0" destOrd="0" presId="urn:microsoft.com/office/officeart/2009/3/layout/HorizontalOrganizationChart"/>
    <dgm:cxn modelId="{97135AEA-A2E1-464E-A8B0-D14E73132646}" type="presParOf" srcId="{CB4CEB29-B5C9-4781-9C69-EA1908EABF18}" destId="{89656580-5EAC-4220-89A0-5A5A4BA9F834}" srcOrd="1" destOrd="0" presId="urn:microsoft.com/office/officeart/2009/3/layout/HorizontalOrganizationChart"/>
    <dgm:cxn modelId="{753C3EAE-E69D-4D76-A1C2-00AE080ADE7D}" type="presParOf" srcId="{89656580-5EAC-4220-89A0-5A5A4BA9F834}" destId="{518C34E9-2C3C-40CC-BEB9-933821F7FC28}" srcOrd="0" destOrd="0" presId="urn:microsoft.com/office/officeart/2009/3/layout/HorizontalOrganizationChart"/>
    <dgm:cxn modelId="{1D099E66-3B09-47F9-B9F2-64720D452AE6}" type="presParOf" srcId="{518C34E9-2C3C-40CC-BEB9-933821F7FC28}" destId="{25EB2843-5819-46D2-B2C3-007D069E6393}" srcOrd="0" destOrd="0" presId="urn:microsoft.com/office/officeart/2009/3/layout/HorizontalOrganizationChart"/>
    <dgm:cxn modelId="{6D58AA25-41EC-47AF-8C6D-15C144C6293A}" type="presParOf" srcId="{518C34E9-2C3C-40CC-BEB9-933821F7FC28}" destId="{B11D925C-B41C-4DB4-A260-B7FA9D53BC8E}" srcOrd="1" destOrd="0" presId="urn:microsoft.com/office/officeart/2009/3/layout/HorizontalOrganizationChart"/>
    <dgm:cxn modelId="{D562302F-5EC2-4840-8165-0B526A3ECA4D}" type="presParOf" srcId="{89656580-5EAC-4220-89A0-5A5A4BA9F834}" destId="{4CFEADBF-854F-4857-AD6B-DC57DF501C51}" srcOrd="1" destOrd="0" presId="urn:microsoft.com/office/officeart/2009/3/layout/HorizontalOrganizationChart"/>
    <dgm:cxn modelId="{002536D9-122E-4F9D-8C7F-332C9A275A32}" type="presParOf" srcId="{4CFEADBF-854F-4857-AD6B-DC57DF501C51}" destId="{C99DE926-633B-4BF6-B8E9-B0B2D0DFE0A5}" srcOrd="0" destOrd="0" presId="urn:microsoft.com/office/officeart/2009/3/layout/HorizontalOrganizationChart"/>
    <dgm:cxn modelId="{68890759-AAA9-4A26-9374-96146ECB4A27}" type="presParOf" srcId="{4CFEADBF-854F-4857-AD6B-DC57DF501C51}" destId="{4F1B3484-2FBA-4F30-AB1A-9440041B4265}" srcOrd="1" destOrd="0" presId="urn:microsoft.com/office/officeart/2009/3/layout/HorizontalOrganizationChart"/>
    <dgm:cxn modelId="{99FE8923-FD5E-460E-8954-F774698E99DF}" type="presParOf" srcId="{4F1B3484-2FBA-4F30-AB1A-9440041B4265}" destId="{03A101F5-2BF0-4C51-A645-80692BF53175}" srcOrd="0" destOrd="0" presId="urn:microsoft.com/office/officeart/2009/3/layout/HorizontalOrganizationChart"/>
    <dgm:cxn modelId="{ABFBEDA5-6477-4E89-8A55-31D04A6FF566}" type="presParOf" srcId="{03A101F5-2BF0-4C51-A645-80692BF53175}" destId="{FB84A448-15E1-4ED6-9ACC-8BCC5C269AB9}" srcOrd="0" destOrd="0" presId="urn:microsoft.com/office/officeart/2009/3/layout/HorizontalOrganizationChart"/>
    <dgm:cxn modelId="{2A2CA0D0-2691-4915-83A0-709D0CD8AFD2}" type="presParOf" srcId="{03A101F5-2BF0-4C51-A645-80692BF53175}" destId="{4ADDA482-4F1A-4431-94B3-1AAABCC9E49A}" srcOrd="1" destOrd="0" presId="urn:microsoft.com/office/officeart/2009/3/layout/HorizontalOrganizationChart"/>
    <dgm:cxn modelId="{E0B8AC3F-96D1-49ED-B0B1-239A7D7AF988}" type="presParOf" srcId="{4F1B3484-2FBA-4F30-AB1A-9440041B4265}" destId="{EFA2DE85-4FF9-42FB-ABA1-DE857DD2E1A1}" srcOrd="1" destOrd="0" presId="urn:microsoft.com/office/officeart/2009/3/layout/HorizontalOrganizationChart"/>
    <dgm:cxn modelId="{8CE99591-7407-44C5-8011-A81A53F809AD}" type="presParOf" srcId="{EFA2DE85-4FF9-42FB-ABA1-DE857DD2E1A1}" destId="{58A6AD26-385B-4A9F-96C9-DC24F6C22777}" srcOrd="0" destOrd="0" presId="urn:microsoft.com/office/officeart/2009/3/layout/HorizontalOrganizationChart"/>
    <dgm:cxn modelId="{75CDBB75-85DF-408C-9CE7-16AE5EF1DD9C}" type="presParOf" srcId="{EFA2DE85-4FF9-42FB-ABA1-DE857DD2E1A1}" destId="{209533AC-2267-4D26-968C-6092B73ED294}" srcOrd="1" destOrd="0" presId="urn:microsoft.com/office/officeart/2009/3/layout/HorizontalOrganizationChart"/>
    <dgm:cxn modelId="{2A6D627A-F239-4CE3-87CF-302FBEFF071B}" type="presParOf" srcId="{209533AC-2267-4D26-968C-6092B73ED294}" destId="{3E797417-4BD2-482F-ADBF-04860F48120C}" srcOrd="0" destOrd="0" presId="urn:microsoft.com/office/officeart/2009/3/layout/HorizontalOrganizationChart"/>
    <dgm:cxn modelId="{D71863D8-DCCF-4736-8CB0-BC55843C68AE}" type="presParOf" srcId="{3E797417-4BD2-482F-ADBF-04860F48120C}" destId="{301D659B-85EA-4293-9703-7CF032CA435B}" srcOrd="0" destOrd="0" presId="urn:microsoft.com/office/officeart/2009/3/layout/HorizontalOrganizationChart"/>
    <dgm:cxn modelId="{B92F42E4-E7D9-436F-8AB9-BE7E6FBBFBE6}" type="presParOf" srcId="{3E797417-4BD2-482F-ADBF-04860F48120C}" destId="{3F15F3D3-B0D6-4B0A-AE48-A9CEABDE9E1F}" srcOrd="1" destOrd="0" presId="urn:microsoft.com/office/officeart/2009/3/layout/HorizontalOrganizationChart"/>
    <dgm:cxn modelId="{AC1F9517-849D-43BB-B5CB-A11CCB854A53}" type="presParOf" srcId="{209533AC-2267-4D26-968C-6092B73ED294}" destId="{4D1A9074-1EF6-47D2-96E2-A7377E7D20FE}" srcOrd="1" destOrd="0" presId="urn:microsoft.com/office/officeart/2009/3/layout/HorizontalOrganizationChart"/>
    <dgm:cxn modelId="{3A7D8BC9-5467-4F72-87E6-FE28AE12D82B}" type="presParOf" srcId="{209533AC-2267-4D26-968C-6092B73ED294}" destId="{08AE19EA-342B-4EB4-B249-7997889C0A5A}" srcOrd="2" destOrd="0" presId="urn:microsoft.com/office/officeart/2009/3/layout/HorizontalOrganizationChart"/>
    <dgm:cxn modelId="{2D7F062F-F4F4-46DA-AF61-E55FD4511D7B}" type="presParOf" srcId="{EFA2DE85-4FF9-42FB-ABA1-DE857DD2E1A1}" destId="{E3458A23-F3FB-47A5-8FD4-BA24E91B1A79}" srcOrd="2" destOrd="0" presId="urn:microsoft.com/office/officeart/2009/3/layout/HorizontalOrganizationChart"/>
    <dgm:cxn modelId="{E3093AAF-B945-49FD-AB10-0C6BAAF6F401}" type="presParOf" srcId="{EFA2DE85-4FF9-42FB-ABA1-DE857DD2E1A1}" destId="{69A97CED-AB68-4FEE-BD66-58C984477BAF}" srcOrd="3" destOrd="0" presId="urn:microsoft.com/office/officeart/2009/3/layout/HorizontalOrganizationChart"/>
    <dgm:cxn modelId="{211F80C9-F4E2-41E9-B410-7020C0ED9A2A}" type="presParOf" srcId="{69A97CED-AB68-4FEE-BD66-58C984477BAF}" destId="{D9195985-85E7-41A3-8317-A5663CB6E67F}" srcOrd="0" destOrd="0" presId="urn:microsoft.com/office/officeart/2009/3/layout/HorizontalOrganizationChart"/>
    <dgm:cxn modelId="{FE9EB608-D0B8-424C-913A-2E7CDC8AE635}" type="presParOf" srcId="{D9195985-85E7-41A3-8317-A5663CB6E67F}" destId="{94CC0DAE-9AE7-48E2-87FD-447466D11FAE}" srcOrd="0" destOrd="0" presId="urn:microsoft.com/office/officeart/2009/3/layout/HorizontalOrganizationChart"/>
    <dgm:cxn modelId="{3BA0A0E1-87FC-44C7-A080-6EAD0BECE2B0}" type="presParOf" srcId="{D9195985-85E7-41A3-8317-A5663CB6E67F}" destId="{BAD45A2F-E5C5-452A-BE7F-2861CA63A794}" srcOrd="1" destOrd="0" presId="urn:microsoft.com/office/officeart/2009/3/layout/HorizontalOrganizationChart"/>
    <dgm:cxn modelId="{68FAC4ED-2CAD-484A-88F7-61786832BD79}" type="presParOf" srcId="{69A97CED-AB68-4FEE-BD66-58C984477BAF}" destId="{7C7F9C02-0A04-4D73-A184-21E7DA3D44C6}" srcOrd="1" destOrd="0" presId="urn:microsoft.com/office/officeart/2009/3/layout/HorizontalOrganizationChart"/>
    <dgm:cxn modelId="{5ED217B8-0484-4B21-9D2F-2265F53A89B9}" type="presParOf" srcId="{7C7F9C02-0A04-4D73-A184-21E7DA3D44C6}" destId="{CF762A9D-87CC-401E-B5B5-15620E70CB39}" srcOrd="0" destOrd="0" presId="urn:microsoft.com/office/officeart/2009/3/layout/HorizontalOrganizationChart"/>
    <dgm:cxn modelId="{7225D601-24AD-4121-A545-92CEC930AC4A}" type="presParOf" srcId="{7C7F9C02-0A04-4D73-A184-21E7DA3D44C6}" destId="{53AB679A-5A02-4E3D-997F-2D2907B8CABE}" srcOrd="1" destOrd="0" presId="urn:microsoft.com/office/officeart/2009/3/layout/HorizontalOrganizationChart"/>
    <dgm:cxn modelId="{89290693-34C0-4DBE-93BB-ECAF02AA870E}" type="presParOf" srcId="{53AB679A-5A02-4E3D-997F-2D2907B8CABE}" destId="{20CA00D9-7928-493A-A1E6-0B432314EE65}" srcOrd="0" destOrd="0" presId="urn:microsoft.com/office/officeart/2009/3/layout/HorizontalOrganizationChart"/>
    <dgm:cxn modelId="{1751FCC4-11F9-42F6-A9A6-52C431B652C9}" type="presParOf" srcId="{20CA00D9-7928-493A-A1E6-0B432314EE65}" destId="{EDB719DC-0239-4366-84EE-0CDB83F0E908}" srcOrd="0" destOrd="0" presId="urn:microsoft.com/office/officeart/2009/3/layout/HorizontalOrganizationChart"/>
    <dgm:cxn modelId="{19E4E28A-6E22-47F7-BC92-711AFB99F4A6}" type="presParOf" srcId="{20CA00D9-7928-493A-A1E6-0B432314EE65}" destId="{2BDEFD52-DE94-42C1-B2E0-A4A38D1A947B}" srcOrd="1" destOrd="0" presId="urn:microsoft.com/office/officeart/2009/3/layout/HorizontalOrganizationChart"/>
    <dgm:cxn modelId="{9696F011-8152-4B69-BB31-413E20885AB6}" type="presParOf" srcId="{53AB679A-5A02-4E3D-997F-2D2907B8CABE}" destId="{625F2B85-C076-42F2-9421-99C94A452C8B}" srcOrd="1" destOrd="0" presId="urn:microsoft.com/office/officeart/2009/3/layout/HorizontalOrganizationChart"/>
    <dgm:cxn modelId="{C770FE19-5779-4018-8070-C8A159C4A388}" type="presParOf" srcId="{625F2B85-C076-42F2-9421-99C94A452C8B}" destId="{025ACD8C-4A11-404D-99A0-92D8ACAF1383}" srcOrd="0" destOrd="0" presId="urn:microsoft.com/office/officeart/2009/3/layout/HorizontalOrganizationChart"/>
    <dgm:cxn modelId="{661DBBC0-4DB1-41C3-9815-E155AE1D2498}" type="presParOf" srcId="{625F2B85-C076-42F2-9421-99C94A452C8B}" destId="{108DCF74-4B89-4251-910F-91D7DC89B632}" srcOrd="1" destOrd="0" presId="urn:microsoft.com/office/officeart/2009/3/layout/HorizontalOrganizationChart"/>
    <dgm:cxn modelId="{283A0CFF-38B7-483A-BBCD-DFCD73641FBB}" type="presParOf" srcId="{108DCF74-4B89-4251-910F-91D7DC89B632}" destId="{40708631-E1F6-430F-A550-4A72DAC22A3B}" srcOrd="0" destOrd="0" presId="urn:microsoft.com/office/officeart/2009/3/layout/HorizontalOrganizationChart"/>
    <dgm:cxn modelId="{86848BDD-688E-4689-A14D-227A359791E7}" type="presParOf" srcId="{40708631-E1F6-430F-A550-4A72DAC22A3B}" destId="{7CA0D2EC-7E81-4C30-829C-497439A68A07}" srcOrd="0" destOrd="0" presId="urn:microsoft.com/office/officeart/2009/3/layout/HorizontalOrganizationChart"/>
    <dgm:cxn modelId="{F46C8523-4E06-47C3-BCE1-2C61D3BD003C}" type="presParOf" srcId="{40708631-E1F6-430F-A550-4A72DAC22A3B}" destId="{ACFB1A1C-1B69-4F5A-AD90-40F0CFF9EDC0}" srcOrd="1" destOrd="0" presId="urn:microsoft.com/office/officeart/2009/3/layout/HorizontalOrganizationChart"/>
    <dgm:cxn modelId="{E6878578-F23D-48F4-9AF3-E1D659846543}" type="presParOf" srcId="{108DCF74-4B89-4251-910F-91D7DC89B632}" destId="{36DF2416-1C9E-4255-B443-5BA5C5525036}" srcOrd="1" destOrd="0" presId="urn:microsoft.com/office/officeart/2009/3/layout/HorizontalOrganizationChart"/>
    <dgm:cxn modelId="{0A7D23E0-94FF-4561-B82A-5C4F22FF9B85}" type="presParOf" srcId="{108DCF74-4B89-4251-910F-91D7DC89B632}" destId="{DA7BBE68-C02F-4B45-9403-98FCCE980D0A}" srcOrd="2" destOrd="0" presId="urn:microsoft.com/office/officeart/2009/3/layout/HorizontalOrganizationChart"/>
    <dgm:cxn modelId="{6894E712-3314-4D94-A018-3B432CDFEF17}" type="presParOf" srcId="{53AB679A-5A02-4E3D-997F-2D2907B8CABE}" destId="{C2E9A698-8237-4B0E-9336-562FFD3C7176}" srcOrd="2" destOrd="0" presId="urn:microsoft.com/office/officeart/2009/3/layout/HorizontalOrganizationChart"/>
    <dgm:cxn modelId="{3844B765-0A1B-4E5E-9376-894EA3281A9D}" type="presParOf" srcId="{69A97CED-AB68-4FEE-BD66-58C984477BAF}" destId="{8AF42EE6-3AB1-4C8C-B603-8BBB09FE0D52}" srcOrd="2" destOrd="0" presId="urn:microsoft.com/office/officeart/2009/3/layout/HorizontalOrganizationChart"/>
    <dgm:cxn modelId="{23DED917-E2FB-4239-93A9-D6638AC0B912}" type="presParOf" srcId="{4F1B3484-2FBA-4F30-AB1A-9440041B4265}" destId="{350CFCF7-C98B-4FC5-9ABF-15455579F3E9}" srcOrd="2" destOrd="0" presId="urn:microsoft.com/office/officeart/2009/3/layout/HorizontalOrganizationChart"/>
    <dgm:cxn modelId="{C1DA611C-0CA6-497C-9701-514CF496712B}" type="presParOf" srcId="{89656580-5EAC-4220-89A0-5A5A4BA9F834}" destId="{E0478FB7-D2CD-4851-A4F7-54D7C0CBF1BF}" srcOrd="2" destOrd="0" presId="urn:microsoft.com/office/officeart/2009/3/layout/HorizontalOrganizationChart"/>
    <dgm:cxn modelId="{C1BC15F1-946B-438A-8F69-7B5ED64BAC47}" type="presParOf" srcId="{DA647EA0-BAC4-4FE6-A560-14B919FB53A9}" destId="{B5D95CD2-ADB6-411B-8C30-33C6E893F0B2}" srcOrd="2" destOrd="0" presId="urn:microsoft.com/office/officeart/2009/3/layout/HorizontalOrganizationChar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25ACD8C-4A11-404D-99A0-92D8ACAF1383}">
      <dsp:nvSpPr>
        <dsp:cNvPr id="0" name=""/>
        <dsp:cNvSpPr/>
      </dsp:nvSpPr>
      <dsp:spPr>
        <a:xfrm>
          <a:off x="4545434" y="370399"/>
          <a:ext cx="156716" cy="91440"/>
        </a:xfrm>
        <a:custGeom>
          <a:avLst/>
          <a:gdLst/>
          <a:ahLst/>
          <a:cxnLst/>
          <a:rect l="0" t="0" r="0" b="0"/>
          <a:pathLst>
            <a:path>
              <a:moveTo>
                <a:pt x="0" y="45720"/>
              </a:moveTo>
              <a:lnTo>
                <a:pt x="156716"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F762A9D-87CC-401E-B5B5-15620E70CB39}">
      <dsp:nvSpPr>
        <dsp:cNvPr id="0" name=""/>
        <dsp:cNvSpPr/>
      </dsp:nvSpPr>
      <dsp:spPr>
        <a:xfrm>
          <a:off x="3605138" y="416119"/>
          <a:ext cx="156716" cy="184150"/>
        </a:xfrm>
        <a:custGeom>
          <a:avLst/>
          <a:gdLst/>
          <a:ahLst/>
          <a:cxnLst/>
          <a:rect l="0" t="0" r="0" b="0"/>
          <a:pathLst>
            <a:path>
              <a:moveTo>
                <a:pt x="0" y="184150"/>
              </a:moveTo>
              <a:lnTo>
                <a:pt x="78358" y="184150"/>
              </a:lnTo>
              <a:lnTo>
                <a:pt x="78358" y="0"/>
              </a:lnTo>
              <a:lnTo>
                <a:pt x="156716"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3458A23-F3FB-47A5-8FD4-BA24E91B1A79}">
      <dsp:nvSpPr>
        <dsp:cNvPr id="0" name=""/>
        <dsp:cNvSpPr/>
      </dsp:nvSpPr>
      <dsp:spPr>
        <a:xfrm>
          <a:off x="2664841" y="431800"/>
          <a:ext cx="156716" cy="168469"/>
        </a:xfrm>
        <a:custGeom>
          <a:avLst/>
          <a:gdLst/>
          <a:ahLst/>
          <a:cxnLst/>
          <a:rect l="0" t="0" r="0" b="0"/>
          <a:pathLst>
            <a:path>
              <a:moveTo>
                <a:pt x="0" y="0"/>
              </a:moveTo>
              <a:lnTo>
                <a:pt x="78358" y="0"/>
              </a:lnTo>
              <a:lnTo>
                <a:pt x="78358" y="168469"/>
              </a:lnTo>
              <a:lnTo>
                <a:pt x="156716" y="16846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8A6AD26-385B-4A9F-96C9-DC24F6C22777}">
      <dsp:nvSpPr>
        <dsp:cNvPr id="0" name=""/>
        <dsp:cNvSpPr/>
      </dsp:nvSpPr>
      <dsp:spPr>
        <a:xfrm>
          <a:off x="2664841" y="263330"/>
          <a:ext cx="156716" cy="168469"/>
        </a:xfrm>
        <a:custGeom>
          <a:avLst/>
          <a:gdLst/>
          <a:ahLst/>
          <a:cxnLst/>
          <a:rect l="0" t="0" r="0" b="0"/>
          <a:pathLst>
            <a:path>
              <a:moveTo>
                <a:pt x="0" y="168469"/>
              </a:moveTo>
              <a:lnTo>
                <a:pt x="78358" y="168469"/>
              </a:lnTo>
              <a:lnTo>
                <a:pt x="78358" y="0"/>
              </a:lnTo>
              <a:lnTo>
                <a:pt x="156716"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99DE926-633B-4BF6-B8E9-B0B2D0DFE0A5}">
      <dsp:nvSpPr>
        <dsp:cNvPr id="0" name=""/>
        <dsp:cNvSpPr/>
      </dsp:nvSpPr>
      <dsp:spPr>
        <a:xfrm>
          <a:off x="1724545" y="386080"/>
          <a:ext cx="156716" cy="91440"/>
        </a:xfrm>
        <a:custGeom>
          <a:avLst/>
          <a:gdLst/>
          <a:ahLst/>
          <a:cxnLst/>
          <a:rect l="0" t="0" r="0" b="0"/>
          <a:pathLst>
            <a:path>
              <a:moveTo>
                <a:pt x="0" y="45720"/>
              </a:moveTo>
              <a:lnTo>
                <a:pt x="156716"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FC9D762-F27B-4623-BBD5-75B09E228255}">
      <dsp:nvSpPr>
        <dsp:cNvPr id="0" name=""/>
        <dsp:cNvSpPr/>
      </dsp:nvSpPr>
      <dsp:spPr>
        <a:xfrm>
          <a:off x="784249" y="386080"/>
          <a:ext cx="156716" cy="91440"/>
        </a:xfrm>
        <a:custGeom>
          <a:avLst/>
          <a:gdLst/>
          <a:ahLst/>
          <a:cxnLst/>
          <a:rect l="0" t="0" r="0" b="0"/>
          <a:pathLst>
            <a:path>
              <a:moveTo>
                <a:pt x="0" y="45720"/>
              </a:moveTo>
              <a:lnTo>
                <a:pt x="156716" y="4572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B18A394-FE2F-4C14-ABD9-3A564D5A0731}">
      <dsp:nvSpPr>
        <dsp:cNvPr id="0" name=""/>
        <dsp:cNvSpPr/>
      </dsp:nvSpPr>
      <dsp:spPr>
        <a:xfrm>
          <a:off x="669" y="312304"/>
          <a:ext cx="783580" cy="23899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Gross Income (</a:t>
          </a:r>
          <a:r>
            <a:rPr lang="en-US" sz="700" kern="1200">
              <a:latin typeface="Times New Roman" panose="02020603050405020304" pitchFamily="18" charset="0"/>
              <a:cs typeface="Times New Roman" panose="02020603050405020304" pitchFamily="18" charset="0"/>
            </a:rPr>
            <a:t>§</a:t>
          </a:r>
          <a:r>
            <a:rPr lang="en-US" sz="700" kern="1200"/>
            <a:t>61)</a:t>
          </a:r>
        </a:p>
      </dsp:txBody>
      <dsp:txXfrm>
        <a:off x="669" y="312304"/>
        <a:ext cx="783580" cy="238991"/>
      </dsp:txXfrm>
    </dsp:sp>
    <dsp:sp modelId="{25EB2843-5819-46D2-B2C3-007D069E6393}">
      <dsp:nvSpPr>
        <dsp:cNvPr id="0" name=""/>
        <dsp:cNvSpPr/>
      </dsp:nvSpPr>
      <dsp:spPr>
        <a:xfrm>
          <a:off x="940965" y="312304"/>
          <a:ext cx="783580" cy="23899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 Adjustments (</a:t>
          </a:r>
          <a:r>
            <a:rPr lang="en-US" sz="700" kern="1200">
              <a:latin typeface="Times New Roman" panose="02020603050405020304" pitchFamily="18" charset="0"/>
              <a:cs typeface="Times New Roman" panose="02020603050405020304" pitchFamily="18" charset="0"/>
            </a:rPr>
            <a:t>§62)</a:t>
          </a:r>
          <a:endParaRPr lang="en-US" sz="700" kern="1200"/>
        </a:p>
      </dsp:txBody>
      <dsp:txXfrm>
        <a:off x="940965" y="312304"/>
        <a:ext cx="783580" cy="238991"/>
      </dsp:txXfrm>
    </dsp:sp>
    <dsp:sp modelId="{FB84A448-15E1-4ED6-9ACC-8BCC5C269AB9}">
      <dsp:nvSpPr>
        <dsp:cNvPr id="0" name=""/>
        <dsp:cNvSpPr/>
      </dsp:nvSpPr>
      <dsp:spPr>
        <a:xfrm>
          <a:off x="1881261" y="312304"/>
          <a:ext cx="783580" cy="23899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 Adjusted</a:t>
          </a:r>
          <a:br>
            <a:rPr lang="en-US" sz="700" kern="1200"/>
          </a:br>
          <a:r>
            <a:rPr lang="en-US" sz="700" kern="1200"/>
            <a:t> Gross Income</a:t>
          </a:r>
        </a:p>
      </dsp:txBody>
      <dsp:txXfrm>
        <a:off x="1881261" y="312304"/>
        <a:ext cx="783580" cy="238991"/>
      </dsp:txXfrm>
    </dsp:sp>
    <dsp:sp modelId="{301D659B-85EA-4293-9703-7CF032CA435B}">
      <dsp:nvSpPr>
        <dsp:cNvPr id="0" name=""/>
        <dsp:cNvSpPr/>
      </dsp:nvSpPr>
      <dsp:spPr>
        <a:xfrm>
          <a:off x="2821558" y="143834"/>
          <a:ext cx="783580" cy="23899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 - Itemized Deductions (</a:t>
          </a:r>
          <a:r>
            <a:rPr lang="en-US" sz="700" kern="1200">
              <a:latin typeface="Times New Roman" panose="02020603050405020304" pitchFamily="18" charset="0"/>
              <a:cs typeface="Times New Roman" panose="02020603050405020304" pitchFamily="18" charset="0"/>
            </a:rPr>
            <a:t>§63(a))</a:t>
          </a:r>
          <a:endParaRPr lang="en-US" sz="700" kern="1200"/>
        </a:p>
      </dsp:txBody>
      <dsp:txXfrm>
        <a:off x="2821558" y="143834"/>
        <a:ext cx="783580" cy="238991"/>
      </dsp:txXfrm>
    </dsp:sp>
    <dsp:sp modelId="{94CC0DAE-9AE7-48E2-87FD-447466D11FAE}">
      <dsp:nvSpPr>
        <dsp:cNvPr id="0" name=""/>
        <dsp:cNvSpPr/>
      </dsp:nvSpPr>
      <dsp:spPr>
        <a:xfrm>
          <a:off x="2821558" y="480773"/>
          <a:ext cx="783580" cy="23899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 Standard</a:t>
          </a:r>
          <a:br>
            <a:rPr lang="en-US" sz="700" kern="1200"/>
          </a:br>
          <a:r>
            <a:rPr lang="en-US" sz="700" kern="1200"/>
            <a:t> Deduction (</a:t>
          </a:r>
          <a:r>
            <a:rPr lang="en-US" sz="700" kern="1200">
              <a:latin typeface="Times New Roman" panose="02020603050405020304" pitchFamily="18" charset="0"/>
              <a:cs typeface="Times New Roman" panose="02020603050405020304" pitchFamily="18" charset="0"/>
            </a:rPr>
            <a:t>§63(b))</a:t>
          </a:r>
          <a:endParaRPr lang="en-US" sz="700" kern="1200"/>
        </a:p>
      </dsp:txBody>
      <dsp:txXfrm>
        <a:off x="2821558" y="480773"/>
        <a:ext cx="783580" cy="238991"/>
      </dsp:txXfrm>
    </dsp:sp>
    <dsp:sp modelId="{EDB719DC-0239-4366-84EE-0CDB83F0E908}">
      <dsp:nvSpPr>
        <dsp:cNvPr id="0" name=""/>
        <dsp:cNvSpPr/>
      </dsp:nvSpPr>
      <dsp:spPr>
        <a:xfrm>
          <a:off x="3761854" y="296623"/>
          <a:ext cx="783580" cy="23899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 Personal Exemption (</a:t>
          </a:r>
          <a:r>
            <a:rPr lang="en-US" sz="700" kern="1200">
              <a:latin typeface="Times New Roman" panose="02020603050405020304" pitchFamily="18" charset="0"/>
              <a:cs typeface="Times New Roman" panose="02020603050405020304" pitchFamily="18" charset="0"/>
            </a:rPr>
            <a:t>§§151-52)</a:t>
          </a:r>
          <a:endParaRPr lang="en-US" sz="700" kern="1200"/>
        </a:p>
      </dsp:txBody>
      <dsp:txXfrm>
        <a:off x="3761854" y="296623"/>
        <a:ext cx="783580" cy="238991"/>
      </dsp:txXfrm>
    </dsp:sp>
    <dsp:sp modelId="{7CA0D2EC-7E81-4C30-829C-497439A68A07}">
      <dsp:nvSpPr>
        <dsp:cNvPr id="0" name=""/>
        <dsp:cNvSpPr/>
      </dsp:nvSpPr>
      <dsp:spPr>
        <a:xfrm>
          <a:off x="4702150" y="296623"/>
          <a:ext cx="783580" cy="23899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 Taxable Income</a:t>
          </a:r>
        </a:p>
      </dsp:txBody>
      <dsp:txXfrm>
        <a:off x="4702150" y="296623"/>
        <a:ext cx="783580" cy="238991"/>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303AF-9E3E-45CA-BBE6-6080E5FE7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4389</TotalTime>
  <Pages>23</Pages>
  <Words>11432</Words>
  <Characters>65165</Characters>
  <Application>Microsoft Office Word</Application>
  <DocSecurity>0</DocSecurity>
  <Lines>543</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Richards</dc:creator>
  <cp:keywords/>
  <dc:description/>
  <cp:lastModifiedBy>Ben Richards</cp:lastModifiedBy>
  <cp:revision>366</cp:revision>
  <cp:lastPrinted>2015-05-05T13:53:00Z</cp:lastPrinted>
  <dcterms:created xsi:type="dcterms:W3CDTF">2016-03-11T15:45:00Z</dcterms:created>
  <dcterms:modified xsi:type="dcterms:W3CDTF">2016-04-28T21:43:00Z</dcterms:modified>
</cp:coreProperties>
</file>