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77DA6" w14:textId="0FF72EC0" w:rsidR="00245824" w:rsidRPr="00505123" w:rsidRDefault="00425155" w:rsidP="00455AD8">
      <w:pPr>
        <w:pStyle w:val="Heading3"/>
        <w:spacing w:before="0"/>
      </w:pPr>
      <w:r>
        <w:t>Property</w:t>
      </w:r>
    </w:p>
    <w:p w14:paraId="1FBBFEA8" w14:textId="5049B5B7" w:rsidR="00505123" w:rsidRPr="00505123" w:rsidRDefault="00425155" w:rsidP="00455AD8">
      <w:pPr>
        <w:pStyle w:val="Heading3"/>
        <w:spacing w:before="0"/>
        <w:rPr>
          <w:sz w:val="22"/>
        </w:rPr>
      </w:pPr>
      <w:r>
        <w:rPr>
          <w:sz w:val="22"/>
        </w:rPr>
        <w:t>Acquisition</w:t>
      </w:r>
    </w:p>
    <w:p w14:paraId="0A253319" w14:textId="4165ED83" w:rsidR="00505123" w:rsidRPr="00F50603" w:rsidRDefault="00425155" w:rsidP="00455AD8">
      <w:pPr>
        <w:pStyle w:val="Heading4"/>
        <w:spacing w:before="0"/>
        <w:rPr>
          <w:sz w:val="20"/>
          <w:szCs w:val="20"/>
        </w:rPr>
      </w:pPr>
      <w:r>
        <w:rPr>
          <w:sz w:val="20"/>
          <w:szCs w:val="20"/>
        </w:rPr>
        <w:t>Philosophical Ideas</w:t>
      </w:r>
    </w:p>
    <w:p w14:paraId="39622F88" w14:textId="3E53A3BD" w:rsidR="00F50603" w:rsidRPr="00DA35C7" w:rsidRDefault="000D0013" w:rsidP="00455AD8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DA35C7">
        <w:rPr>
          <w:b/>
          <w:sz w:val="20"/>
          <w:szCs w:val="20"/>
        </w:rPr>
        <w:t>John Locke</w:t>
      </w:r>
    </w:p>
    <w:p w14:paraId="39C42A08" w14:textId="74FF2DE5" w:rsidR="00F50603" w:rsidRDefault="000D0013" w:rsidP="00455AD8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Locke’s 2</w:t>
      </w:r>
      <w:r w:rsidRPr="000D0013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Treatise is a political treatise – convinces property-owners to buy in to Locke’s government theories</w:t>
      </w:r>
      <w:r w:rsidR="00080E82">
        <w:rPr>
          <w:sz w:val="20"/>
          <w:szCs w:val="20"/>
        </w:rPr>
        <w:t>, which de-legitimizes absolute monarchial rights</w:t>
      </w:r>
    </w:p>
    <w:p w14:paraId="4809568B" w14:textId="427D1D8E" w:rsidR="000D0013" w:rsidRDefault="000D0013" w:rsidP="00455AD8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purpose of government is to preserve citizens’ property</w:t>
      </w:r>
    </w:p>
    <w:p w14:paraId="56C0308C" w14:textId="199CA695" w:rsidR="000D0013" w:rsidRDefault="000D0013" w:rsidP="00455AD8">
      <w:pPr>
        <w:pStyle w:val="ListParagraph"/>
        <w:numPr>
          <w:ilvl w:val="3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Defines property as lives, liberties, and estates</w:t>
      </w:r>
      <w:r w:rsidR="00F97FF1">
        <w:rPr>
          <w:sz w:val="20"/>
          <w:szCs w:val="20"/>
        </w:rPr>
        <w:t>, rights which are pre-political</w:t>
      </w:r>
    </w:p>
    <w:p w14:paraId="230F1169" w14:textId="77777777" w:rsidR="000D0013" w:rsidRDefault="000D0013" w:rsidP="00455AD8">
      <w:pPr>
        <w:pStyle w:val="ListParagraph"/>
        <w:numPr>
          <w:ilvl w:val="4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By mixing his labor with land, man acquires property in the land</w:t>
      </w:r>
    </w:p>
    <w:p w14:paraId="7744E414" w14:textId="09512F65" w:rsidR="001D68A3" w:rsidRDefault="001D68A3" w:rsidP="00455AD8">
      <w:pPr>
        <w:pStyle w:val="ListParagraph"/>
        <w:numPr>
          <w:ilvl w:val="5"/>
          <w:numId w:val="1"/>
        </w:numPr>
        <w:spacing w:after="0"/>
        <w:rPr>
          <w:sz w:val="20"/>
          <w:szCs w:val="20"/>
        </w:rPr>
      </w:pPr>
      <w:r>
        <w:rPr>
          <w:i/>
          <w:sz w:val="20"/>
          <w:szCs w:val="20"/>
        </w:rPr>
        <w:t xml:space="preserve">Haslem v. Lockwood </w:t>
      </w:r>
      <w:r>
        <w:rPr>
          <w:sz w:val="20"/>
          <w:szCs w:val="20"/>
        </w:rPr>
        <w:t>(manure heaps) enhances this theory – leaving property for reasonable time after enhancing value does not divest property right</w:t>
      </w:r>
    </w:p>
    <w:p w14:paraId="725B293A" w14:textId="5E2A6217" w:rsidR="00DA35C7" w:rsidRPr="00F97FF1" w:rsidRDefault="00DA35C7" w:rsidP="00F97FF1">
      <w:pPr>
        <w:pStyle w:val="ListParagraph"/>
        <w:numPr>
          <w:ilvl w:val="4"/>
          <w:numId w:val="1"/>
        </w:numPr>
        <w:spacing w:after="0"/>
        <w:rPr>
          <w:sz w:val="20"/>
          <w:szCs w:val="20"/>
        </w:rPr>
      </w:pPr>
      <w:r w:rsidRPr="00F97FF1">
        <w:rPr>
          <w:i/>
          <w:sz w:val="20"/>
          <w:szCs w:val="20"/>
        </w:rPr>
        <w:t xml:space="preserve">Cf. </w:t>
      </w:r>
      <w:r w:rsidRPr="00F97FF1">
        <w:rPr>
          <w:sz w:val="20"/>
          <w:szCs w:val="20"/>
        </w:rPr>
        <w:t>Jeremy Bentham – Positivist view of property (no right unless explicitly granted by law)</w:t>
      </w:r>
      <w:r w:rsidR="00F97FF1">
        <w:rPr>
          <w:sz w:val="20"/>
          <w:szCs w:val="20"/>
        </w:rPr>
        <w:t xml:space="preserve"> - p</w:t>
      </w:r>
      <w:r w:rsidRPr="00F97FF1">
        <w:rPr>
          <w:sz w:val="20"/>
          <w:szCs w:val="20"/>
        </w:rPr>
        <w:t>roperty is an established expectation</w:t>
      </w:r>
    </w:p>
    <w:p w14:paraId="722C9300" w14:textId="77777777" w:rsidR="000D0013" w:rsidRDefault="000D0013" w:rsidP="00455AD8">
      <w:pPr>
        <w:pStyle w:val="ListParagraph"/>
        <w:numPr>
          <w:ilvl w:val="3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 the state of nature, only as much property as can be effectively used may be acquired by a single individual; the rest is held in common</w:t>
      </w:r>
    </w:p>
    <w:p w14:paraId="64DD6663" w14:textId="77777777" w:rsidR="000D0013" w:rsidRDefault="000D0013" w:rsidP="00455AD8">
      <w:pPr>
        <w:pStyle w:val="ListParagraph"/>
        <w:numPr>
          <w:ilvl w:val="4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invention of money destroyed the state of nature</w:t>
      </w:r>
    </w:p>
    <w:p w14:paraId="01AEBFE4" w14:textId="695D6775" w:rsidR="00B133F6" w:rsidRDefault="00B133F6" w:rsidP="00455AD8">
      <w:pPr>
        <w:pStyle w:val="ListParagraph"/>
        <w:numPr>
          <w:ilvl w:val="5"/>
          <w:numId w:val="1"/>
        </w:numPr>
        <w:spacing w:after="0"/>
        <w:rPr>
          <w:sz w:val="20"/>
          <w:szCs w:val="20"/>
        </w:rPr>
      </w:pPr>
      <w:r>
        <w:rPr>
          <w:i/>
          <w:sz w:val="20"/>
          <w:szCs w:val="20"/>
        </w:rPr>
        <w:t xml:space="preserve">Cf. </w:t>
      </w:r>
      <w:r>
        <w:rPr>
          <w:sz w:val="20"/>
          <w:szCs w:val="20"/>
        </w:rPr>
        <w:t>Rousseau – The first declaration of property rights destroyed the state of nature</w:t>
      </w:r>
      <w:r w:rsidR="00ED741A">
        <w:rPr>
          <w:sz w:val="20"/>
          <w:szCs w:val="20"/>
        </w:rPr>
        <w:t xml:space="preserve"> by creating </w:t>
      </w:r>
      <w:r>
        <w:rPr>
          <w:sz w:val="20"/>
          <w:szCs w:val="20"/>
        </w:rPr>
        <w:t>rule of the strong</w:t>
      </w:r>
    </w:p>
    <w:p w14:paraId="32ACDD51" w14:textId="77777777" w:rsidR="00DA35C7" w:rsidRDefault="000D0013" w:rsidP="00455AD8">
      <w:pPr>
        <w:pStyle w:val="ListParagraph"/>
        <w:numPr>
          <w:ilvl w:val="4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Land should be put to use (reflected in U.S. property law)</w:t>
      </w:r>
    </w:p>
    <w:p w14:paraId="47AF5084" w14:textId="1E45B320" w:rsidR="000D0013" w:rsidRDefault="00DA35C7" w:rsidP="00455AD8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DA35C7">
        <w:rPr>
          <w:b/>
          <w:sz w:val="20"/>
          <w:szCs w:val="20"/>
        </w:rPr>
        <w:t>William Blackstone</w:t>
      </w:r>
      <w:r w:rsidR="000D0013" w:rsidRPr="00DA35C7">
        <w:rPr>
          <w:b/>
          <w:sz w:val="20"/>
          <w:szCs w:val="20"/>
        </w:rPr>
        <w:t xml:space="preserve"> </w:t>
      </w:r>
    </w:p>
    <w:p w14:paraId="121DDA20" w14:textId="07E9BB09" w:rsidR="00DA35C7" w:rsidRPr="00DA35C7" w:rsidRDefault="00DA35C7" w:rsidP="00455AD8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In the state of nature, property only existed for as long as the land was in use</w:t>
      </w:r>
    </w:p>
    <w:p w14:paraId="128135CC" w14:textId="5FB5173F" w:rsidR="00DA35C7" w:rsidRPr="00DA35C7" w:rsidRDefault="00DA35C7" w:rsidP="00455AD8">
      <w:pPr>
        <w:pStyle w:val="ListParagraph"/>
        <w:numPr>
          <w:ilvl w:val="2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Gave men an exclusive right to use of property</w:t>
      </w:r>
    </w:p>
    <w:p w14:paraId="474046D2" w14:textId="78692402" w:rsidR="00DA35C7" w:rsidRPr="00DA35C7" w:rsidRDefault="00DA35C7" w:rsidP="00455AD8">
      <w:pPr>
        <w:pStyle w:val="ListParagraph"/>
        <w:numPr>
          <w:ilvl w:val="2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Modern property ideas were born of necessity, now supported by law (inheritance)</w:t>
      </w:r>
    </w:p>
    <w:p w14:paraId="215942EC" w14:textId="4750D38E" w:rsidR="00DA35C7" w:rsidRPr="00080E82" w:rsidRDefault="00DA35C7" w:rsidP="00455AD8">
      <w:pPr>
        <w:pStyle w:val="ListParagraph"/>
        <w:numPr>
          <w:ilvl w:val="2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Legislature may strip men of property rights for public good, if compensation is given</w:t>
      </w:r>
    </w:p>
    <w:p w14:paraId="47EF6DB7" w14:textId="39AA1619" w:rsidR="00080E82" w:rsidRDefault="00080E82" w:rsidP="00455AD8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Morris &amp; Felix Cohen</w:t>
      </w:r>
    </w:p>
    <w:p w14:paraId="4DA4785B" w14:textId="0DFE38CB" w:rsidR="00080E82" w:rsidRPr="00B3720C" w:rsidRDefault="00080E82" w:rsidP="00455AD8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The essence of private property is the right to exclude others</w:t>
      </w:r>
    </w:p>
    <w:p w14:paraId="16C13AEC" w14:textId="0FDB6680" w:rsidR="00B3720C" w:rsidRPr="00B3720C" w:rsidRDefault="00B3720C" w:rsidP="00455AD8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Property’s economic value is dependent on the extent to which property is legally protected</w:t>
      </w:r>
    </w:p>
    <w:p w14:paraId="4F9485BC" w14:textId="23533633" w:rsidR="00B3720C" w:rsidRPr="00B3720C" w:rsidRDefault="00B3720C" w:rsidP="00455AD8">
      <w:pPr>
        <w:pStyle w:val="ListParagraph"/>
        <w:numPr>
          <w:ilvl w:val="2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Contradicts fiction that trademark law only protects</w:t>
      </w:r>
      <w:r w:rsidR="00F35B5B">
        <w:rPr>
          <w:sz w:val="20"/>
          <w:szCs w:val="20"/>
        </w:rPr>
        <w:t xml:space="preserve"> items with intrinsic value;</w:t>
      </w:r>
      <w:r>
        <w:rPr>
          <w:sz w:val="20"/>
          <w:szCs w:val="20"/>
        </w:rPr>
        <w:t xml:space="preserve"> protection </w:t>
      </w:r>
      <w:r w:rsidR="00F35B5B">
        <w:rPr>
          <w:i/>
          <w:sz w:val="20"/>
          <w:szCs w:val="20"/>
        </w:rPr>
        <w:t>is</w:t>
      </w:r>
      <w:r>
        <w:rPr>
          <w:sz w:val="20"/>
          <w:szCs w:val="20"/>
        </w:rPr>
        <w:t xml:space="preserve"> value</w:t>
      </w:r>
    </w:p>
    <w:p w14:paraId="060C3433" w14:textId="77777777" w:rsidR="00B3720C" w:rsidRPr="00B3720C" w:rsidRDefault="00B3720C" w:rsidP="00455AD8">
      <w:pPr>
        <w:pStyle w:val="ListParagraph"/>
        <w:numPr>
          <w:ilvl w:val="3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Blackstonian argument that the law creates valuable property rights</w:t>
      </w:r>
    </w:p>
    <w:p w14:paraId="24707A44" w14:textId="77777777" w:rsidR="00B3720C" w:rsidRDefault="00B3720C" w:rsidP="00455AD8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Charles Reich</w:t>
      </w:r>
    </w:p>
    <w:p w14:paraId="0E686F67" w14:textId="77777777" w:rsidR="00B3720C" w:rsidRPr="00B3720C" w:rsidRDefault="00B3720C" w:rsidP="00455AD8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The “new property” is status conferred by large organizations (job title, security, etc.)</w:t>
      </w:r>
    </w:p>
    <w:p w14:paraId="4200560E" w14:textId="77777777" w:rsidR="00B3720C" w:rsidRPr="00B3720C" w:rsidRDefault="00B3720C" w:rsidP="00455AD8">
      <w:pPr>
        <w:pStyle w:val="ListParagraph"/>
        <w:numPr>
          <w:ilvl w:val="2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The result is a loss of sovereignty, since men are dependent on others to retain property</w:t>
      </w:r>
    </w:p>
    <w:p w14:paraId="1CDB42F9" w14:textId="42660B16" w:rsidR="00B210C6" w:rsidRPr="00B210C6" w:rsidRDefault="00F35B5B" w:rsidP="00455AD8">
      <w:pPr>
        <w:pStyle w:val="ListParagraph"/>
        <w:numPr>
          <w:ilvl w:val="2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Status</w:t>
      </w:r>
      <w:r w:rsidR="00B3720C">
        <w:rPr>
          <w:sz w:val="20"/>
          <w:szCs w:val="20"/>
        </w:rPr>
        <w:t xml:space="preserve"> should be Const</w:t>
      </w:r>
      <w:r>
        <w:rPr>
          <w:sz w:val="20"/>
          <w:szCs w:val="20"/>
        </w:rPr>
        <w:t>itutionally protected property</w:t>
      </w:r>
      <w:r w:rsidR="00B3720C">
        <w:rPr>
          <w:sz w:val="20"/>
          <w:szCs w:val="20"/>
        </w:rPr>
        <w:t xml:space="preserve">, to limit organizations’ control </w:t>
      </w:r>
    </w:p>
    <w:p w14:paraId="53B0F311" w14:textId="7BA4892D" w:rsidR="00B3720C" w:rsidRPr="00B210C6" w:rsidRDefault="00B210C6" w:rsidP="00455AD8">
      <w:pPr>
        <w:pStyle w:val="ListParagraph"/>
        <w:numPr>
          <w:ilvl w:val="3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Similar to rationale behind FDR</w:t>
      </w:r>
      <w:r w:rsidR="00F35B5B">
        <w:rPr>
          <w:sz w:val="20"/>
          <w:szCs w:val="20"/>
        </w:rPr>
        <w:t xml:space="preserve">’s Second Bill of Rights – </w:t>
      </w:r>
      <w:r>
        <w:rPr>
          <w:sz w:val="20"/>
          <w:szCs w:val="20"/>
        </w:rPr>
        <w:t xml:space="preserve">common law insulated existing </w:t>
      </w:r>
      <w:r w:rsidR="00F35B5B">
        <w:rPr>
          <w:sz w:val="20"/>
          <w:szCs w:val="20"/>
        </w:rPr>
        <w:t>wealth distribution</w:t>
      </w:r>
      <w:r w:rsidR="00B3720C">
        <w:rPr>
          <w:sz w:val="20"/>
          <w:szCs w:val="20"/>
        </w:rPr>
        <w:t xml:space="preserve">  </w:t>
      </w:r>
    </w:p>
    <w:p w14:paraId="0330159E" w14:textId="24B0FC55" w:rsidR="00B210C6" w:rsidRPr="00B210C6" w:rsidRDefault="00B210C6" w:rsidP="00455AD8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Continential v. Anglo-American Property Ideas</w:t>
      </w:r>
    </w:p>
    <w:p w14:paraId="043FF545" w14:textId="547D0048" w:rsidR="00B210C6" w:rsidRPr="00B133F6" w:rsidRDefault="00D04C1C" w:rsidP="00455AD8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U.S. is more distrustful of government, while Continental sees government as part of solution</w:t>
      </w:r>
    </w:p>
    <w:p w14:paraId="2BD17DC0" w14:textId="77777777" w:rsidR="00B133F6" w:rsidRPr="00B133F6" w:rsidRDefault="00B133F6" w:rsidP="00455AD8">
      <w:pPr>
        <w:pStyle w:val="ListParagraph"/>
        <w:numPr>
          <w:ilvl w:val="2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Rousseau argues each individual submits himself to the State at its formation</w:t>
      </w:r>
    </w:p>
    <w:p w14:paraId="27D39E4E" w14:textId="62701A53" w:rsidR="00B133F6" w:rsidRPr="00D04C1C" w:rsidRDefault="00B133F6" w:rsidP="00455AD8">
      <w:pPr>
        <w:pStyle w:val="ListParagraph"/>
        <w:numPr>
          <w:ilvl w:val="3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Communal rights should trump individual rights in light of that submission</w:t>
      </w:r>
    </w:p>
    <w:p w14:paraId="35BDFC18" w14:textId="3566A664" w:rsidR="00D04C1C" w:rsidRPr="00D04C1C" w:rsidRDefault="00D04C1C" w:rsidP="00455AD8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U.S. values liberty more than equality, while Continental values both nearly equally</w:t>
      </w:r>
    </w:p>
    <w:p w14:paraId="3D6CB823" w14:textId="77777777" w:rsidR="00915709" w:rsidRPr="00915709" w:rsidRDefault="00D04C1C" w:rsidP="00455AD8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U.S. views individuals as autonomous and independent, while Continental provides for unique personal value within an important intra-personal relational context</w:t>
      </w:r>
    </w:p>
    <w:p w14:paraId="6914556A" w14:textId="0EE0EE62" w:rsidR="00D04C1C" w:rsidRPr="00915709" w:rsidRDefault="00ED741A" w:rsidP="00455AD8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915709">
        <w:rPr>
          <w:sz w:val="20"/>
          <w:szCs w:val="20"/>
        </w:rPr>
        <w:t xml:space="preserve">German Basic Law draws from three traditions: </w:t>
      </w:r>
    </w:p>
    <w:p w14:paraId="684AE2C7" w14:textId="13F91133" w:rsidR="00ED741A" w:rsidRPr="00ED741A" w:rsidRDefault="00ED741A" w:rsidP="00455AD8">
      <w:pPr>
        <w:pStyle w:val="ListParagraph"/>
        <w:numPr>
          <w:ilvl w:val="2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Classical-liberal creation of individual freedoms</w:t>
      </w:r>
    </w:p>
    <w:p w14:paraId="69DB0FC6" w14:textId="0C6696E8" w:rsidR="00ED741A" w:rsidRPr="00ED741A" w:rsidRDefault="00ED741A" w:rsidP="00455AD8">
      <w:pPr>
        <w:pStyle w:val="ListParagraph"/>
        <w:numPr>
          <w:ilvl w:val="2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Social welfare creation of socialist protections</w:t>
      </w:r>
      <w:r w:rsidR="001E691B">
        <w:rPr>
          <w:sz w:val="20"/>
          <w:szCs w:val="20"/>
        </w:rPr>
        <w:t xml:space="preserve"> (aka Progressive Property Theory)</w:t>
      </w:r>
    </w:p>
    <w:p w14:paraId="4D7CCB67" w14:textId="72E6840E" w:rsidR="00ED741A" w:rsidRPr="001D76BA" w:rsidRDefault="00ED741A" w:rsidP="00455AD8">
      <w:pPr>
        <w:pStyle w:val="ListParagraph"/>
        <w:numPr>
          <w:ilvl w:val="3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See also France’s Declaration of Rights of Man; Combines Lockean principles of inviolable property rights with Rousseau-esque ideas of submission to the State</w:t>
      </w:r>
    </w:p>
    <w:p w14:paraId="12AA91FA" w14:textId="618D2301" w:rsidR="001D76BA" w:rsidRPr="003B585A" w:rsidRDefault="001D76BA" w:rsidP="00455AD8">
      <w:pPr>
        <w:pStyle w:val="ListParagraph"/>
        <w:numPr>
          <w:ilvl w:val="3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Usually invoked to justify social welfare policies under complaint of violation of individual </w:t>
      </w:r>
      <w:r w:rsidR="003B585A">
        <w:rPr>
          <w:sz w:val="20"/>
          <w:szCs w:val="20"/>
        </w:rPr>
        <w:t>freedoms</w:t>
      </w:r>
    </w:p>
    <w:p w14:paraId="4803A04B" w14:textId="1BB57B35" w:rsidR="003B585A" w:rsidRPr="003B585A" w:rsidRDefault="003B585A" w:rsidP="00455AD8">
      <w:pPr>
        <w:pStyle w:val="ListParagraph"/>
        <w:numPr>
          <w:ilvl w:val="4"/>
          <w:numId w:val="1"/>
        </w:numPr>
        <w:spacing w:after="0"/>
        <w:rPr>
          <w:b/>
          <w:sz w:val="20"/>
          <w:szCs w:val="20"/>
        </w:rPr>
      </w:pPr>
      <w:r>
        <w:rPr>
          <w:i/>
          <w:sz w:val="20"/>
          <w:szCs w:val="20"/>
        </w:rPr>
        <w:t>Investment Aid</w:t>
      </w:r>
      <w:r>
        <w:rPr>
          <w:i/>
        </w:rPr>
        <w:t xml:space="preserve"> </w:t>
      </w:r>
      <w:r w:rsidRPr="003B585A">
        <w:rPr>
          <w:sz w:val="20"/>
          <w:szCs w:val="20"/>
        </w:rPr>
        <w:t>approves coordination</w:t>
      </w:r>
      <w:r>
        <w:rPr>
          <w:sz w:val="20"/>
        </w:rPr>
        <w:t xml:space="preserve"> and community (Rousseau) over concept of isolated, sovereign individuals (Locke)</w:t>
      </w:r>
    </w:p>
    <w:p w14:paraId="4F486E8E" w14:textId="55ADBD34" w:rsidR="003B585A" w:rsidRPr="003B585A" w:rsidRDefault="003B585A" w:rsidP="00455AD8">
      <w:pPr>
        <w:pStyle w:val="ListParagraph"/>
        <w:numPr>
          <w:ilvl w:val="4"/>
          <w:numId w:val="1"/>
        </w:numPr>
        <w:spacing w:after="0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Co-determination </w:t>
      </w:r>
      <w:r>
        <w:rPr>
          <w:sz w:val="20"/>
          <w:szCs w:val="20"/>
        </w:rPr>
        <w:t>implies some property is entitled to more protection than others; social impact is a major factor in this determination</w:t>
      </w:r>
    </w:p>
    <w:p w14:paraId="6D51F247" w14:textId="2F315C2E" w:rsidR="00ED741A" w:rsidRPr="003B585A" w:rsidRDefault="00915709" w:rsidP="00455AD8">
      <w:pPr>
        <w:pStyle w:val="ListParagraph"/>
        <w:numPr>
          <w:ilvl w:val="2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C</w:t>
      </w:r>
      <w:r w:rsidR="00ED741A">
        <w:rPr>
          <w:sz w:val="20"/>
          <w:szCs w:val="20"/>
        </w:rPr>
        <w:t>hristian protection of social morality and education</w:t>
      </w:r>
    </w:p>
    <w:p w14:paraId="7E84C715" w14:textId="3993DF9A" w:rsidR="003B585A" w:rsidRPr="00ED741A" w:rsidRDefault="003B585A" w:rsidP="00F35B5B">
      <w:pPr>
        <w:pStyle w:val="ListParagraph"/>
        <w:numPr>
          <w:ilvl w:val="3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Compare Swedish property tradition, in which there is no inh</w:t>
      </w:r>
      <w:r w:rsidR="00A170B5">
        <w:rPr>
          <w:sz w:val="20"/>
          <w:szCs w:val="20"/>
        </w:rPr>
        <w:t>erent right of exclusion since it is assumed no damage is inflicted upon the landowner</w:t>
      </w:r>
    </w:p>
    <w:p w14:paraId="5BEFC5A1" w14:textId="6976DA21" w:rsidR="00ED741A" w:rsidRPr="00ED741A" w:rsidRDefault="00ED741A" w:rsidP="00455AD8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Working, modern definition of property: </w:t>
      </w:r>
      <w:r w:rsidRPr="00ED741A">
        <w:rPr>
          <w:sz w:val="20"/>
          <w:szCs w:val="20"/>
        </w:rPr>
        <w:t>Legally protected relation</w:t>
      </w:r>
      <w:r>
        <w:rPr>
          <w:sz w:val="20"/>
          <w:szCs w:val="20"/>
        </w:rPr>
        <w:t>ship</w:t>
      </w:r>
      <w:r w:rsidRPr="00ED741A">
        <w:rPr>
          <w:sz w:val="20"/>
          <w:szCs w:val="20"/>
        </w:rPr>
        <w:t xml:space="preserve"> between persons with respect t</w:t>
      </w:r>
      <w:r>
        <w:rPr>
          <w:sz w:val="20"/>
          <w:szCs w:val="20"/>
        </w:rPr>
        <w:t>o things subject to ownership</w:t>
      </w:r>
    </w:p>
    <w:p w14:paraId="131F8D9A" w14:textId="7F42B833" w:rsidR="00ED741A" w:rsidRPr="00F35B5B" w:rsidRDefault="00ED741A" w:rsidP="00F35B5B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F35B5B">
        <w:rPr>
          <w:sz w:val="20"/>
          <w:szCs w:val="20"/>
        </w:rPr>
        <w:t xml:space="preserve">Policy goals include: </w:t>
      </w:r>
      <w:r w:rsidR="00F35B5B" w:rsidRPr="00F35B5B">
        <w:rPr>
          <w:sz w:val="20"/>
          <w:szCs w:val="20"/>
        </w:rPr>
        <w:t xml:space="preserve">1) </w:t>
      </w:r>
      <w:r w:rsidRPr="00F35B5B">
        <w:rPr>
          <w:sz w:val="20"/>
          <w:szCs w:val="20"/>
        </w:rPr>
        <w:t>Reward productivity and foster efficiency</w:t>
      </w:r>
      <w:r w:rsidR="00F35B5B" w:rsidRPr="00F35B5B">
        <w:rPr>
          <w:sz w:val="20"/>
          <w:szCs w:val="20"/>
        </w:rPr>
        <w:t xml:space="preserve">, 2) </w:t>
      </w:r>
      <w:r w:rsidRPr="00F35B5B">
        <w:rPr>
          <w:sz w:val="20"/>
          <w:szCs w:val="20"/>
        </w:rPr>
        <w:t>Create simple, easily enforceable rules</w:t>
      </w:r>
      <w:r w:rsidR="00F35B5B" w:rsidRPr="00F35B5B">
        <w:rPr>
          <w:sz w:val="20"/>
          <w:szCs w:val="20"/>
        </w:rPr>
        <w:t xml:space="preserve">, 3) </w:t>
      </w:r>
      <w:r w:rsidRPr="00F35B5B">
        <w:rPr>
          <w:sz w:val="20"/>
          <w:szCs w:val="20"/>
        </w:rPr>
        <w:t>Create property rules consistent with societal habits and customs</w:t>
      </w:r>
      <w:r w:rsidR="00F35B5B" w:rsidRPr="00F35B5B">
        <w:rPr>
          <w:sz w:val="20"/>
          <w:szCs w:val="20"/>
        </w:rPr>
        <w:t xml:space="preserve"> and 4)</w:t>
      </w:r>
      <w:r w:rsidR="00F35B5B">
        <w:rPr>
          <w:sz w:val="20"/>
          <w:szCs w:val="20"/>
        </w:rPr>
        <w:t xml:space="preserve"> </w:t>
      </w:r>
      <w:r w:rsidRPr="00F35B5B">
        <w:rPr>
          <w:sz w:val="20"/>
          <w:szCs w:val="20"/>
        </w:rPr>
        <w:t>Create fair (consistent with cultural expectations) outcomes</w:t>
      </w:r>
    </w:p>
    <w:p w14:paraId="3B7FFBA4" w14:textId="4219A1BA" w:rsidR="00505123" w:rsidRDefault="00425155" w:rsidP="00455AD8">
      <w:pPr>
        <w:pStyle w:val="Heading4"/>
        <w:spacing w:before="0"/>
        <w:rPr>
          <w:sz w:val="20"/>
          <w:szCs w:val="20"/>
        </w:rPr>
      </w:pPr>
      <w:r>
        <w:rPr>
          <w:sz w:val="20"/>
          <w:szCs w:val="20"/>
        </w:rPr>
        <w:t>Discovery</w:t>
      </w:r>
    </w:p>
    <w:p w14:paraId="1E4E4C88" w14:textId="111C4709" w:rsidR="00A170B5" w:rsidRDefault="00A170B5" w:rsidP="00455AD8">
      <w:pPr>
        <w:pStyle w:val="ListParagraph"/>
        <w:numPr>
          <w:ilvl w:val="0"/>
          <w:numId w:val="30"/>
        </w:numPr>
        <w:rPr>
          <w:sz w:val="20"/>
        </w:rPr>
      </w:pPr>
      <w:r w:rsidRPr="00A170B5">
        <w:rPr>
          <w:sz w:val="20"/>
        </w:rPr>
        <w:t>First person to take possession of a thing owns it</w:t>
      </w:r>
      <w:r>
        <w:rPr>
          <w:sz w:val="20"/>
        </w:rPr>
        <w:t xml:space="preserve"> (</w:t>
      </w:r>
      <w:r>
        <w:rPr>
          <w:i/>
          <w:sz w:val="20"/>
        </w:rPr>
        <w:t>Johnson v. M’Intosh</w:t>
      </w:r>
      <w:r w:rsidR="001E691B">
        <w:rPr>
          <w:i/>
          <w:sz w:val="20"/>
        </w:rPr>
        <w:t xml:space="preserve"> </w:t>
      </w:r>
      <w:r w:rsidR="001E691B">
        <w:rPr>
          <w:sz w:val="20"/>
        </w:rPr>
        <w:t>– Indian vs. Government title</w:t>
      </w:r>
      <w:r>
        <w:rPr>
          <w:sz w:val="20"/>
        </w:rPr>
        <w:t>)</w:t>
      </w:r>
    </w:p>
    <w:p w14:paraId="5B6D87AE" w14:textId="608932D2" w:rsidR="00A170B5" w:rsidRDefault="00A170B5" w:rsidP="00455AD8">
      <w:pPr>
        <w:pStyle w:val="ListParagraph"/>
        <w:numPr>
          <w:ilvl w:val="1"/>
          <w:numId w:val="30"/>
        </w:numPr>
        <w:rPr>
          <w:sz w:val="20"/>
        </w:rPr>
      </w:pPr>
      <w:r>
        <w:rPr>
          <w:sz w:val="20"/>
        </w:rPr>
        <w:t>Native Americans had rights a</w:t>
      </w:r>
      <w:r w:rsidR="00F35B5B">
        <w:rPr>
          <w:sz w:val="20"/>
        </w:rPr>
        <w:t>s occupants, but not possessors</w:t>
      </w:r>
    </w:p>
    <w:p w14:paraId="7AFE7D7F" w14:textId="5DF6B642" w:rsidR="001E691B" w:rsidRDefault="001E691B" w:rsidP="00455AD8">
      <w:pPr>
        <w:pStyle w:val="ListParagraph"/>
        <w:numPr>
          <w:ilvl w:val="1"/>
          <w:numId w:val="30"/>
        </w:numPr>
        <w:rPr>
          <w:sz w:val="20"/>
        </w:rPr>
      </w:pPr>
      <w:r>
        <w:rPr>
          <w:sz w:val="20"/>
        </w:rPr>
        <w:t xml:space="preserve">Is discovery or labor theory a more satisfying method of determining ownership? </w:t>
      </w:r>
    </w:p>
    <w:p w14:paraId="222AC5E5" w14:textId="3A2DDC3B" w:rsidR="001E691B" w:rsidRPr="00A170B5" w:rsidRDefault="001E691B" w:rsidP="00455AD8">
      <w:pPr>
        <w:pStyle w:val="ListParagraph"/>
        <w:numPr>
          <w:ilvl w:val="2"/>
          <w:numId w:val="30"/>
        </w:numPr>
        <w:rPr>
          <w:sz w:val="20"/>
        </w:rPr>
      </w:pPr>
      <w:r>
        <w:rPr>
          <w:sz w:val="20"/>
        </w:rPr>
        <w:t xml:space="preserve">Accession (A’s labor adds value to B’s property) under labor theory? </w:t>
      </w:r>
    </w:p>
    <w:p w14:paraId="37E5850A" w14:textId="4E26CDF9" w:rsidR="00505123" w:rsidRDefault="00425155" w:rsidP="00455AD8">
      <w:pPr>
        <w:pStyle w:val="Heading4"/>
        <w:spacing w:before="0"/>
        <w:rPr>
          <w:sz w:val="20"/>
          <w:szCs w:val="20"/>
        </w:rPr>
      </w:pPr>
      <w:r>
        <w:rPr>
          <w:sz w:val="20"/>
          <w:szCs w:val="20"/>
        </w:rPr>
        <w:t>Capture</w:t>
      </w:r>
    </w:p>
    <w:p w14:paraId="09F8F0A8" w14:textId="7ED0BC38" w:rsidR="00C665D3" w:rsidRDefault="001D68A3" w:rsidP="00455AD8">
      <w:pPr>
        <w:pStyle w:val="ListParagraph"/>
        <w:numPr>
          <w:ilvl w:val="0"/>
          <w:numId w:val="9"/>
        </w:numPr>
        <w:spacing w:after="0"/>
        <w:rPr>
          <w:sz w:val="20"/>
        </w:rPr>
      </w:pPr>
      <w:r>
        <w:rPr>
          <w:sz w:val="20"/>
        </w:rPr>
        <w:t>P</w:t>
      </w:r>
      <w:r w:rsidR="001E691B">
        <w:rPr>
          <w:sz w:val="20"/>
        </w:rPr>
        <w:t xml:space="preserve">ursuit </w:t>
      </w:r>
      <w:r>
        <w:rPr>
          <w:sz w:val="20"/>
        </w:rPr>
        <w:t xml:space="preserve">of a wild animal </w:t>
      </w:r>
      <w:r w:rsidR="001E691B">
        <w:rPr>
          <w:sz w:val="20"/>
        </w:rPr>
        <w:t xml:space="preserve">doesn’t create </w:t>
      </w:r>
      <w:r>
        <w:rPr>
          <w:sz w:val="20"/>
        </w:rPr>
        <w:t xml:space="preserve">a </w:t>
      </w:r>
      <w:r w:rsidR="001E691B">
        <w:rPr>
          <w:sz w:val="20"/>
        </w:rPr>
        <w:t xml:space="preserve">property </w:t>
      </w:r>
      <w:r>
        <w:rPr>
          <w:sz w:val="20"/>
        </w:rPr>
        <w:t xml:space="preserve">right </w:t>
      </w:r>
      <w:r w:rsidR="001E691B">
        <w:rPr>
          <w:sz w:val="20"/>
        </w:rPr>
        <w:t>(</w:t>
      </w:r>
      <w:r w:rsidR="001E691B">
        <w:rPr>
          <w:i/>
          <w:sz w:val="20"/>
        </w:rPr>
        <w:t xml:space="preserve">Pierson v. Post </w:t>
      </w:r>
      <w:r w:rsidR="001E691B">
        <w:rPr>
          <w:sz w:val="20"/>
        </w:rPr>
        <w:t>- fox hunt)</w:t>
      </w:r>
    </w:p>
    <w:p w14:paraId="7E991341" w14:textId="3A32A0CE" w:rsidR="001D68A3" w:rsidRDefault="001D68A3" w:rsidP="00455AD8">
      <w:pPr>
        <w:pStyle w:val="ListParagraph"/>
        <w:numPr>
          <w:ilvl w:val="1"/>
          <w:numId w:val="9"/>
        </w:numPr>
        <w:spacing w:after="0"/>
        <w:rPr>
          <w:sz w:val="20"/>
        </w:rPr>
      </w:pPr>
      <w:r>
        <w:rPr>
          <w:sz w:val="20"/>
        </w:rPr>
        <w:t>Promotes effective means of capture and is more easily administrable</w:t>
      </w:r>
    </w:p>
    <w:p w14:paraId="40A2CC00" w14:textId="381A6D59" w:rsidR="001E691B" w:rsidRDefault="001E691B" w:rsidP="00455AD8">
      <w:pPr>
        <w:pStyle w:val="ListParagraph"/>
        <w:numPr>
          <w:ilvl w:val="1"/>
          <w:numId w:val="9"/>
        </w:numPr>
        <w:spacing w:after="0"/>
        <w:rPr>
          <w:sz w:val="20"/>
        </w:rPr>
      </w:pPr>
      <w:r>
        <w:rPr>
          <w:sz w:val="20"/>
        </w:rPr>
        <w:t>Dissent notes perverse incentives not to begin a hunt if another may legally interfere – reflects a Locke</w:t>
      </w:r>
      <w:r w:rsidR="001D68A3">
        <w:rPr>
          <w:sz w:val="20"/>
        </w:rPr>
        <w:t>-i</w:t>
      </w:r>
      <w:r>
        <w:rPr>
          <w:sz w:val="20"/>
        </w:rPr>
        <w:t>an concern related to labor theory</w:t>
      </w:r>
    </w:p>
    <w:p w14:paraId="2827058B" w14:textId="6DF3F8E0" w:rsidR="001E691B" w:rsidRDefault="001E691B" w:rsidP="00455AD8">
      <w:pPr>
        <w:pStyle w:val="ListParagraph"/>
        <w:numPr>
          <w:ilvl w:val="0"/>
          <w:numId w:val="9"/>
        </w:numPr>
        <w:spacing w:after="0"/>
        <w:rPr>
          <w:sz w:val="20"/>
        </w:rPr>
      </w:pPr>
      <w:r>
        <w:rPr>
          <w:sz w:val="20"/>
        </w:rPr>
        <w:t xml:space="preserve">Alternate possible rule in </w:t>
      </w:r>
      <w:r>
        <w:rPr>
          <w:i/>
          <w:sz w:val="20"/>
        </w:rPr>
        <w:t xml:space="preserve">Ghen v Rich </w:t>
      </w:r>
      <w:r>
        <w:rPr>
          <w:sz w:val="20"/>
        </w:rPr>
        <w:t>(whaling) –</w:t>
      </w:r>
      <w:r w:rsidR="001D68A3">
        <w:rPr>
          <w:sz w:val="20"/>
        </w:rPr>
        <w:t xml:space="preserve"> Property right created if </w:t>
      </w:r>
      <w:r>
        <w:rPr>
          <w:sz w:val="20"/>
        </w:rPr>
        <w:t>everything possible to establish possession</w:t>
      </w:r>
      <w:r w:rsidR="001D68A3">
        <w:rPr>
          <w:sz w:val="20"/>
        </w:rPr>
        <w:t xml:space="preserve"> is done</w:t>
      </w:r>
    </w:p>
    <w:p w14:paraId="3F850A96" w14:textId="69F4266D" w:rsidR="001D68A3" w:rsidRDefault="00F35B5B" w:rsidP="00455AD8">
      <w:pPr>
        <w:pStyle w:val="ListParagraph"/>
        <w:numPr>
          <w:ilvl w:val="1"/>
          <w:numId w:val="9"/>
        </w:numPr>
        <w:spacing w:after="0"/>
        <w:rPr>
          <w:sz w:val="20"/>
        </w:rPr>
      </w:pPr>
      <w:r>
        <w:rPr>
          <w:sz w:val="20"/>
        </w:rPr>
        <w:t>Echoes</w:t>
      </w:r>
      <w:r w:rsidR="001D68A3">
        <w:rPr>
          <w:sz w:val="20"/>
        </w:rPr>
        <w:t xml:space="preserve"> </w:t>
      </w:r>
      <w:r w:rsidR="001D68A3">
        <w:rPr>
          <w:i/>
          <w:sz w:val="20"/>
        </w:rPr>
        <w:t xml:space="preserve">Pierson </w:t>
      </w:r>
      <w:r w:rsidR="001D68A3">
        <w:rPr>
          <w:sz w:val="20"/>
        </w:rPr>
        <w:t>dissent’s c</w:t>
      </w:r>
      <w:r>
        <w:rPr>
          <w:sz w:val="20"/>
        </w:rPr>
        <w:t xml:space="preserve">oncern with incentives – </w:t>
      </w:r>
      <w:r w:rsidR="001D68A3">
        <w:rPr>
          <w:sz w:val="20"/>
        </w:rPr>
        <w:t>a</w:t>
      </w:r>
      <w:r>
        <w:rPr>
          <w:sz w:val="20"/>
        </w:rPr>
        <w:t>ny other rule</w:t>
      </w:r>
      <w:r w:rsidR="001D68A3">
        <w:rPr>
          <w:sz w:val="20"/>
        </w:rPr>
        <w:t xml:space="preserve"> destroy</w:t>
      </w:r>
      <w:r>
        <w:rPr>
          <w:sz w:val="20"/>
        </w:rPr>
        <w:t>s</w:t>
      </w:r>
      <w:r w:rsidR="001D68A3">
        <w:rPr>
          <w:sz w:val="20"/>
        </w:rPr>
        <w:t xml:space="preserve"> </w:t>
      </w:r>
      <w:r>
        <w:rPr>
          <w:sz w:val="20"/>
        </w:rPr>
        <w:t>whaling incentives</w:t>
      </w:r>
    </w:p>
    <w:p w14:paraId="6A9C182B" w14:textId="40E37F9A" w:rsidR="005F68E6" w:rsidRDefault="005F68E6" w:rsidP="00455AD8">
      <w:pPr>
        <w:pStyle w:val="ListParagraph"/>
        <w:numPr>
          <w:ilvl w:val="1"/>
          <w:numId w:val="9"/>
        </w:numPr>
        <w:spacing w:after="0"/>
        <w:rPr>
          <w:sz w:val="20"/>
        </w:rPr>
      </w:pPr>
      <w:r>
        <w:rPr>
          <w:sz w:val="20"/>
        </w:rPr>
        <w:t xml:space="preserve">Also </w:t>
      </w:r>
      <w:r w:rsidR="00F35B5B">
        <w:rPr>
          <w:sz w:val="20"/>
        </w:rPr>
        <w:t xml:space="preserve">follows local custom, </w:t>
      </w:r>
      <w:r>
        <w:rPr>
          <w:sz w:val="20"/>
        </w:rPr>
        <w:t xml:space="preserve">which </w:t>
      </w:r>
      <w:r w:rsidR="00F35B5B">
        <w:rPr>
          <w:sz w:val="20"/>
        </w:rPr>
        <w:t>didn’t</w:t>
      </w:r>
      <w:r>
        <w:rPr>
          <w:sz w:val="20"/>
        </w:rPr>
        <w:t xml:space="preserve"> occur in </w:t>
      </w:r>
      <w:r>
        <w:rPr>
          <w:i/>
          <w:sz w:val="20"/>
        </w:rPr>
        <w:t>Pierson</w:t>
      </w:r>
    </w:p>
    <w:p w14:paraId="6E365EA8" w14:textId="142EE78F" w:rsidR="001D68A3" w:rsidRPr="001E691B" w:rsidRDefault="008B4ABF" w:rsidP="00455AD8">
      <w:pPr>
        <w:pStyle w:val="ListParagraph"/>
        <w:numPr>
          <w:ilvl w:val="0"/>
          <w:numId w:val="9"/>
        </w:numPr>
        <w:spacing w:after="0"/>
        <w:rPr>
          <w:sz w:val="20"/>
        </w:rPr>
      </w:pPr>
      <w:r>
        <w:rPr>
          <w:sz w:val="20"/>
        </w:rPr>
        <w:t>Malicious interference with livelihood creates a cause of action</w:t>
      </w:r>
      <w:r w:rsidR="00F35B5B">
        <w:rPr>
          <w:sz w:val="20"/>
        </w:rPr>
        <w:t>. Competition doesn’t</w:t>
      </w:r>
      <w:r>
        <w:rPr>
          <w:sz w:val="20"/>
        </w:rPr>
        <w:t xml:space="preserve"> (</w:t>
      </w:r>
      <w:r>
        <w:rPr>
          <w:i/>
          <w:sz w:val="20"/>
        </w:rPr>
        <w:t xml:space="preserve">Keeble v. Hickeringill </w:t>
      </w:r>
      <w:r>
        <w:rPr>
          <w:sz w:val="20"/>
        </w:rPr>
        <w:t>– duck decoy)</w:t>
      </w:r>
    </w:p>
    <w:p w14:paraId="49AA394D" w14:textId="4774CF8D" w:rsidR="00C665D3" w:rsidRDefault="008B4ABF" w:rsidP="00455AD8">
      <w:pPr>
        <w:pStyle w:val="Heading4"/>
        <w:spacing w:before="0"/>
        <w:rPr>
          <w:sz w:val="20"/>
          <w:szCs w:val="20"/>
        </w:rPr>
      </w:pPr>
      <w:r>
        <w:rPr>
          <w:sz w:val="20"/>
          <w:szCs w:val="20"/>
        </w:rPr>
        <w:t>Finding</w:t>
      </w:r>
    </w:p>
    <w:p w14:paraId="47191294" w14:textId="3E8C36E8" w:rsidR="008002D9" w:rsidRPr="001C457B" w:rsidRDefault="001C457B" w:rsidP="00455AD8">
      <w:pPr>
        <w:pStyle w:val="ListParagraph"/>
        <w:numPr>
          <w:ilvl w:val="0"/>
          <w:numId w:val="31"/>
        </w:numPr>
      </w:pPr>
      <w:r>
        <w:rPr>
          <w:sz w:val="20"/>
        </w:rPr>
        <w:t>Title of a finder is good against anyone except the true owner</w:t>
      </w:r>
      <w:r w:rsidR="005A5437">
        <w:rPr>
          <w:sz w:val="20"/>
        </w:rPr>
        <w:t xml:space="preserve"> (</w:t>
      </w:r>
      <w:r w:rsidR="005A5437">
        <w:rPr>
          <w:i/>
          <w:sz w:val="20"/>
        </w:rPr>
        <w:t>Armory</w:t>
      </w:r>
      <w:r w:rsidR="005A5437">
        <w:rPr>
          <w:sz w:val="20"/>
        </w:rPr>
        <w:t xml:space="preserve"> –</w:t>
      </w:r>
      <w:r w:rsidR="005A5437">
        <w:rPr>
          <w:i/>
        </w:rPr>
        <w:t xml:space="preserve"> </w:t>
      </w:r>
      <w:r w:rsidR="005A5437" w:rsidRPr="000F7527">
        <w:rPr>
          <w:sz w:val="20"/>
        </w:rPr>
        <w:t>found jewel)</w:t>
      </w:r>
      <w:r w:rsidR="005A5437" w:rsidRPr="000F7527">
        <w:rPr>
          <w:sz w:val="16"/>
        </w:rPr>
        <w:t xml:space="preserve"> </w:t>
      </w:r>
      <w:r w:rsidRPr="000F7527">
        <w:rPr>
          <w:sz w:val="16"/>
        </w:rPr>
        <w:t xml:space="preserve"> </w:t>
      </w:r>
    </w:p>
    <w:p w14:paraId="7FE039FC" w14:textId="3442277B" w:rsidR="001C457B" w:rsidRPr="00285E9E" w:rsidRDefault="005A5437" w:rsidP="00455AD8">
      <w:pPr>
        <w:pStyle w:val="ListParagraph"/>
        <w:numPr>
          <w:ilvl w:val="1"/>
          <w:numId w:val="31"/>
        </w:numPr>
      </w:pPr>
      <w:r>
        <w:rPr>
          <w:sz w:val="20"/>
        </w:rPr>
        <w:t xml:space="preserve">Might be limited in instances of dishonest possession (but see </w:t>
      </w:r>
      <w:r>
        <w:rPr>
          <w:i/>
          <w:sz w:val="20"/>
        </w:rPr>
        <w:t xml:space="preserve">Anderson v. Gouldberg </w:t>
      </w:r>
      <w:r>
        <w:rPr>
          <w:sz w:val="20"/>
        </w:rPr>
        <w:t>– trespasser has superior title over subsequent possessor)</w:t>
      </w:r>
    </w:p>
    <w:p w14:paraId="15964C91" w14:textId="505895CB" w:rsidR="00285E9E" w:rsidRPr="000F7527" w:rsidRDefault="00285E9E" w:rsidP="00455AD8">
      <w:pPr>
        <w:pStyle w:val="ListParagraph"/>
        <w:numPr>
          <w:ilvl w:val="1"/>
          <w:numId w:val="31"/>
        </w:numPr>
      </w:pPr>
      <w:r>
        <w:rPr>
          <w:sz w:val="20"/>
        </w:rPr>
        <w:t>If the finder is an employee, the law is unclear (</w:t>
      </w:r>
      <w:r>
        <w:rPr>
          <w:i/>
          <w:sz w:val="20"/>
        </w:rPr>
        <w:t>South Staffordshire Water Co. v. Sharman</w:t>
      </w:r>
      <w:r>
        <w:rPr>
          <w:sz w:val="20"/>
        </w:rPr>
        <w:t>)</w:t>
      </w:r>
    </w:p>
    <w:p w14:paraId="1A76ED66" w14:textId="6DB6C67A" w:rsidR="000F7527" w:rsidRPr="00E45FB6" w:rsidRDefault="000F7527" w:rsidP="00455AD8">
      <w:pPr>
        <w:pStyle w:val="ListParagraph"/>
        <w:numPr>
          <w:ilvl w:val="0"/>
          <w:numId w:val="31"/>
        </w:numPr>
      </w:pPr>
      <w:r>
        <w:rPr>
          <w:sz w:val="20"/>
        </w:rPr>
        <w:t>The general U.S. rule is that finders prevail over owners of the premises (</w:t>
      </w:r>
      <w:r w:rsidRPr="000F7527">
        <w:rPr>
          <w:i/>
          <w:sz w:val="20"/>
          <w:szCs w:val="20"/>
        </w:rPr>
        <w:t xml:space="preserve">Hannah v. Peel </w:t>
      </w:r>
      <w:r w:rsidRPr="000F7527">
        <w:rPr>
          <w:sz w:val="20"/>
          <w:szCs w:val="20"/>
        </w:rPr>
        <w:t>– found brooch)</w:t>
      </w:r>
    </w:p>
    <w:p w14:paraId="085D1423" w14:textId="6F583E7B" w:rsidR="00E45FB6" w:rsidRPr="00E45FB6" w:rsidRDefault="00E45FB6" w:rsidP="00455AD8">
      <w:pPr>
        <w:pStyle w:val="ListParagraph"/>
        <w:numPr>
          <w:ilvl w:val="1"/>
          <w:numId w:val="31"/>
        </w:numPr>
      </w:pPr>
      <w:r>
        <w:rPr>
          <w:sz w:val="20"/>
          <w:szCs w:val="20"/>
        </w:rPr>
        <w:t>Also clarifies that premises owner owns everything attached to or under the land</w:t>
      </w:r>
    </w:p>
    <w:p w14:paraId="1BECFD1B" w14:textId="73DFBB81" w:rsidR="00E45FB6" w:rsidRPr="00E45FB6" w:rsidRDefault="00E45FB6" w:rsidP="00455AD8">
      <w:pPr>
        <w:pStyle w:val="ListParagraph"/>
        <w:numPr>
          <w:ilvl w:val="1"/>
          <w:numId w:val="31"/>
        </w:numPr>
      </w:pPr>
      <w:r>
        <w:rPr>
          <w:sz w:val="20"/>
          <w:szCs w:val="20"/>
        </w:rPr>
        <w:t>Introduces the lost-mislaid-abandoned spectrum</w:t>
      </w:r>
    </w:p>
    <w:p w14:paraId="2761F423" w14:textId="5860EE44" w:rsidR="00E45FB6" w:rsidRPr="00E45FB6" w:rsidRDefault="00E45FB6" w:rsidP="00455AD8">
      <w:pPr>
        <w:pStyle w:val="ListParagraph"/>
        <w:numPr>
          <w:ilvl w:val="2"/>
          <w:numId w:val="31"/>
        </w:numPr>
      </w:pPr>
      <w:r>
        <w:rPr>
          <w:sz w:val="20"/>
          <w:szCs w:val="20"/>
        </w:rPr>
        <w:t>Lost property goes to the finder (</w:t>
      </w:r>
      <w:r>
        <w:rPr>
          <w:i/>
          <w:sz w:val="20"/>
          <w:szCs w:val="20"/>
        </w:rPr>
        <w:t>Bridges v. Hawkesworth</w:t>
      </w:r>
      <w:r>
        <w:rPr>
          <w:sz w:val="20"/>
          <w:szCs w:val="20"/>
        </w:rPr>
        <w:t xml:space="preserve"> – bag of notes on shop floor)</w:t>
      </w:r>
    </w:p>
    <w:p w14:paraId="1485497D" w14:textId="45EA4B79" w:rsidR="00E45FB6" w:rsidRPr="008002D9" w:rsidRDefault="00E45FB6" w:rsidP="00455AD8">
      <w:pPr>
        <w:pStyle w:val="ListParagraph"/>
        <w:numPr>
          <w:ilvl w:val="2"/>
          <w:numId w:val="31"/>
        </w:numPr>
      </w:pPr>
      <w:r>
        <w:rPr>
          <w:sz w:val="20"/>
          <w:szCs w:val="20"/>
        </w:rPr>
        <w:t xml:space="preserve">Mislaid property goes to premises owner (promotes </w:t>
      </w:r>
      <w:r w:rsidR="00BE4FB7">
        <w:rPr>
          <w:sz w:val="20"/>
          <w:szCs w:val="20"/>
        </w:rPr>
        <w:t>return of</w:t>
      </w:r>
      <w:r>
        <w:rPr>
          <w:sz w:val="20"/>
          <w:szCs w:val="20"/>
        </w:rPr>
        <w:t xml:space="preserve"> object to true owner) (</w:t>
      </w:r>
      <w:r>
        <w:rPr>
          <w:i/>
          <w:sz w:val="20"/>
          <w:szCs w:val="20"/>
        </w:rPr>
        <w:t>McAvoy v. Medina</w:t>
      </w:r>
      <w:r>
        <w:rPr>
          <w:sz w:val="20"/>
          <w:szCs w:val="20"/>
        </w:rPr>
        <w:t xml:space="preserve"> – wallet mislaid in barbershop)</w:t>
      </w:r>
    </w:p>
    <w:p w14:paraId="2CAE3418" w14:textId="303FA4D4" w:rsidR="008B4ABF" w:rsidRDefault="008B4ABF" w:rsidP="00455AD8">
      <w:pPr>
        <w:pStyle w:val="Heading4"/>
        <w:spacing w:before="0"/>
        <w:rPr>
          <w:sz w:val="20"/>
          <w:szCs w:val="20"/>
        </w:rPr>
      </w:pPr>
      <w:r>
        <w:rPr>
          <w:sz w:val="20"/>
          <w:szCs w:val="20"/>
        </w:rPr>
        <w:t>Exclusion</w:t>
      </w:r>
    </w:p>
    <w:p w14:paraId="71E10AE3" w14:textId="68D92422" w:rsidR="00BE4FB7" w:rsidRDefault="00BE4FB7" w:rsidP="00455AD8">
      <w:pPr>
        <w:pStyle w:val="ListParagraph"/>
        <w:numPr>
          <w:ilvl w:val="0"/>
          <w:numId w:val="32"/>
        </w:numPr>
        <w:rPr>
          <w:sz w:val="20"/>
        </w:rPr>
      </w:pPr>
      <w:r>
        <w:rPr>
          <w:sz w:val="20"/>
        </w:rPr>
        <w:t>Punitive damages may be assessed for intentional trespasses, since nominal damages are an insufficient disincentive (</w:t>
      </w:r>
      <w:r>
        <w:rPr>
          <w:i/>
          <w:sz w:val="20"/>
        </w:rPr>
        <w:t xml:space="preserve">Jacque v. Steenberg </w:t>
      </w:r>
      <w:r w:rsidR="00A445C9">
        <w:rPr>
          <w:i/>
          <w:sz w:val="20"/>
        </w:rPr>
        <w:t xml:space="preserve">Homes </w:t>
      </w:r>
      <w:r>
        <w:rPr>
          <w:sz w:val="20"/>
        </w:rPr>
        <w:t>– mobile home transportation)</w:t>
      </w:r>
    </w:p>
    <w:p w14:paraId="2A979305" w14:textId="4D6DDE70" w:rsidR="00A445C9" w:rsidRDefault="00A445C9" w:rsidP="00455AD8">
      <w:pPr>
        <w:pStyle w:val="ListParagraph"/>
        <w:numPr>
          <w:ilvl w:val="1"/>
          <w:numId w:val="32"/>
        </w:numPr>
        <w:rPr>
          <w:sz w:val="20"/>
        </w:rPr>
      </w:pPr>
      <w:r>
        <w:rPr>
          <w:sz w:val="20"/>
        </w:rPr>
        <w:t xml:space="preserve">Similar to </w:t>
      </w:r>
      <w:r>
        <w:rPr>
          <w:i/>
          <w:sz w:val="20"/>
        </w:rPr>
        <w:t xml:space="preserve">People v. Likar </w:t>
      </w:r>
      <w:r>
        <w:rPr>
          <w:sz w:val="20"/>
        </w:rPr>
        <w:t>(criminal trespass to retrieve envelope) – exclusion is one of the most critical sticks in the bundle of property rights</w:t>
      </w:r>
    </w:p>
    <w:p w14:paraId="5B29EB9E" w14:textId="6559E74B" w:rsidR="00EC03E6" w:rsidRDefault="00EC03E6" w:rsidP="00455AD8">
      <w:pPr>
        <w:pStyle w:val="ListParagraph"/>
        <w:numPr>
          <w:ilvl w:val="1"/>
          <w:numId w:val="32"/>
        </w:numPr>
        <w:rPr>
          <w:sz w:val="20"/>
        </w:rPr>
      </w:pPr>
      <w:r>
        <w:rPr>
          <w:sz w:val="20"/>
        </w:rPr>
        <w:lastRenderedPageBreak/>
        <w:t>Property rights exist to serve human values; common sense and policy goals may trump traditional property rights (</w:t>
      </w:r>
      <w:r>
        <w:rPr>
          <w:i/>
          <w:sz w:val="20"/>
        </w:rPr>
        <w:t>State v. Shack</w:t>
      </w:r>
      <w:r>
        <w:rPr>
          <w:sz w:val="20"/>
        </w:rPr>
        <w:t xml:space="preserve"> – migrant workers may receive visitors)</w:t>
      </w:r>
    </w:p>
    <w:p w14:paraId="6D4C1B65" w14:textId="69422BCF" w:rsidR="00A445C9" w:rsidRDefault="00A445C9" w:rsidP="00455AD8">
      <w:pPr>
        <w:pStyle w:val="ListParagraph"/>
        <w:numPr>
          <w:ilvl w:val="1"/>
          <w:numId w:val="32"/>
        </w:numPr>
        <w:rPr>
          <w:sz w:val="20"/>
        </w:rPr>
      </w:pPr>
      <w:r>
        <w:rPr>
          <w:sz w:val="20"/>
        </w:rPr>
        <w:t>Reflects German/Continental perceptions of property as creating social responsibilities</w:t>
      </w:r>
    </w:p>
    <w:p w14:paraId="46FCA52F" w14:textId="67E8E3DE" w:rsidR="00EC03E6" w:rsidRDefault="00EC03E6" w:rsidP="00455AD8">
      <w:pPr>
        <w:pStyle w:val="ListParagraph"/>
        <w:numPr>
          <w:ilvl w:val="0"/>
          <w:numId w:val="32"/>
        </w:numPr>
        <w:rPr>
          <w:sz w:val="20"/>
        </w:rPr>
      </w:pPr>
      <w:r>
        <w:rPr>
          <w:sz w:val="20"/>
        </w:rPr>
        <w:t>Private shopping centers must permit freedom of expression when required to do so under state law, unless such requirements approach constitutional boundaries (</w:t>
      </w:r>
      <w:r>
        <w:rPr>
          <w:i/>
          <w:sz w:val="20"/>
        </w:rPr>
        <w:t>Pruneyard v. Robins</w:t>
      </w:r>
      <w:r>
        <w:rPr>
          <w:sz w:val="20"/>
        </w:rPr>
        <w:t>)</w:t>
      </w:r>
    </w:p>
    <w:p w14:paraId="19338102" w14:textId="14821D91" w:rsidR="00EC03E6" w:rsidRDefault="00EC03E6" w:rsidP="00455AD8">
      <w:pPr>
        <w:pStyle w:val="ListParagraph"/>
        <w:numPr>
          <w:ilvl w:val="1"/>
          <w:numId w:val="32"/>
        </w:numPr>
        <w:rPr>
          <w:sz w:val="20"/>
        </w:rPr>
      </w:pPr>
      <w:r>
        <w:rPr>
          <w:sz w:val="20"/>
        </w:rPr>
        <w:t>States can adopt reasonable restrictions on private property as long as such restrictions don’t implicate due process violations</w:t>
      </w:r>
      <w:r w:rsidR="00204817">
        <w:rPr>
          <w:sz w:val="20"/>
        </w:rPr>
        <w:t xml:space="preserve"> </w:t>
      </w:r>
    </w:p>
    <w:p w14:paraId="611988F4" w14:textId="206B04DD" w:rsidR="00204817" w:rsidRDefault="00204817" w:rsidP="00455AD8">
      <w:pPr>
        <w:pStyle w:val="ListParagraph"/>
        <w:numPr>
          <w:ilvl w:val="1"/>
          <w:numId w:val="32"/>
        </w:numPr>
        <w:rPr>
          <w:sz w:val="20"/>
        </w:rPr>
      </w:pPr>
      <w:r>
        <w:rPr>
          <w:sz w:val="20"/>
        </w:rPr>
        <w:t xml:space="preserve">Marshall’s concurrence argues that states must be allowed to revise common law rights (with the exception of a certain core), or risk returning to the </w:t>
      </w:r>
      <w:r>
        <w:rPr>
          <w:i/>
          <w:sz w:val="20"/>
        </w:rPr>
        <w:t xml:space="preserve">Lochner </w:t>
      </w:r>
      <w:r>
        <w:rPr>
          <w:sz w:val="20"/>
        </w:rPr>
        <w:t>era</w:t>
      </w:r>
    </w:p>
    <w:p w14:paraId="2C30D13E" w14:textId="56DE0FFF" w:rsidR="00287167" w:rsidRDefault="00287167" w:rsidP="00455AD8">
      <w:pPr>
        <w:pStyle w:val="ListParagraph"/>
        <w:numPr>
          <w:ilvl w:val="2"/>
          <w:numId w:val="32"/>
        </w:numPr>
        <w:rPr>
          <w:sz w:val="20"/>
        </w:rPr>
      </w:pPr>
      <w:r>
        <w:rPr>
          <w:sz w:val="20"/>
        </w:rPr>
        <w:t>May be motivated by an urbanization-esque argument; shopping malls are public fora conducive to ensuring speech is heard by a large number of people</w:t>
      </w:r>
    </w:p>
    <w:p w14:paraId="4FDC7425" w14:textId="553D728B" w:rsidR="00287167" w:rsidRDefault="00287167" w:rsidP="00455AD8">
      <w:pPr>
        <w:pStyle w:val="ListParagraph"/>
        <w:numPr>
          <w:ilvl w:val="1"/>
          <w:numId w:val="32"/>
        </w:numPr>
        <w:rPr>
          <w:sz w:val="20"/>
        </w:rPr>
      </w:pPr>
      <w:r>
        <w:rPr>
          <w:sz w:val="20"/>
        </w:rPr>
        <w:t xml:space="preserve">Several cases exhibit tension between right to exclude and other rights: </w:t>
      </w:r>
    </w:p>
    <w:p w14:paraId="2104EE7A" w14:textId="13C3D6D4" w:rsidR="00287167" w:rsidRDefault="00287167" w:rsidP="00455AD8">
      <w:pPr>
        <w:pStyle w:val="ListParagraph"/>
        <w:numPr>
          <w:ilvl w:val="2"/>
          <w:numId w:val="32"/>
        </w:numPr>
        <w:rPr>
          <w:sz w:val="20"/>
        </w:rPr>
      </w:pPr>
      <w:r>
        <w:rPr>
          <w:i/>
          <w:sz w:val="20"/>
        </w:rPr>
        <w:t xml:space="preserve">Marsh v. Alabama </w:t>
      </w:r>
      <w:r>
        <w:rPr>
          <w:sz w:val="20"/>
        </w:rPr>
        <w:t>– Jehovah’s Witnesses in a company-owned town must be permitted</w:t>
      </w:r>
    </w:p>
    <w:p w14:paraId="0AFB4861" w14:textId="6B85BB18" w:rsidR="00A445C9" w:rsidRDefault="00A445C9" w:rsidP="00455AD8">
      <w:pPr>
        <w:pStyle w:val="ListParagraph"/>
        <w:numPr>
          <w:ilvl w:val="3"/>
          <w:numId w:val="32"/>
        </w:numPr>
        <w:rPr>
          <w:sz w:val="20"/>
        </w:rPr>
      </w:pPr>
      <w:r>
        <w:rPr>
          <w:sz w:val="20"/>
        </w:rPr>
        <w:t xml:space="preserve">Can </w:t>
      </w:r>
      <w:r>
        <w:rPr>
          <w:i/>
          <w:sz w:val="20"/>
        </w:rPr>
        <w:t xml:space="preserve">Marsh </w:t>
      </w:r>
      <w:r w:rsidR="00F35B5B">
        <w:rPr>
          <w:sz w:val="20"/>
        </w:rPr>
        <w:t>extend</w:t>
      </w:r>
      <w:r>
        <w:rPr>
          <w:sz w:val="20"/>
        </w:rPr>
        <w:t xml:space="preserve"> to university/corporate campuses? Gated communities? </w:t>
      </w:r>
    </w:p>
    <w:p w14:paraId="6991A716" w14:textId="492BB0F7" w:rsidR="00287167" w:rsidRDefault="00287167" w:rsidP="00455AD8">
      <w:pPr>
        <w:pStyle w:val="ListParagraph"/>
        <w:numPr>
          <w:ilvl w:val="2"/>
          <w:numId w:val="32"/>
        </w:numPr>
        <w:rPr>
          <w:sz w:val="20"/>
        </w:rPr>
      </w:pPr>
      <w:r>
        <w:rPr>
          <w:i/>
          <w:sz w:val="20"/>
        </w:rPr>
        <w:t xml:space="preserve">Logan Valley </w:t>
      </w:r>
      <w:r>
        <w:rPr>
          <w:sz w:val="20"/>
        </w:rPr>
        <w:t>– Leaflet distribution protesting a mall tenant’s practices is permitted</w:t>
      </w:r>
    </w:p>
    <w:p w14:paraId="1E0BC383" w14:textId="26CCE653" w:rsidR="00287167" w:rsidRDefault="00287167" w:rsidP="00455AD8">
      <w:pPr>
        <w:pStyle w:val="ListParagraph"/>
        <w:numPr>
          <w:ilvl w:val="2"/>
          <w:numId w:val="32"/>
        </w:numPr>
        <w:rPr>
          <w:sz w:val="20"/>
        </w:rPr>
      </w:pPr>
      <w:r>
        <w:rPr>
          <w:i/>
          <w:sz w:val="20"/>
        </w:rPr>
        <w:t xml:space="preserve">Lloyd v. Tanner </w:t>
      </w:r>
      <w:r>
        <w:rPr>
          <w:sz w:val="20"/>
        </w:rPr>
        <w:t>– Political leaflets in a mall are not permitted (no connection to mall)</w:t>
      </w:r>
    </w:p>
    <w:p w14:paraId="7A2CE151" w14:textId="0EA1FF6A" w:rsidR="00287167" w:rsidRPr="00A0684F" w:rsidRDefault="00287167" w:rsidP="00455AD8">
      <w:pPr>
        <w:pStyle w:val="ListParagraph"/>
        <w:numPr>
          <w:ilvl w:val="2"/>
          <w:numId w:val="32"/>
        </w:numPr>
        <w:rPr>
          <w:sz w:val="20"/>
        </w:rPr>
      </w:pPr>
      <w:r>
        <w:rPr>
          <w:i/>
          <w:sz w:val="20"/>
        </w:rPr>
        <w:t xml:space="preserve">Hudgens v. NLRB </w:t>
      </w:r>
      <w:r>
        <w:rPr>
          <w:sz w:val="20"/>
        </w:rPr>
        <w:t xml:space="preserve">– Overruled </w:t>
      </w:r>
      <w:r>
        <w:rPr>
          <w:i/>
          <w:sz w:val="20"/>
        </w:rPr>
        <w:t>Logan Valley</w:t>
      </w:r>
      <w:r>
        <w:rPr>
          <w:sz w:val="20"/>
        </w:rPr>
        <w:t xml:space="preserve">. Private shopping mall is not equivalent to a town, therefore distinguishable from </w:t>
      </w:r>
      <w:r>
        <w:rPr>
          <w:i/>
          <w:sz w:val="20"/>
        </w:rPr>
        <w:t>Marsh v. Alabama</w:t>
      </w:r>
    </w:p>
    <w:p w14:paraId="2DB3709D" w14:textId="50BC3B48" w:rsidR="00A0684F" w:rsidRPr="00BE4FB7" w:rsidRDefault="00A0684F" w:rsidP="00455AD8">
      <w:pPr>
        <w:pStyle w:val="ListParagraph"/>
        <w:numPr>
          <w:ilvl w:val="2"/>
          <w:numId w:val="32"/>
        </w:numPr>
        <w:rPr>
          <w:sz w:val="20"/>
        </w:rPr>
      </w:pPr>
      <w:r>
        <w:rPr>
          <w:i/>
          <w:sz w:val="20"/>
        </w:rPr>
        <w:t xml:space="preserve">Appleby v. U.K. </w:t>
      </w:r>
      <w:r>
        <w:rPr>
          <w:sz w:val="20"/>
        </w:rPr>
        <w:t>– Under UK law, freedom of speech is subjugated to property law unless speech is effectively barred</w:t>
      </w:r>
    </w:p>
    <w:p w14:paraId="55A283B0" w14:textId="77777777" w:rsidR="008B4ABF" w:rsidRDefault="008B4ABF" w:rsidP="00455AD8">
      <w:pPr>
        <w:pStyle w:val="Heading4"/>
        <w:spacing w:before="0"/>
        <w:rPr>
          <w:sz w:val="20"/>
          <w:szCs w:val="20"/>
        </w:rPr>
      </w:pPr>
      <w:r>
        <w:rPr>
          <w:sz w:val="20"/>
          <w:szCs w:val="20"/>
        </w:rPr>
        <w:t>Adverse Possession</w:t>
      </w:r>
    </w:p>
    <w:p w14:paraId="3C29863C" w14:textId="06F4F4BD" w:rsidR="00EF67F9" w:rsidRPr="00F35B5B" w:rsidRDefault="00EF67F9" w:rsidP="00F35B5B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F35B5B">
        <w:rPr>
          <w:sz w:val="20"/>
        </w:rPr>
        <w:t xml:space="preserve">Rationales for adverse possession doctrine include: </w:t>
      </w:r>
      <w:r w:rsidR="00F35B5B" w:rsidRPr="00F35B5B">
        <w:rPr>
          <w:sz w:val="20"/>
        </w:rPr>
        <w:t xml:space="preserve">1) </w:t>
      </w:r>
      <w:r w:rsidRPr="00F35B5B">
        <w:rPr>
          <w:sz w:val="20"/>
        </w:rPr>
        <w:t>Desire to reward those who put land to societally productive use (Locke)</w:t>
      </w:r>
      <w:r w:rsidR="00F35B5B" w:rsidRPr="00F35B5B">
        <w:rPr>
          <w:sz w:val="20"/>
        </w:rPr>
        <w:t xml:space="preserve">, 2) </w:t>
      </w:r>
      <w:r w:rsidRPr="00F35B5B">
        <w:rPr>
          <w:sz w:val="20"/>
          <w:szCs w:val="20"/>
        </w:rPr>
        <w:t>Desire to reward the diligent trespasser and/or punish negligent owner</w:t>
      </w:r>
      <w:r w:rsidR="00F35B5B" w:rsidRPr="00F35B5B">
        <w:rPr>
          <w:sz w:val="20"/>
          <w:szCs w:val="20"/>
        </w:rPr>
        <w:t xml:space="preserve">, 3) </w:t>
      </w:r>
      <w:r w:rsidRPr="00F35B5B">
        <w:rPr>
          <w:sz w:val="20"/>
          <w:szCs w:val="20"/>
        </w:rPr>
        <w:t>Need to provide proof of meritorious title / evidentiary concerns</w:t>
      </w:r>
      <w:r w:rsidR="00F35B5B" w:rsidRPr="00F35B5B">
        <w:rPr>
          <w:sz w:val="20"/>
          <w:szCs w:val="20"/>
        </w:rPr>
        <w:t xml:space="preserve"> and 4)</w:t>
      </w:r>
      <w:r w:rsidR="00F35B5B">
        <w:rPr>
          <w:sz w:val="20"/>
          <w:szCs w:val="20"/>
        </w:rPr>
        <w:t xml:space="preserve"> </w:t>
      </w:r>
      <w:r w:rsidRPr="00F35B5B">
        <w:rPr>
          <w:sz w:val="20"/>
          <w:szCs w:val="20"/>
        </w:rPr>
        <w:t>Fundamental fairness – balance of hardships shifts to trespasser after lapse of time (J.S. Mill)</w:t>
      </w:r>
    </w:p>
    <w:p w14:paraId="0F03CF21" w14:textId="1FC6A1C6" w:rsidR="00EF67F9" w:rsidRDefault="00EF67F9" w:rsidP="00455AD8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EF67F9">
        <w:rPr>
          <w:b/>
          <w:sz w:val="20"/>
          <w:szCs w:val="20"/>
        </w:rPr>
        <w:t>Actual entry with exclusive possession</w:t>
      </w:r>
      <w:r>
        <w:rPr>
          <w:sz w:val="20"/>
          <w:szCs w:val="20"/>
        </w:rPr>
        <w:t xml:space="preserve"> – </w:t>
      </w:r>
    </w:p>
    <w:p w14:paraId="27EEDD8E" w14:textId="7E0259F5" w:rsidR="00EF67F9" w:rsidRDefault="00F35B5B" w:rsidP="00455AD8">
      <w:pPr>
        <w:pStyle w:val="ListParagraph"/>
        <w:numPr>
          <w:ilvl w:val="1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EF67F9">
        <w:rPr>
          <w:sz w:val="20"/>
          <w:szCs w:val="20"/>
        </w:rPr>
        <w:t>ersonal belongings, junk, and a garden was insufficient to constitute actual possession</w:t>
      </w:r>
      <w:r>
        <w:rPr>
          <w:sz w:val="20"/>
          <w:szCs w:val="20"/>
        </w:rPr>
        <w:t xml:space="preserve"> (</w:t>
      </w:r>
      <w:r>
        <w:rPr>
          <w:i/>
          <w:sz w:val="20"/>
          <w:szCs w:val="20"/>
        </w:rPr>
        <w:t>Van Valkenburgh v. Lutz</w:t>
      </w:r>
      <w:r>
        <w:rPr>
          <w:sz w:val="20"/>
          <w:szCs w:val="20"/>
        </w:rPr>
        <w:t>)</w:t>
      </w:r>
    </w:p>
    <w:p w14:paraId="03BF8D80" w14:textId="1FFD47EC" w:rsidR="00EF67F9" w:rsidRPr="00EF67F9" w:rsidRDefault="00F35B5B" w:rsidP="00455AD8">
      <w:pPr>
        <w:pStyle w:val="ListParagraph"/>
        <w:numPr>
          <w:ilvl w:val="2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Dissent argues</w:t>
      </w:r>
      <w:r w:rsidR="00EF67F9">
        <w:rPr>
          <w:sz w:val="20"/>
          <w:szCs w:val="20"/>
        </w:rPr>
        <w:t xml:space="preserve"> possession was significant, and points out errors in majority’s opinion (weighing evidence, not recognizing implicit title vesting in adverse possessor, etc.) </w:t>
      </w:r>
    </w:p>
    <w:p w14:paraId="2238F4D6" w14:textId="061358AB" w:rsidR="00EF67F9" w:rsidRDefault="00EF67F9" w:rsidP="00455AD8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Open and notorious</w:t>
      </w:r>
    </w:p>
    <w:p w14:paraId="60BE7820" w14:textId="2709F05C" w:rsidR="00EF67F9" w:rsidRDefault="00EF67F9" w:rsidP="00455AD8">
      <w:pPr>
        <w:pStyle w:val="ListParagraph"/>
        <w:numPr>
          <w:ilvl w:val="1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Must be sufficient to put the reasonably attentive owner on notice</w:t>
      </w:r>
    </w:p>
    <w:p w14:paraId="567F7292" w14:textId="2C9FE90D" w:rsidR="00EF67F9" w:rsidRPr="00EF67F9" w:rsidRDefault="00EF67F9" w:rsidP="00455AD8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Continuous for the statutory period</w:t>
      </w:r>
    </w:p>
    <w:p w14:paraId="0F6389C0" w14:textId="3F15181E" w:rsidR="00EF67F9" w:rsidRDefault="00EF67F9" w:rsidP="00455AD8">
      <w:pPr>
        <w:pStyle w:val="ListParagraph"/>
        <w:numPr>
          <w:ilvl w:val="1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Activities consistent with the typical owners’ use of the land are the only ones necessary to establish adverse title (</w:t>
      </w:r>
      <w:r>
        <w:rPr>
          <w:i/>
          <w:sz w:val="20"/>
          <w:szCs w:val="20"/>
        </w:rPr>
        <w:t xml:space="preserve">Ewing v. Burnet </w:t>
      </w:r>
      <w:r>
        <w:rPr>
          <w:sz w:val="20"/>
          <w:szCs w:val="20"/>
        </w:rPr>
        <w:t>– gravel pit)</w:t>
      </w:r>
      <w:r w:rsidR="005236B6">
        <w:rPr>
          <w:sz w:val="20"/>
          <w:szCs w:val="20"/>
        </w:rPr>
        <w:t xml:space="preserve">. Similar to </w:t>
      </w:r>
      <w:r w:rsidR="005236B6">
        <w:rPr>
          <w:i/>
          <w:sz w:val="20"/>
          <w:szCs w:val="20"/>
        </w:rPr>
        <w:t>Ghen v. Rich</w:t>
      </w:r>
      <w:r w:rsidR="005236B6">
        <w:rPr>
          <w:sz w:val="20"/>
          <w:szCs w:val="20"/>
        </w:rPr>
        <w:t>’s whaling rule</w:t>
      </w:r>
      <w:r>
        <w:rPr>
          <w:sz w:val="20"/>
          <w:szCs w:val="20"/>
        </w:rPr>
        <w:t xml:space="preserve"> </w:t>
      </w:r>
    </w:p>
    <w:p w14:paraId="2D4E9718" w14:textId="62AB8434" w:rsidR="002B76F5" w:rsidRDefault="002B76F5" w:rsidP="00455AD8">
      <w:pPr>
        <w:pStyle w:val="ListParagraph"/>
        <w:numPr>
          <w:ilvl w:val="2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Seasonal ownership, when typical for a plot of land, sufficiently establishes continuous ownership (</w:t>
      </w:r>
      <w:r>
        <w:rPr>
          <w:i/>
          <w:sz w:val="20"/>
          <w:szCs w:val="20"/>
        </w:rPr>
        <w:t>Howard v. Kunto</w:t>
      </w:r>
      <w:r>
        <w:rPr>
          <w:sz w:val="20"/>
          <w:szCs w:val="20"/>
        </w:rPr>
        <w:t xml:space="preserve"> – incorrect beach-house property deeds)</w:t>
      </w:r>
    </w:p>
    <w:p w14:paraId="0EF8323A" w14:textId="0F81CBBA" w:rsidR="002B76F5" w:rsidRPr="00EF67F9" w:rsidRDefault="002B76F5" w:rsidP="00455AD8">
      <w:pPr>
        <w:pStyle w:val="ListParagraph"/>
        <w:numPr>
          <w:ilvl w:val="2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If there is a reasonable connection between successive occupants, tacking to establish continuous possession is permitted</w:t>
      </w:r>
    </w:p>
    <w:p w14:paraId="4F19ACE0" w14:textId="6673D8DD" w:rsidR="00EF67F9" w:rsidRDefault="00EF67F9" w:rsidP="00455AD8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Adverse to true owner’s interest and under a claim of right</w:t>
      </w:r>
    </w:p>
    <w:p w14:paraId="45A8593A" w14:textId="6DD7B0ED" w:rsidR="00EF67F9" w:rsidRDefault="00EF67F9" w:rsidP="00455AD8">
      <w:pPr>
        <w:pStyle w:val="ListParagraph"/>
        <w:numPr>
          <w:ilvl w:val="1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Color of title is a claim founded on an invalid written instrument </w:t>
      </w:r>
    </w:p>
    <w:p w14:paraId="3CA6B773" w14:textId="62D88839" w:rsidR="00EF67F9" w:rsidRDefault="00EF67F9" w:rsidP="00455AD8">
      <w:pPr>
        <w:pStyle w:val="ListParagraph"/>
        <w:numPr>
          <w:ilvl w:val="2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Adverse possession is assumed to extend to the entirety of the land described in the invalid document</w:t>
      </w:r>
    </w:p>
    <w:p w14:paraId="091B0D3E" w14:textId="04FD5AF7" w:rsidR="00EF67F9" w:rsidRDefault="00EF67F9" w:rsidP="00455AD8">
      <w:pPr>
        <w:pStyle w:val="ListParagraph"/>
        <w:numPr>
          <w:ilvl w:val="2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Absent color of title, adverse possessor’s claim is limited to the land actually possessed</w:t>
      </w:r>
    </w:p>
    <w:p w14:paraId="57F80208" w14:textId="70E4C314" w:rsidR="00A63B2C" w:rsidRDefault="00A63B2C" w:rsidP="00455AD8">
      <w:pPr>
        <w:pStyle w:val="ListParagraph"/>
        <w:numPr>
          <w:ilvl w:val="1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Three state-of-mind options to determine “claim of right”</w:t>
      </w:r>
    </w:p>
    <w:p w14:paraId="6679FCD1" w14:textId="49DD8AE3" w:rsidR="00A63B2C" w:rsidRDefault="00A63B2C" w:rsidP="00455AD8">
      <w:pPr>
        <w:pStyle w:val="ListParagraph"/>
        <w:numPr>
          <w:ilvl w:val="2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State of mind is irrelevant (objective) (</w:t>
      </w:r>
      <w:r>
        <w:rPr>
          <w:i/>
          <w:sz w:val="20"/>
          <w:szCs w:val="20"/>
        </w:rPr>
        <w:t>Mannillo v. Gorski</w:t>
      </w:r>
      <w:r>
        <w:rPr>
          <w:sz w:val="20"/>
          <w:szCs w:val="20"/>
        </w:rPr>
        <w:t xml:space="preserve"> – concrete steps overstep boundary). This is the current majority view</w:t>
      </w:r>
    </w:p>
    <w:p w14:paraId="75D8971B" w14:textId="2BAD68F2" w:rsidR="00FE1387" w:rsidRDefault="00FE1387" w:rsidP="00455AD8">
      <w:pPr>
        <w:pStyle w:val="ListParagraph"/>
        <w:numPr>
          <w:ilvl w:val="3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Objective view is easiest to administer, reflects statute’s normal silence on possessor’s intent and reflects the reality that the result (possessor acts as an owner) is identical regardless of intent</w:t>
      </w:r>
    </w:p>
    <w:p w14:paraId="4A8ACCBF" w14:textId="4B38EE34" w:rsidR="00A63B2C" w:rsidRDefault="00A63B2C" w:rsidP="00455AD8">
      <w:pPr>
        <w:pStyle w:val="ListParagraph"/>
        <w:numPr>
          <w:ilvl w:val="3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Exception if true owner does not have actual knowledge of a minor incursion – statutory period does not begin to run until owner has actual knowledge</w:t>
      </w:r>
    </w:p>
    <w:p w14:paraId="555D4736" w14:textId="52BCDA1C" w:rsidR="00FE1387" w:rsidRDefault="00FE1387" w:rsidP="00455AD8">
      <w:pPr>
        <w:pStyle w:val="ListParagraph"/>
        <w:numPr>
          <w:ilvl w:val="4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Related to defense of laches (punishes intentional delay)</w:t>
      </w:r>
    </w:p>
    <w:p w14:paraId="61F40251" w14:textId="0EFB9C8B" w:rsidR="00A63B2C" w:rsidRDefault="00A63B2C" w:rsidP="00455AD8">
      <w:pPr>
        <w:pStyle w:val="ListParagraph"/>
        <w:numPr>
          <w:ilvl w:val="2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Good-faith standard (honest mistake)</w:t>
      </w:r>
    </w:p>
    <w:p w14:paraId="62171316" w14:textId="0547BC56" w:rsidR="00A63B2C" w:rsidRDefault="00A63B2C" w:rsidP="00455AD8">
      <w:pPr>
        <w:pStyle w:val="ListParagraph"/>
        <w:numPr>
          <w:ilvl w:val="2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Bad-faith stand</w:t>
      </w:r>
      <w:r w:rsidR="00F35B5B">
        <w:rPr>
          <w:sz w:val="20"/>
          <w:szCs w:val="20"/>
        </w:rPr>
        <w:t>ard (aggressive trespasser,</w:t>
      </w:r>
      <w:r>
        <w:rPr>
          <w:sz w:val="20"/>
          <w:szCs w:val="20"/>
        </w:rPr>
        <w:t xml:space="preserve"> Maine doctrine)</w:t>
      </w:r>
    </w:p>
    <w:p w14:paraId="5A12666D" w14:textId="1FA9C8D4" w:rsidR="000C3FAC" w:rsidRDefault="000C3FAC" w:rsidP="00455AD8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Boundary disputes can also be resolved through the doctrines of:</w:t>
      </w:r>
    </w:p>
    <w:p w14:paraId="2A889399" w14:textId="0725CC6D" w:rsidR="000C3FAC" w:rsidRDefault="000C3FAC" w:rsidP="00455AD8">
      <w:pPr>
        <w:pStyle w:val="ListParagraph"/>
        <w:numPr>
          <w:ilvl w:val="1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Agreed boundaries – An agreement that is respected for a long period of time is enforceable</w:t>
      </w:r>
    </w:p>
    <w:p w14:paraId="23BB668B" w14:textId="794F64AF" w:rsidR="000C3FAC" w:rsidRDefault="000C3FAC" w:rsidP="00455AD8">
      <w:pPr>
        <w:pStyle w:val="ListParagraph"/>
        <w:numPr>
          <w:ilvl w:val="1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Acquiescence – Long acquiescence is evidence of an agreement fixing the boundary line</w:t>
      </w:r>
    </w:p>
    <w:p w14:paraId="3F27EA2C" w14:textId="47EC181D" w:rsidR="000C3FAC" w:rsidRDefault="002B76F5" w:rsidP="00455AD8">
      <w:pPr>
        <w:pStyle w:val="ListParagraph"/>
        <w:numPr>
          <w:ilvl w:val="1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Estoppel – A party that changes position in reliance on another’s representations is protected from the other’s later denial of the validity of his previous actions</w:t>
      </w:r>
    </w:p>
    <w:p w14:paraId="4A30A9BA" w14:textId="01547354" w:rsidR="002B76F5" w:rsidRDefault="00FE1387" w:rsidP="00455AD8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Adverse possession of chattels</w:t>
      </w:r>
    </w:p>
    <w:p w14:paraId="5E4467F1" w14:textId="7589B248" w:rsidR="00FE1387" w:rsidRDefault="00FE1387" w:rsidP="00455AD8">
      <w:pPr>
        <w:pStyle w:val="ListParagraph"/>
        <w:numPr>
          <w:ilvl w:val="1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Statute of limitations does not begin to run until true owner knows or should have known of the cause of action (identity of possessor) (</w:t>
      </w:r>
      <w:r>
        <w:rPr>
          <w:i/>
          <w:sz w:val="20"/>
          <w:szCs w:val="20"/>
        </w:rPr>
        <w:t>O’Keefe v. Snyder</w:t>
      </w:r>
      <w:r>
        <w:rPr>
          <w:sz w:val="20"/>
          <w:szCs w:val="20"/>
        </w:rPr>
        <w:t>)</w:t>
      </w:r>
    </w:p>
    <w:p w14:paraId="226A2E50" w14:textId="18555822" w:rsidR="005236B6" w:rsidRDefault="005236B6" w:rsidP="00455AD8">
      <w:pPr>
        <w:pStyle w:val="ListParagraph"/>
        <w:numPr>
          <w:ilvl w:val="1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 bona fide purchaser should be able to acquire good title from an individual with voidable title (NOT a thief) against the true owner</w:t>
      </w:r>
    </w:p>
    <w:p w14:paraId="1916A301" w14:textId="39498237" w:rsidR="005236B6" w:rsidRDefault="005236B6" w:rsidP="00455AD8">
      <w:pPr>
        <w:pStyle w:val="ListParagraph"/>
        <w:numPr>
          <w:ilvl w:val="2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Refuted in </w:t>
      </w:r>
      <w:r>
        <w:rPr>
          <w:i/>
          <w:sz w:val="20"/>
          <w:szCs w:val="20"/>
        </w:rPr>
        <w:t>Guggenheim v. Lubell</w:t>
      </w:r>
      <w:r>
        <w:rPr>
          <w:sz w:val="20"/>
          <w:szCs w:val="20"/>
        </w:rPr>
        <w:t>, which puts the onus of verifying purchases on purchasers, rather than victimized owners</w:t>
      </w:r>
    </w:p>
    <w:p w14:paraId="5044AC10" w14:textId="2EFBD1C3" w:rsidR="00FE1387" w:rsidRDefault="00FE1387" w:rsidP="00455AD8">
      <w:pPr>
        <w:pStyle w:val="ListParagraph"/>
        <w:numPr>
          <w:ilvl w:val="2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Should law protect innocent owner or innocent bona fide purchaser?</w:t>
      </w:r>
    </w:p>
    <w:p w14:paraId="369FE408" w14:textId="3E4235A3" w:rsidR="00FE1387" w:rsidRPr="00C665D3" w:rsidRDefault="00FE1387" w:rsidP="00455AD8">
      <w:pPr>
        <w:pStyle w:val="ListParagraph"/>
        <w:numPr>
          <w:ilvl w:val="3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Reanimates tension between individual rights and community benefits</w:t>
      </w:r>
    </w:p>
    <w:p w14:paraId="229B4E00" w14:textId="2110C02B" w:rsidR="00505123" w:rsidRDefault="00425155" w:rsidP="00455AD8">
      <w:pPr>
        <w:pStyle w:val="Heading3"/>
        <w:spacing w:before="0"/>
        <w:rPr>
          <w:sz w:val="22"/>
          <w:szCs w:val="20"/>
        </w:rPr>
      </w:pPr>
      <w:r>
        <w:rPr>
          <w:sz w:val="22"/>
          <w:szCs w:val="20"/>
        </w:rPr>
        <w:t>Gratuitous Transfers</w:t>
      </w:r>
    </w:p>
    <w:p w14:paraId="3B0C2281" w14:textId="03250B83" w:rsidR="00505123" w:rsidRDefault="00425155" w:rsidP="00455AD8">
      <w:pPr>
        <w:pStyle w:val="Heading4"/>
        <w:spacing w:before="0"/>
        <w:rPr>
          <w:sz w:val="20"/>
          <w:szCs w:val="20"/>
        </w:rPr>
      </w:pPr>
      <w:r>
        <w:rPr>
          <w:sz w:val="20"/>
          <w:szCs w:val="20"/>
        </w:rPr>
        <w:t>Gifts</w:t>
      </w:r>
    </w:p>
    <w:p w14:paraId="1ED1BBB9" w14:textId="7B21F53A" w:rsidR="00FE1387" w:rsidRPr="00B36D16" w:rsidRDefault="00B36D16" w:rsidP="00455AD8">
      <w:pPr>
        <w:pStyle w:val="ListParagraph"/>
        <w:numPr>
          <w:ilvl w:val="0"/>
          <w:numId w:val="33"/>
        </w:numPr>
        <w:rPr>
          <w:sz w:val="20"/>
        </w:rPr>
      </w:pPr>
      <w:r w:rsidRPr="00B36D16">
        <w:rPr>
          <w:sz w:val="20"/>
        </w:rPr>
        <w:t xml:space="preserve">Three requirements to make a gift: </w:t>
      </w:r>
    </w:p>
    <w:p w14:paraId="3720A9E1" w14:textId="502B1724" w:rsidR="00B36D16" w:rsidRPr="00170C48" w:rsidRDefault="00B36D16" w:rsidP="00455AD8">
      <w:pPr>
        <w:pStyle w:val="ListParagraph"/>
        <w:numPr>
          <w:ilvl w:val="1"/>
          <w:numId w:val="33"/>
        </w:numPr>
      </w:pPr>
      <w:r>
        <w:rPr>
          <w:sz w:val="20"/>
        </w:rPr>
        <w:t xml:space="preserve">Donor must </w:t>
      </w:r>
      <w:r w:rsidRPr="005236B6">
        <w:rPr>
          <w:b/>
          <w:sz w:val="20"/>
        </w:rPr>
        <w:t>intend</w:t>
      </w:r>
      <w:r>
        <w:rPr>
          <w:sz w:val="20"/>
        </w:rPr>
        <w:t xml:space="preserve"> to make a present transfer of an existing property interest</w:t>
      </w:r>
    </w:p>
    <w:p w14:paraId="6B89F793" w14:textId="21464274" w:rsidR="00170C48" w:rsidRPr="00170C48" w:rsidRDefault="00170C48" w:rsidP="00455AD8">
      <w:pPr>
        <w:pStyle w:val="ListParagraph"/>
        <w:numPr>
          <w:ilvl w:val="2"/>
          <w:numId w:val="33"/>
        </w:numPr>
      </w:pPr>
      <w:r>
        <w:rPr>
          <w:sz w:val="20"/>
        </w:rPr>
        <w:t>A gift of a remainder (future) in</w:t>
      </w:r>
      <w:r w:rsidR="00F35B5B">
        <w:rPr>
          <w:sz w:val="20"/>
        </w:rPr>
        <w:t>terest in property is OK</w:t>
      </w:r>
      <w:r>
        <w:rPr>
          <w:sz w:val="20"/>
        </w:rPr>
        <w:t xml:space="preserve"> (</w:t>
      </w:r>
      <w:r>
        <w:rPr>
          <w:i/>
          <w:sz w:val="20"/>
        </w:rPr>
        <w:t xml:space="preserve">Gruen v. Gruen </w:t>
      </w:r>
      <w:r>
        <w:rPr>
          <w:sz w:val="20"/>
        </w:rPr>
        <w:t>– Klimt painting)</w:t>
      </w:r>
    </w:p>
    <w:p w14:paraId="4808A467" w14:textId="3106EC9F" w:rsidR="00170C48" w:rsidRPr="00D23131" w:rsidRDefault="00170C48" w:rsidP="00455AD8">
      <w:pPr>
        <w:pStyle w:val="ListParagraph"/>
        <w:numPr>
          <w:ilvl w:val="2"/>
          <w:numId w:val="33"/>
        </w:numPr>
      </w:pPr>
      <w:r>
        <w:rPr>
          <w:sz w:val="20"/>
        </w:rPr>
        <w:t xml:space="preserve">A presently existing interest must be transferred; “I give you the painting when I die.” vs. “I give you the painting, reserving possession for my life.” </w:t>
      </w:r>
    </w:p>
    <w:p w14:paraId="5B8CCFBA" w14:textId="4409F480" w:rsidR="005B6F76" w:rsidRPr="005B6F76" w:rsidRDefault="005B6F76" w:rsidP="00455AD8">
      <w:pPr>
        <w:pStyle w:val="ListParagraph"/>
        <w:numPr>
          <w:ilvl w:val="3"/>
          <w:numId w:val="33"/>
        </w:numPr>
      </w:pPr>
      <w:r>
        <w:rPr>
          <w:sz w:val="20"/>
        </w:rPr>
        <w:t>Evidentiary concerns related to testamentary documents</w:t>
      </w:r>
    </w:p>
    <w:p w14:paraId="4CF5BBD9" w14:textId="2ED1ECB7" w:rsidR="005B6F76" w:rsidRPr="00B36D16" w:rsidRDefault="005B6F76" w:rsidP="00455AD8">
      <w:pPr>
        <w:pStyle w:val="ListParagraph"/>
        <w:numPr>
          <w:ilvl w:val="3"/>
          <w:numId w:val="33"/>
        </w:numPr>
      </w:pPr>
      <w:r>
        <w:rPr>
          <w:sz w:val="20"/>
        </w:rPr>
        <w:t xml:space="preserve">Gifts </w:t>
      </w:r>
      <w:r>
        <w:rPr>
          <w:i/>
          <w:sz w:val="20"/>
        </w:rPr>
        <w:t xml:space="preserve">causa mortis </w:t>
      </w:r>
      <w:r>
        <w:rPr>
          <w:sz w:val="20"/>
        </w:rPr>
        <w:t>can be made if done in contemplation of immediate approaching death, but is revocable upon recovery</w:t>
      </w:r>
    </w:p>
    <w:p w14:paraId="18A013FA" w14:textId="31427E28" w:rsidR="00B36D16" w:rsidRPr="00B36D16" w:rsidRDefault="00B36D16" w:rsidP="00455AD8">
      <w:pPr>
        <w:pStyle w:val="ListParagraph"/>
        <w:numPr>
          <w:ilvl w:val="1"/>
          <w:numId w:val="33"/>
        </w:numPr>
      </w:pPr>
      <w:r>
        <w:rPr>
          <w:sz w:val="20"/>
        </w:rPr>
        <w:t xml:space="preserve">Donor must </w:t>
      </w:r>
      <w:r w:rsidRPr="005236B6">
        <w:rPr>
          <w:b/>
          <w:sz w:val="20"/>
        </w:rPr>
        <w:t>deliver</w:t>
      </w:r>
      <w:r>
        <w:rPr>
          <w:sz w:val="20"/>
        </w:rPr>
        <w:t xml:space="preserve"> possession to the donee intending to make a gift</w:t>
      </w:r>
    </w:p>
    <w:p w14:paraId="042E4CF4" w14:textId="2F08F6C0" w:rsidR="00B64959" w:rsidRPr="00B36D16" w:rsidRDefault="00B36D16" w:rsidP="00455AD8">
      <w:pPr>
        <w:pStyle w:val="ListParagraph"/>
        <w:numPr>
          <w:ilvl w:val="2"/>
          <w:numId w:val="33"/>
        </w:numPr>
      </w:pPr>
      <w:r>
        <w:rPr>
          <w:sz w:val="20"/>
        </w:rPr>
        <w:t>Constructive or symbolic delivery may be acceptable in certain circumstances</w:t>
      </w:r>
    </w:p>
    <w:p w14:paraId="4FBF7A73" w14:textId="11799DCD" w:rsidR="00170C48" w:rsidRPr="00170C48" w:rsidRDefault="00B36D16" w:rsidP="00455AD8">
      <w:pPr>
        <w:pStyle w:val="ListParagraph"/>
        <w:numPr>
          <w:ilvl w:val="2"/>
          <w:numId w:val="33"/>
        </w:numPr>
      </w:pPr>
      <w:r>
        <w:rPr>
          <w:sz w:val="20"/>
        </w:rPr>
        <w:t>Delivery must be as perfect as the property and circumstances reasonably allow</w:t>
      </w:r>
      <w:r w:rsidR="00170C48">
        <w:rPr>
          <w:sz w:val="20"/>
        </w:rPr>
        <w:t xml:space="preserve"> (</w:t>
      </w:r>
      <w:r w:rsidR="00170C48">
        <w:rPr>
          <w:i/>
          <w:sz w:val="20"/>
        </w:rPr>
        <w:t>Newman v. Bost</w:t>
      </w:r>
      <w:r w:rsidR="00170C48">
        <w:rPr>
          <w:sz w:val="20"/>
        </w:rPr>
        <w:t xml:space="preserve"> – man leaves house and all property to housekeeper)</w:t>
      </w:r>
      <w:r w:rsidR="00B64959">
        <w:rPr>
          <w:sz w:val="20"/>
        </w:rPr>
        <w:t xml:space="preserve"> (</w:t>
      </w:r>
      <w:r w:rsidR="00B64959">
        <w:rPr>
          <w:i/>
          <w:sz w:val="20"/>
        </w:rPr>
        <w:t>In re Cohn</w:t>
      </w:r>
      <w:r w:rsidR="00B64959">
        <w:rPr>
          <w:sz w:val="20"/>
        </w:rPr>
        <w:t xml:space="preserve"> – husband gives wife note conveying stocks in an NYC bank)</w:t>
      </w:r>
    </w:p>
    <w:p w14:paraId="2AC8E089" w14:textId="50CA83C7" w:rsidR="00B64959" w:rsidRPr="005B6F76" w:rsidRDefault="00170C48" w:rsidP="00455AD8">
      <w:pPr>
        <w:pStyle w:val="ListParagraph"/>
        <w:numPr>
          <w:ilvl w:val="3"/>
          <w:numId w:val="33"/>
        </w:numPr>
      </w:pPr>
      <w:r>
        <w:rPr>
          <w:sz w:val="20"/>
        </w:rPr>
        <w:t>Where articles are present and capable of ma</w:t>
      </w:r>
      <w:r w:rsidR="00B64959">
        <w:rPr>
          <w:sz w:val="20"/>
        </w:rPr>
        <w:t>nual delivery, this must be done</w:t>
      </w:r>
    </w:p>
    <w:p w14:paraId="4672FCA0" w14:textId="46868470" w:rsidR="005B6F76" w:rsidRPr="00B64959" w:rsidRDefault="005B6F76" w:rsidP="00455AD8">
      <w:pPr>
        <w:pStyle w:val="ListParagraph"/>
        <w:numPr>
          <w:ilvl w:val="4"/>
          <w:numId w:val="33"/>
        </w:numPr>
        <w:spacing w:before="240"/>
      </w:pPr>
      <w:r>
        <w:rPr>
          <w:sz w:val="20"/>
        </w:rPr>
        <w:t xml:space="preserve">Symbolic delivery of a key creates a gift of items </w:t>
      </w:r>
      <w:r>
        <w:rPr>
          <w:i/>
          <w:sz w:val="20"/>
        </w:rPr>
        <w:t xml:space="preserve">normally expected </w:t>
      </w:r>
      <w:r>
        <w:rPr>
          <w:sz w:val="20"/>
        </w:rPr>
        <w:t xml:space="preserve">to be contained in item which key unlocks (life insurance policy not expected to be in bureau in </w:t>
      </w:r>
      <w:r>
        <w:rPr>
          <w:i/>
          <w:sz w:val="20"/>
        </w:rPr>
        <w:t>Newman</w:t>
      </w:r>
      <w:r>
        <w:rPr>
          <w:sz w:val="20"/>
        </w:rPr>
        <w:t>, so no gift)</w:t>
      </w:r>
      <w:r w:rsidR="00D23131">
        <w:rPr>
          <w:sz w:val="20"/>
        </w:rPr>
        <w:t xml:space="preserve"> </w:t>
      </w:r>
    </w:p>
    <w:p w14:paraId="01A77BFF" w14:textId="73EBC7FD" w:rsidR="00B64959" w:rsidRPr="00B36D16" w:rsidRDefault="00B64959" w:rsidP="00455AD8">
      <w:pPr>
        <w:pStyle w:val="ListParagraph"/>
        <w:numPr>
          <w:ilvl w:val="3"/>
          <w:numId w:val="33"/>
        </w:numPr>
      </w:pPr>
      <w:r>
        <w:rPr>
          <w:sz w:val="20"/>
        </w:rPr>
        <w:t xml:space="preserve">No gift if donor retains control over the </w:t>
      </w:r>
      <w:r w:rsidR="00557DE2">
        <w:rPr>
          <w:sz w:val="20"/>
        </w:rPr>
        <w:t xml:space="preserve">object of the </w:t>
      </w:r>
      <w:r>
        <w:rPr>
          <w:sz w:val="20"/>
        </w:rPr>
        <w:t>gift</w:t>
      </w:r>
      <w:r w:rsidR="00557DE2">
        <w:rPr>
          <w:sz w:val="20"/>
        </w:rPr>
        <w:t xml:space="preserve"> (</w:t>
      </w:r>
      <w:r w:rsidR="00557DE2">
        <w:rPr>
          <w:i/>
          <w:sz w:val="20"/>
        </w:rPr>
        <w:t>In re Cohn</w:t>
      </w:r>
      <w:r w:rsidR="00557DE2">
        <w:rPr>
          <w:sz w:val="20"/>
        </w:rPr>
        <w:t>)</w:t>
      </w:r>
    </w:p>
    <w:p w14:paraId="2A7DA57D" w14:textId="6E7A9E16" w:rsidR="00B36D16" w:rsidRPr="00FE1387" w:rsidRDefault="00B36D16" w:rsidP="00455AD8">
      <w:pPr>
        <w:pStyle w:val="ListParagraph"/>
        <w:numPr>
          <w:ilvl w:val="1"/>
          <w:numId w:val="33"/>
        </w:numPr>
      </w:pPr>
      <w:r>
        <w:rPr>
          <w:sz w:val="20"/>
        </w:rPr>
        <w:t xml:space="preserve">Donee must </w:t>
      </w:r>
      <w:r w:rsidRPr="005236B6">
        <w:rPr>
          <w:b/>
          <w:sz w:val="20"/>
        </w:rPr>
        <w:t>accept</w:t>
      </w:r>
      <w:r>
        <w:rPr>
          <w:sz w:val="20"/>
        </w:rPr>
        <w:t xml:space="preserve"> the gift</w:t>
      </w:r>
    </w:p>
    <w:p w14:paraId="557D7D72" w14:textId="1066F517" w:rsidR="00425155" w:rsidRDefault="00425155" w:rsidP="00455AD8">
      <w:pPr>
        <w:pStyle w:val="Heading4"/>
        <w:spacing w:before="0"/>
        <w:rPr>
          <w:sz w:val="20"/>
          <w:szCs w:val="20"/>
        </w:rPr>
      </w:pPr>
      <w:r>
        <w:rPr>
          <w:sz w:val="20"/>
          <w:szCs w:val="20"/>
        </w:rPr>
        <w:t>Will Substitutes</w:t>
      </w:r>
    </w:p>
    <w:p w14:paraId="593F1DB5" w14:textId="34DDDB2B" w:rsidR="00557DE2" w:rsidRPr="00557DE2" w:rsidRDefault="00557DE2" w:rsidP="00455AD8">
      <w:pPr>
        <w:pStyle w:val="ListParagraph"/>
        <w:numPr>
          <w:ilvl w:val="0"/>
          <w:numId w:val="11"/>
        </w:numPr>
        <w:spacing w:after="0"/>
        <w:rPr>
          <w:sz w:val="12"/>
        </w:rPr>
      </w:pPr>
      <w:r>
        <w:rPr>
          <w:sz w:val="20"/>
          <w:szCs w:val="20"/>
        </w:rPr>
        <w:t>Will substitutes allow individuals to avoid the publicity, expense and delay of going through probate</w:t>
      </w:r>
    </w:p>
    <w:p w14:paraId="478D01AF" w14:textId="22634DB9" w:rsidR="005D240D" w:rsidRPr="00557DE2" w:rsidRDefault="00E73DB9" w:rsidP="00455AD8">
      <w:pPr>
        <w:pStyle w:val="ListParagraph"/>
        <w:numPr>
          <w:ilvl w:val="0"/>
          <w:numId w:val="11"/>
        </w:numPr>
        <w:spacing w:after="0"/>
        <w:rPr>
          <w:sz w:val="12"/>
        </w:rPr>
      </w:pPr>
      <w:r w:rsidRPr="00557DE2">
        <w:rPr>
          <w:sz w:val="20"/>
        </w:rPr>
        <w:t>A bank account that does not pass title or possession to its intended beneficiary is not an effective gift (</w:t>
      </w:r>
      <w:r w:rsidRPr="00557DE2">
        <w:rPr>
          <w:i/>
          <w:sz w:val="20"/>
        </w:rPr>
        <w:t>Tygard v. McComb</w:t>
      </w:r>
      <w:r w:rsidRPr="00557DE2">
        <w:rPr>
          <w:sz w:val="20"/>
        </w:rPr>
        <w:t xml:space="preserve"> – Missouri bank account for daughters)</w:t>
      </w:r>
      <w:r w:rsidR="00207E46">
        <w:rPr>
          <w:sz w:val="20"/>
        </w:rPr>
        <w:t xml:space="preserve"> </w:t>
      </w:r>
    </w:p>
    <w:p w14:paraId="253BEE0C" w14:textId="3B7511D6" w:rsidR="00E73DB9" w:rsidRPr="00207E46" w:rsidRDefault="00E73DB9" w:rsidP="00455AD8">
      <w:pPr>
        <w:pStyle w:val="ListParagraph"/>
        <w:numPr>
          <w:ilvl w:val="1"/>
          <w:numId w:val="11"/>
        </w:numPr>
        <w:spacing w:after="0"/>
        <w:rPr>
          <w:sz w:val="12"/>
        </w:rPr>
      </w:pPr>
      <w:r>
        <w:rPr>
          <w:i/>
          <w:sz w:val="20"/>
        </w:rPr>
        <w:lastRenderedPageBreak/>
        <w:t xml:space="preserve">In re </w:t>
      </w:r>
      <w:r w:rsidRPr="00E73DB9">
        <w:rPr>
          <w:i/>
          <w:sz w:val="20"/>
          <w:szCs w:val="20"/>
        </w:rPr>
        <w:t xml:space="preserve">Totten </w:t>
      </w:r>
      <w:r w:rsidRPr="00E73DB9">
        <w:rPr>
          <w:sz w:val="20"/>
          <w:szCs w:val="20"/>
        </w:rPr>
        <w:t>authorizes the creation of “Totten trusts”,</w:t>
      </w:r>
      <w:r>
        <w:t xml:space="preserve"> </w:t>
      </w:r>
      <w:r>
        <w:rPr>
          <w:sz w:val="20"/>
        </w:rPr>
        <w:t>revocable trust accounts</w:t>
      </w:r>
      <w:r w:rsidR="00557DE2">
        <w:rPr>
          <w:sz w:val="20"/>
        </w:rPr>
        <w:t xml:space="preserve"> with a designated beneficiary</w:t>
      </w:r>
    </w:p>
    <w:p w14:paraId="3E2DD537" w14:textId="15F81B68" w:rsidR="00557DE2" w:rsidRPr="00771CAC" w:rsidRDefault="00F35B5B" w:rsidP="00455AD8">
      <w:pPr>
        <w:pStyle w:val="ListParagraph"/>
        <w:numPr>
          <w:ilvl w:val="2"/>
          <w:numId w:val="11"/>
        </w:numPr>
        <w:spacing w:after="0"/>
        <w:rPr>
          <w:sz w:val="12"/>
        </w:rPr>
      </w:pPr>
      <w:r>
        <w:rPr>
          <w:sz w:val="20"/>
        </w:rPr>
        <w:t xml:space="preserve">Good example of </w:t>
      </w:r>
      <w:r w:rsidR="00557DE2">
        <w:rPr>
          <w:sz w:val="20"/>
        </w:rPr>
        <w:t>courts not g</w:t>
      </w:r>
      <w:r>
        <w:rPr>
          <w:sz w:val="20"/>
        </w:rPr>
        <w:t>etting in the way of making</w:t>
      </w:r>
      <w:r w:rsidR="00557DE2">
        <w:rPr>
          <w:sz w:val="20"/>
        </w:rPr>
        <w:t xml:space="preserve"> the legal system work better</w:t>
      </w:r>
    </w:p>
    <w:p w14:paraId="5E2DF6B0" w14:textId="021DD8D6" w:rsidR="00771CAC" w:rsidRPr="00771CAC" w:rsidRDefault="00771CAC" w:rsidP="00455AD8">
      <w:pPr>
        <w:pStyle w:val="ListParagraph"/>
        <w:numPr>
          <w:ilvl w:val="1"/>
          <w:numId w:val="11"/>
        </w:numPr>
        <w:spacing w:after="0"/>
        <w:rPr>
          <w:sz w:val="12"/>
        </w:rPr>
      </w:pPr>
      <w:r>
        <w:rPr>
          <w:i/>
          <w:sz w:val="20"/>
          <w:szCs w:val="20"/>
        </w:rPr>
        <w:t xml:space="preserve">Malone v. Walsh </w:t>
      </w:r>
      <w:r>
        <w:rPr>
          <w:sz w:val="20"/>
        </w:rPr>
        <w:t>adds joint accounts to inter vivos gifts; categorized as a present interest which ripens to complete ownership on death</w:t>
      </w:r>
    </w:p>
    <w:p w14:paraId="3009C6D6" w14:textId="3193A956" w:rsidR="00771CAC" w:rsidRPr="009301C4" w:rsidRDefault="00771CAC" w:rsidP="00455AD8">
      <w:pPr>
        <w:pStyle w:val="ListParagraph"/>
        <w:numPr>
          <w:ilvl w:val="2"/>
          <w:numId w:val="11"/>
        </w:numPr>
        <w:spacing w:after="0"/>
        <w:rPr>
          <w:sz w:val="12"/>
        </w:rPr>
      </w:pPr>
      <w:r>
        <w:rPr>
          <w:sz w:val="20"/>
          <w:szCs w:val="20"/>
        </w:rPr>
        <w:t xml:space="preserve">Crams intent into joint bank accounts, which </w:t>
      </w:r>
      <w:r w:rsidR="009301C4">
        <w:rPr>
          <w:sz w:val="20"/>
          <w:szCs w:val="20"/>
        </w:rPr>
        <w:t>spawns litigation (W</w:t>
      </w:r>
      <w:r>
        <w:rPr>
          <w:sz w:val="20"/>
          <w:szCs w:val="20"/>
        </w:rPr>
        <w:t xml:space="preserve">as intention to make an irrevocable gift (of a future </w:t>
      </w:r>
      <w:r>
        <w:rPr>
          <w:i/>
          <w:sz w:val="20"/>
          <w:szCs w:val="20"/>
        </w:rPr>
        <w:t xml:space="preserve">or </w:t>
      </w:r>
      <w:r>
        <w:rPr>
          <w:sz w:val="20"/>
          <w:szCs w:val="20"/>
        </w:rPr>
        <w:t>present interest) or a r</w:t>
      </w:r>
      <w:r w:rsidR="009301C4">
        <w:rPr>
          <w:sz w:val="20"/>
          <w:szCs w:val="20"/>
        </w:rPr>
        <w:t>e</w:t>
      </w:r>
      <w:r w:rsidR="00A2524E">
        <w:rPr>
          <w:sz w:val="20"/>
          <w:szCs w:val="20"/>
        </w:rPr>
        <w:t>vocable survivorship interest?)</w:t>
      </w:r>
    </w:p>
    <w:p w14:paraId="733E56F3" w14:textId="7E821CE6" w:rsidR="00A2524E" w:rsidRPr="00700110" w:rsidRDefault="009301C4" w:rsidP="00700110">
      <w:pPr>
        <w:pStyle w:val="ListParagraph"/>
        <w:numPr>
          <w:ilvl w:val="2"/>
          <w:numId w:val="11"/>
        </w:numPr>
        <w:spacing w:after="0"/>
        <w:rPr>
          <w:sz w:val="12"/>
        </w:rPr>
      </w:pPr>
      <w:r>
        <w:rPr>
          <w:sz w:val="20"/>
          <w:szCs w:val="20"/>
        </w:rPr>
        <w:t>Intent of the parties is controlling, especially in cases where party is not dead, so can testify to intent (</w:t>
      </w:r>
      <w:r>
        <w:rPr>
          <w:i/>
          <w:sz w:val="20"/>
          <w:szCs w:val="20"/>
        </w:rPr>
        <w:t xml:space="preserve">Blanchette v. Blanchette </w:t>
      </w:r>
      <w:r>
        <w:rPr>
          <w:sz w:val="20"/>
          <w:szCs w:val="20"/>
        </w:rPr>
        <w:t>– AT&amp;T stock held jointly, couple divorces)</w:t>
      </w:r>
    </w:p>
    <w:p w14:paraId="620C7B51" w14:textId="729BADD1" w:rsidR="009301C4" w:rsidRPr="006423A8" w:rsidRDefault="006423A8" w:rsidP="00455AD8">
      <w:pPr>
        <w:pStyle w:val="ListParagraph"/>
        <w:numPr>
          <w:ilvl w:val="0"/>
          <w:numId w:val="11"/>
        </w:numPr>
        <w:spacing w:after="0"/>
        <w:rPr>
          <w:sz w:val="12"/>
        </w:rPr>
      </w:pPr>
      <w:r>
        <w:rPr>
          <w:sz w:val="20"/>
        </w:rPr>
        <w:t>T</w:t>
      </w:r>
      <w:r w:rsidR="00F35B5B">
        <w:rPr>
          <w:sz w:val="20"/>
        </w:rPr>
        <w:t>rusts bifurcate legal and beneficiary ownership</w:t>
      </w:r>
      <w:r>
        <w:rPr>
          <w:sz w:val="20"/>
        </w:rPr>
        <w:t xml:space="preserve"> – Trustor transfers legal title to the trustee, who </w:t>
      </w:r>
      <w:r w:rsidR="00F35B5B">
        <w:rPr>
          <w:sz w:val="20"/>
        </w:rPr>
        <w:t>manages</w:t>
      </w:r>
      <w:r>
        <w:rPr>
          <w:sz w:val="20"/>
        </w:rPr>
        <w:t xml:space="preserve"> </w:t>
      </w:r>
      <w:r w:rsidR="00F35B5B">
        <w:rPr>
          <w:sz w:val="20"/>
        </w:rPr>
        <w:t>assets for</w:t>
      </w:r>
      <w:r>
        <w:rPr>
          <w:sz w:val="20"/>
        </w:rPr>
        <w:t xml:space="preserve"> beneficiaries</w:t>
      </w:r>
    </w:p>
    <w:p w14:paraId="02E5FCC9" w14:textId="376A0F74" w:rsidR="006423A8" w:rsidRPr="006423A8" w:rsidRDefault="00F35B5B" w:rsidP="00455AD8">
      <w:pPr>
        <w:pStyle w:val="ListParagraph"/>
        <w:numPr>
          <w:ilvl w:val="1"/>
          <w:numId w:val="11"/>
        </w:numPr>
        <w:spacing w:after="0"/>
        <w:rPr>
          <w:sz w:val="12"/>
        </w:rPr>
      </w:pPr>
      <w:r>
        <w:rPr>
          <w:sz w:val="20"/>
        </w:rPr>
        <w:t>Words that indicate</w:t>
      </w:r>
      <w:r w:rsidR="006423A8">
        <w:rPr>
          <w:sz w:val="20"/>
        </w:rPr>
        <w:t xml:space="preserve"> with sufficient certainty </w:t>
      </w:r>
      <w:r>
        <w:rPr>
          <w:sz w:val="20"/>
        </w:rPr>
        <w:t>the intent to create a trust</w:t>
      </w:r>
      <w:r w:rsidR="006423A8">
        <w:rPr>
          <w:sz w:val="20"/>
        </w:rPr>
        <w:t xml:space="preserve"> do so (</w:t>
      </w:r>
      <w:r w:rsidR="006423A8">
        <w:rPr>
          <w:i/>
          <w:sz w:val="20"/>
        </w:rPr>
        <w:t xml:space="preserve">Smith’s Estate </w:t>
      </w:r>
      <w:r w:rsidR="006423A8">
        <w:rPr>
          <w:sz w:val="20"/>
        </w:rPr>
        <w:t>– uncle leaves bonds for nephew in a box opened after uncle’s death)</w:t>
      </w:r>
    </w:p>
    <w:p w14:paraId="0A89550D" w14:textId="2490C0E3" w:rsidR="006423A8" w:rsidRPr="006423A8" w:rsidRDefault="006423A8" w:rsidP="00455AD8">
      <w:pPr>
        <w:pStyle w:val="ListParagraph"/>
        <w:numPr>
          <w:ilvl w:val="2"/>
          <w:numId w:val="11"/>
        </w:numPr>
        <w:spacing w:after="0"/>
        <w:rPr>
          <w:sz w:val="12"/>
        </w:rPr>
      </w:pPr>
      <w:r>
        <w:rPr>
          <w:sz w:val="20"/>
        </w:rPr>
        <w:t>Documents indicating uncle’s intent that were obviously left to be found after his death sufficient to satisfy the “delivery” requirement of trusts</w:t>
      </w:r>
    </w:p>
    <w:p w14:paraId="0B5A5C3A" w14:textId="3C80806C" w:rsidR="006423A8" w:rsidRPr="006423A8" w:rsidRDefault="006423A8" w:rsidP="00455AD8">
      <w:pPr>
        <w:pStyle w:val="ListParagraph"/>
        <w:numPr>
          <w:ilvl w:val="1"/>
          <w:numId w:val="11"/>
        </w:numPr>
        <w:spacing w:after="0"/>
        <w:rPr>
          <w:sz w:val="12"/>
        </w:rPr>
      </w:pPr>
      <w:r>
        <w:rPr>
          <w:sz w:val="20"/>
        </w:rPr>
        <w:t>Imperfect gifts cannot be transformed into trusts (</w:t>
      </w:r>
      <w:r>
        <w:rPr>
          <w:i/>
          <w:sz w:val="20"/>
        </w:rPr>
        <w:t>Young v. Young</w:t>
      </w:r>
      <w:r>
        <w:rPr>
          <w:sz w:val="20"/>
        </w:rPr>
        <w:t xml:space="preserve"> – donor reserving interest until his death indicates intention not to make a complete gift or hold assets in trust for beneficiaries)</w:t>
      </w:r>
    </w:p>
    <w:p w14:paraId="058438B7" w14:textId="4DEBB80C" w:rsidR="006423A8" w:rsidRPr="00E565E3" w:rsidRDefault="006423A8" w:rsidP="00455AD8">
      <w:pPr>
        <w:pStyle w:val="ListParagraph"/>
        <w:numPr>
          <w:ilvl w:val="1"/>
          <w:numId w:val="11"/>
        </w:numPr>
        <w:spacing w:after="0"/>
        <w:rPr>
          <w:sz w:val="12"/>
        </w:rPr>
      </w:pPr>
      <w:r>
        <w:rPr>
          <w:sz w:val="20"/>
        </w:rPr>
        <w:t>Co</w:t>
      </w:r>
      <w:r w:rsidR="00455AD8">
        <w:rPr>
          <w:sz w:val="20"/>
        </w:rPr>
        <w:t xml:space="preserve">urts can find implied trusts </w:t>
      </w:r>
      <w:r>
        <w:rPr>
          <w:sz w:val="20"/>
        </w:rPr>
        <w:t>(</w:t>
      </w:r>
      <w:r>
        <w:rPr>
          <w:i/>
          <w:sz w:val="20"/>
        </w:rPr>
        <w:t xml:space="preserve">Elyachar v. Gerel Corp. </w:t>
      </w:r>
      <w:r w:rsidR="00E565E3">
        <w:rPr>
          <w:sz w:val="20"/>
        </w:rPr>
        <w:t>–</w:t>
      </w:r>
      <w:r>
        <w:rPr>
          <w:sz w:val="20"/>
        </w:rPr>
        <w:t xml:space="preserve"> </w:t>
      </w:r>
      <w:r w:rsidR="00E565E3">
        <w:rPr>
          <w:sz w:val="20"/>
        </w:rPr>
        <w:t>Colonel tries to revoke stock</w:t>
      </w:r>
      <w:r w:rsidR="00455AD8">
        <w:rPr>
          <w:sz w:val="20"/>
        </w:rPr>
        <w:t xml:space="preserve"> certificates issued to kids</w:t>
      </w:r>
      <w:r w:rsidR="00E565E3">
        <w:rPr>
          <w:sz w:val="20"/>
        </w:rPr>
        <w:t xml:space="preserve">) </w:t>
      </w:r>
    </w:p>
    <w:p w14:paraId="4EC83179" w14:textId="4CFC0835" w:rsidR="00E565E3" w:rsidRPr="000C08E7" w:rsidRDefault="00E565E3" w:rsidP="00455AD8">
      <w:pPr>
        <w:pStyle w:val="ListParagraph"/>
        <w:numPr>
          <w:ilvl w:val="2"/>
          <w:numId w:val="11"/>
        </w:numPr>
        <w:spacing w:after="0"/>
        <w:rPr>
          <w:sz w:val="12"/>
        </w:rPr>
      </w:pPr>
      <w:r>
        <w:rPr>
          <w:sz w:val="20"/>
        </w:rPr>
        <w:t xml:space="preserve">Bifurcated gift – Ownership and management of the corporations was </w:t>
      </w:r>
      <w:r w:rsidR="00455AD8">
        <w:rPr>
          <w:sz w:val="20"/>
        </w:rPr>
        <w:t>reserved to dad for his life; benefits accrue</w:t>
      </w:r>
      <w:r>
        <w:rPr>
          <w:sz w:val="20"/>
        </w:rPr>
        <w:t xml:space="preserve"> to </w:t>
      </w:r>
      <w:r w:rsidR="00455AD8">
        <w:rPr>
          <w:sz w:val="20"/>
        </w:rPr>
        <w:t>holders of certificates</w:t>
      </w:r>
      <w:r>
        <w:rPr>
          <w:sz w:val="20"/>
        </w:rPr>
        <w:t>, w</w:t>
      </w:r>
      <w:r w:rsidR="00455AD8">
        <w:rPr>
          <w:sz w:val="20"/>
        </w:rPr>
        <w:t>hich are held in trust</w:t>
      </w:r>
    </w:p>
    <w:p w14:paraId="13397AC7" w14:textId="65F24011" w:rsidR="00505123" w:rsidRPr="00F50603" w:rsidRDefault="00425155" w:rsidP="00455AD8">
      <w:pPr>
        <w:pStyle w:val="Heading3"/>
        <w:spacing w:before="0"/>
        <w:rPr>
          <w:sz w:val="22"/>
          <w:szCs w:val="20"/>
        </w:rPr>
      </w:pPr>
      <w:r>
        <w:rPr>
          <w:sz w:val="22"/>
          <w:szCs w:val="20"/>
        </w:rPr>
        <w:t>Co-Ownership</w:t>
      </w:r>
    </w:p>
    <w:p w14:paraId="1F27EBC7" w14:textId="22848638" w:rsidR="00505123" w:rsidRDefault="00E565E3" w:rsidP="00455AD8">
      <w:pPr>
        <w:pStyle w:val="Heading4"/>
        <w:spacing w:before="0"/>
        <w:rPr>
          <w:sz w:val="20"/>
          <w:szCs w:val="20"/>
        </w:rPr>
      </w:pPr>
      <w:r>
        <w:rPr>
          <w:sz w:val="20"/>
          <w:szCs w:val="20"/>
        </w:rPr>
        <w:t>Forms</w:t>
      </w:r>
    </w:p>
    <w:p w14:paraId="4927EAB0" w14:textId="472405F4" w:rsidR="00B64959" w:rsidRPr="00E565E3" w:rsidRDefault="00E565E3" w:rsidP="00455AD8">
      <w:pPr>
        <w:pStyle w:val="ListParagraph"/>
        <w:numPr>
          <w:ilvl w:val="0"/>
          <w:numId w:val="16"/>
        </w:numPr>
        <w:spacing w:after="0"/>
        <w:rPr>
          <w:sz w:val="20"/>
        </w:rPr>
      </w:pPr>
      <w:r>
        <w:rPr>
          <w:b/>
          <w:sz w:val="20"/>
        </w:rPr>
        <w:t>Joint Tenancy</w:t>
      </w:r>
    </w:p>
    <w:p w14:paraId="5DD378AB" w14:textId="148B1DEF" w:rsidR="00E565E3" w:rsidRDefault="00E565E3" w:rsidP="00455AD8">
      <w:pPr>
        <w:pStyle w:val="ListParagraph"/>
        <w:numPr>
          <w:ilvl w:val="1"/>
          <w:numId w:val="16"/>
        </w:numPr>
        <w:spacing w:after="0"/>
        <w:rPr>
          <w:sz w:val="20"/>
        </w:rPr>
      </w:pPr>
      <w:r>
        <w:rPr>
          <w:sz w:val="20"/>
        </w:rPr>
        <w:t>Each co-tenant has an undivided interest in the whole</w:t>
      </w:r>
    </w:p>
    <w:p w14:paraId="66A2F482" w14:textId="5A965AAA" w:rsidR="00E565E3" w:rsidRDefault="00E565E3" w:rsidP="00455AD8">
      <w:pPr>
        <w:pStyle w:val="ListParagraph"/>
        <w:numPr>
          <w:ilvl w:val="1"/>
          <w:numId w:val="16"/>
        </w:numPr>
        <w:spacing w:after="0"/>
        <w:rPr>
          <w:sz w:val="20"/>
        </w:rPr>
      </w:pPr>
      <w:r>
        <w:rPr>
          <w:sz w:val="20"/>
        </w:rPr>
        <w:t>Right of survivorship: If B dies, the property is completely owned by A</w:t>
      </w:r>
      <w:r w:rsidR="00A25679">
        <w:rPr>
          <w:sz w:val="20"/>
        </w:rPr>
        <w:t>, because nothing passes</w:t>
      </w:r>
    </w:p>
    <w:p w14:paraId="4EF6AC8F" w14:textId="2ECF7971" w:rsidR="002C3468" w:rsidRDefault="002C3468" w:rsidP="00455AD8">
      <w:pPr>
        <w:pStyle w:val="ListParagraph"/>
        <w:numPr>
          <w:ilvl w:val="1"/>
          <w:numId w:val="16"/>
        </w:numPr>
        <w:spacing w:after="0"/>
        <w:rPr>
          <w:sz w:val="20"/>
        </w:rPr>
      </w:pPr>
      <w:r>
        <w:rPr>
          <w:sz w:val="20"/>
        </w:rPr>
        <w:t>Four unities are essential to a joint tenancy: 1) Time, 2) Title, 3) Interest and 4) Possession</w:t>
      </w:r>
    </w:p>
    <w:p w14:paraId="38081338" w14:textId="4FBD661F" w:rsidR="00E565E3" w:rsidRDefault="00E565E3" w:rsidP="00455AD8">
      <w:pPr>
        <w:pStyle w:val="ListParagraph"/>
        <w:numPr>
          <w:ilvl w:val="1"/>
          <w:numId w:val="16"/>
        </w:numPr>
        <w:spacing w:after="0"/>
        <w:rPr>
          <w:sz w:val="20"/>
        </w:rPr>
      </w:pPr>
      <w:r>
        <w:rPr>
          <w:sz w:val="20"/>
        </w:rPr>
        <w:t>Any joint tenant can at any time sever the joint tenancy, voluntarily or involuntarily</w:t>
      </w:r>
    </w:p>
    <w:p w14:paraId="42F7A7BD" w14:textId="31370957" w:rsidR="002C3468" w:rsidRDefault="00E565E3" w:rsidP="00455AD8">
      <w:pPr>
        <w:pStyle w:val="ListParagraph"/>
        <w:numPr>
          <w:ilvl w:val="2"/>
          <w:numId w:val="16"/>
        </w:numPr>
        <w:spacing w:after="0"/>
        <w:rPr>
          <w:sz w:val="20"/>
        </w:rPr>
      </w:pPr>
      <w:r>
        <w:rPr>
          <w:sz w:val="20"/>
        </w:rPr>
        <w:t>Under a lien theory, a mortgage is not a conveyance, therefore no severance (</w:t>
      </w:r>
      <w:r>
        <w:rPr>
          <w:i/>
          <w:sz w:val="20"/>
        </w:rPr>
        <w:t>Harms v. Sprague</w:t>
      </w:r>
      <w:r>
        <w:rPr>
          <w:sz w:val="20"/>
        </w:rPr>
        <w:t xml:space="preserve"> </w:t>
      </w:r>
      <w:r w:rsidR="002C3468">
        <w:rPr>
          <w:sz w:val="20"/>
        </w:rPr>
        <w:t>–</w:t>
      </w:r>
      <w:r>
        <w:rPr>
          <w:sz w:val="20"/>
        </w:rPr>
        <w:t xml:space="preserve"> </w:t>
      </w:r>
      <w:r w:rsidR="002C3468">
        <w:rPr>
          <w:sz w:val="20"/>
        </w:rPr>
        <w:t>brother’s mortgage does not convey interest after death)</w:t>
      </w:r>
    </w:p>
    <w:p w14:paraId="08300754" w14:textId="713983EC" w:rsidR="00A25679" w:rsidRDefault="00A25679" w:rsidP="00455AD8">
      <w:pPr>
        <w:pStyle w:val="ListParagraph"/>
        <w:numPr>
          <w:ilvl w:val="3"/>
          <w:numId w:val="16"/>
        </w:numPr>
        <w:spacing w:after="0"/>
        <w:rPr>
          <w:sz w:val="20"/>
        </w:rPr>
      </w:pPr>
      <w:r>
        <w:rPr>
          <w:sz w:val="20"/>
        </w:rPr>
        <w:t xml:space="preserve">Reflects a tension between fairness in a specific case, and creation of a fair, widely applicable rule </w:t>
      </w:r>
    </w:p>
    <w:p w14:paraId="7FDDE50D" w14:textId="1AFDEB8F" w:rsidR="002C3468" w:rsidRDefault="00F35B5B" w:rsidP="00455AD8">
      <w:pPr>
        <w:pStyle w:val="ListParagraph"/>
        <w:numPr>
          <w:ilvl w:val="2"/>
          <w:numId w:val="16"/>
        </w:numPr>
        <w:spacing w:after="0"/>
        <w:rPr>
          <w:sz w:val="20"/>
        </w:rPr>
      </w:pPr>
      <w:r>
        <w:rPr>
          <w:sz w:val="20"/>
        </w:rPr>
        <w:t xml:space="preserve">A joint tenant can </w:t>
      </w:r>
      <w:r w:rsidR="002C3468">
        <w:rPr>
          <w:sz w:val="20"/>
        </w:rPr>
        <w:t>destroy joint tenancy by conveying property to herself as a tenant-i</w:t>
      </w:r>
      <w:r>
        <w:rPr>
          <w:sz w:val="20"/>
        </w:rPr>
        <w:t xml:space="preserve">n-common </w:t>
      </w:r>
      <w:r w:rsidR="002C3468">
        <w:rPr>
          <w:sz w:val="20"/>
        </w:rPr>
        <w:t>(</w:t>
      </w:r>
      <w:r w:rsidR="002C3468">
        <w:rPr>
          <w:i/>
          <w:sz w:val="20"/>
        </w:rPr>
        <w:t>Riddle v. Harmon</w:t>
      </w:r>
      <w:r w:rsidR="002C3468">
        <w:rPr>
          <w:sz w:val="20"/>
        </w:rPr>
        <w:t>)</w:t>
      </w:r>
    </w:p>
    <w:p w14:paraId="314160F8" w14:textId="183A1B25" w:rsidR="00A25679" w:rsidRDefault="00A25679" w:rsidP="00455AD8">
      <w:pPr>
        <w:pStyle w:val="ListParagraph"/>
        <w:numPr>
          <w:ilvl w:val="3"/>
          <w:numId w:val="16"/>
        </w:numPr>
        <w:spacing w:after="0"/>
        <w:rPr>
          <w:sz w:val="20"/>
        </w:rPr>
      </w:pPr>
      <w:r>
        <w:rPr>
          <w:sz w:val="20"/>
        </w:rPr>
        <w:t>Is it fair that a joint tenant can lose survivorship rights without any notice?</w:t>
      </w:r>
    </w:p>
    <w:p w14:paraId="6D7A0C0D" w14:textId="3A5ED3DC" w:rsidR="006455E0" w:rsidRDefault="006455E0" w:rsidP="00455AD8">
      <w:pPr>
        <w:pStyle w:val="ListParagraph"/>
        <w:numPr>
          <w:ilvl w:val="1"/>
          <w:numId w:val="16"/>
        </w:numPr>
        <w:spacing w:after="0"/>
        <w:rPr>
          <w:sz w:val="20"/>
        </w:rPr>
      </w:pPr>
      <w:r>
        <w:rPr>
          <w:sz w:val="20"/>
        </w:rPr>
        <w:t>A joint tenant may assign all rights and privileges associated with ownership to a third party, without consent of the other co-tenant, as long as the co-tenant is not prejudiced thereby (</w:t>
      </w:r>
      <w:r>
        <w:rPr>
          <w:i/>
          <w:sz w:val="20"/>
        </w:rPr>
        <w:t>Swartzbaugh v. Sampson</w:t>
      </w:r>
      <w:r>
        <w:rPr>
          <w:sz w:val="20"/>
        </w:rPr>
        <w:t xml:space="preserve"> – wife tries to cancel lease executed by husband for boxing arena)</w:t>
      </w:r>
    </w:p>
    <w:p w14:paraId="793326A7" w14:textId="467384DC" w:rsidR="006455E0" w:rsidRDefault="006455E0" w:rsidP="00455AD8">
      <w:pPr>
        <w:pStyle w:val="ListParagraph"/>
        <w:numPr>
          <w:ilvl w:val="2"/>
          <w:numId w:val="16"/>
        </w:numPr>
        <w:spacing w:after="0"/>
        <w:rPr>
          <w:sz w:val="20"/>
        </w:rPr>
      </w:pPr>
      <w:r>
        <w:rPr>
          <w:sz w:val="20"/>
        </w:rPr>
        <w:t>Original joint tenant is liable to co-tenant if third party denies co-tenant entrance or other rights of enjoyment under the original joint tenancy</w:t>
      </w:r>
    </w:p>
    <w:p w14:paraId="304F3ADE" w14:textId="2771303D" w:rsidR="00587CD4" w:rsidRPr="006455E0" w:rsidRDefault="00587CD4" w:rsidP="00455AD8">
      <w:pPr>
        <w:pStyle w:val="ListParagraph"/>
        <w:numPr>
          <w:ilvl w:val="2"/>
          <w:numId w:val="16"/>
        </w:numPr>
        <w:spacing w:after="0"/>
        <w:rPr>
          <w:sz w:val="20"/>
        </w:rPr>
      </w:pPr>
      <w:r>
        <w:rPr>
          <w:sz w:val="20"/>
        </w:rPr>
        <w:t>Co-tenant is not bound by lease agreement</w:t>
      </w:r>
    </w:p>
    <w:p w14:paraId="6872C2E8" w14:textId="15AC3CD7" w:rsidR="002C3468" w:rsidRPr="002C3468" w:rsidRDefault="002C3468" w:rsidP="00455AD8">
      <w:pPr>
        <w:pStyle w:val="ListParagraph"/>
        <w:numPr>
          <w:ilvl w:val="1"/>
          <w:numId w:val="16"/>
        </w:numPr>
        <w:spacing w:after="0"/>
        <w:rPr>
          <w:sz w:val="20"/>
        </w:rPr>
      </w:pPr>
      <w:r>
        <w:rPr>
          <w:sz w:val="20"/>
        </w:rPr>
        <w:t>Modern presumption is tenancy-in-common, unless joint tenancy is clearly established</w:t>
      </w:r>
    </w:p>
    <w:p w14:paraId="0708A5EE" w14:textId="77777777" w:rsidR="0042046D" w:rsidRPr="0042046D" w:rsidRDefault="0042046D" w:rsidP="0042046D">
      <w:pPr>
        <w:pStyle w:val="ListParagraph"/>
        <w:spacing w:after="0"/>
        <w:rPr>
          <w:sz w:val="20"/>
        </w:rPr>
      </w:pPr>
    </w:p>
    <w:p w14:paraId="1982B9F1" w14:textId="0C11F8AB" w:rsidR="00E565E3" w:rsidRPr="00A25679" w:rsidRDefault="00E565E3" w:rsidP="00455AD8">
      <w:pPr>
        <w:pStyle w:val="ListParagraph"/>
        <w:numPr>
          <w:ilvl w:val="0"/>
          <w:numId w:val="16"/>
        </w:numPr>
        <w:spacing w:after="0"/>
        <w:rPr>
          <w:sz w:val="20"/>
        </w:rPr>
      </w:pPr>
      <w:r>
        <w:rPr>
          <w:b/>
          <w:sz w:val="20"/>
        </w:rPr>
        <w:t>Tenancy in Common</w:t>
      </w:r>
    </w:p>
    <w:p w14:paraId="5BDF9DD0" w14:textId="4FD64566" w:rsidR="00A25679" w:rsidRDefault="00A25679" w:rsidP="00455AD8">
      <w:pPr>
        <w:pStyle w:val="ListParagraph"/>
        <w:numPr>
          <w:ilvl w:val="1"/>
          <w:numId w:val="16"/>
        </w:numPr>
        <w:spacing w:after="0"/>
        <w:rPr>
          <w:sz w:val="20"/>
        </w:rPr>
      </w:pPr>
      <w:r>
        <w:rPr>
          <w:sz w:val="20"/>
        </w:rPr>
        <w:t>Each co-tenant has an undivided interest in the whole</w:t>
      </w:r>
    </w:p>
    <w:p w14:paraId="1D8EA3C8" w14:textId="71154DCC" w:rsidR="006455E0" w:rsidRDefault="006455E0" w:rsidP="00455AD8">
      <w:pPr>
        <w:pStyle w:val="ListParagraph"/>
        <w:numPr>
          <w:ilvl w:val="2"/>
          <w:numId w:val="16"/>
        </w:numPr>
        <w:spacing w:after="0"/>
        <w:rPr>
          <w:sz w:val="20"/>
        </w:rPr>
      </w:pPr>
      <w:r>
        <w:rPr>
          <w:sz w:val="20"/>
        </w:rPr>
        <w:t>There can be no action for ouster unless there is an attempt to enter by one co-tenant and a denial of that right by the other (</w:t>
      </w:r>
      <w:r>
        <w:rPr>
          <w:i/>
          <w:sz w:val="20"/>
        </w:rPr>
        <w:t xml:space="preserve">Spiller v. Mackereth </w:t>
      </w:r>
      <w:r>
        <w:rPr>
          <w:sz w:val="20"/>
        </w:rPr>
        <w:t>– request to vacate insufficient to establish action for ouster)</w:t>
      </w:r>
    </w:p>
    <w:p w14:paraId="5FA4C995" w14:textId="73E848E5" w:rsidR="00A25679" w:rsidRPr="00E565E3" w:rsidRDefault="00A25679" w:rsidP="00455AD8">
      <w:pPr>
        <w:pStyle w:val="ListParagraph"/>
        <w:numPr>
          <w:ilvl w:val="1"/>
          <w:numId w:val="16"/>
        </w:numPr>
        <w:spacing w:after="0"/>
        <w:rPr>
          <w:sz w:val="20"/>
        </w:rPr>
      </w:pPr>
      <w:r>
        <w:rPr>
          <w:sz w:val="20"/>
        </w:rPr>
        <w:t>No survivorship: If B dies, his interest goes to his heir</w:t>
      </w:r>
    </w:p>
    <w:p w14:paraId="66745F04" w14:textId="3BB68175" w:rsidR="00C472F6" w:rsidRPr="00A25679" w:rsidRDefault="00E565E3" w:rsidP="00455AD8">
      <w:pPr>
        <w:pStyle w:val="ListParagraph"/>
        <w:numPr>
          <w:ilvl w:val="0"/>
          <w:numId w:val="16"/>
        </w:numPr>
        <w:spacing w:after="0"/>
        <w:rPr>
          <w:sz w:val="20"/>
        </w:rPr>
      </w:pPr>
      <w:r>
        <w:rPr>
          <w:b/>
          <w:sz w:val="20"/>
        </w:rPr>
        <w:lastRenderedPageBreak/>
        <w:t>Tenancy by the Entirety</w:t>
      </w:r>
    </w:p>
    <w:p w14:paraId="55210525" w14:textId="19684344" w:rsidR="00A25679" w:rsidRDefault="00A25679" w:rsidP="00455AD8">
      <w:pPr>
        <w:pStyle w:val="ListParagraph"/>
        <w:numPr>
          <w:ilvl w:val="1"/>
          <w:numId w:val="16"/>
        </w:numPr>
        <w:spacing w:after="0"/>
        <w:rPr>
          <w:sz w:val="20"/>
        </w:rPr>
      </w:pPr>
      <w:r>
        <w:rPr>
          <w:sz w:val="20"/>
        </w:rPr>
        <w:t>Similar to joint tenancy, but can only exist in marriage</w:t>
      </w:r>
    </w:p>
    <w:p w14:paraId="0182FE73" w14:textId="57A110ED" w:rsidR="00A25679" w:rsidRDefault="00A25679" w:rsidP="00455AD8">
      <w:pPr>
        <w:pStyle w:val="ListParagraph"/>
        <w:numPr>
          <w:ilvl w:val="1"/>
          <w:numId w:val="16"/>
        </w:numPr>
        <w:spacing w:after="0"/>
        <w:rPr>
          <w:sz w:val="20"/>
        </w:rPr>
      </w:pPr>
      <w:r>
        <w:rPr>
          <w:sz w:val="20"/>
        </w:rPr>
        <w:t>Not severable by the unilateral action of either party</w:t>
      </w:r>
    </w:p>
    <w:p w14:paraId="16C70815" w14:textId="3C02639E" w:rsidR="00AD6AA1" w:rsidRDefault="00296CAD" w:rsidP="00455AD8">
      <w:pPr>
        <w:pStyle w:val="ListParagraph"/>
        <w:numPr>
          <w:ilvl w:val="1"/>
          <w:numId w:val="16"/>
        </w:numPr>
        <w:spacing w:after="0"/>
        <w:rPr>
          <w:sz w:val="20"/>
        </w:rPr>
      </w:pPr>
      <w:r>
        <w:rPr>
          <w:sz w:val="20"/>
        </w:rPr>
        <w:t xml:space="preserve">Spouse’s interest </w:t>
      </w:r>
      <w:r w:rsidR="00AD6AA1">
        <w:rPr>
          <w:sz w:val="20"/>
        </w:rPr>
        <w:t xml:space="preserve">in an estate by the entirety </w:t>
      </w:r>
      <w:r>
        <w:rPr>
          <w:sz w:val="20"/>
        </w:rPr>
        <w:t>isn’t subject to</w:t>
      </w:r>
      <w:r w:rsidR="00AD6AA1">
        <w:rPr>
          <w:sz w:val="20"/>
        </w:rPr>
        <w:t xml:space="preserve"> individual</w:t>
      </w:r>
      <w:r>
        <w:rPr>
          <w:sz w:val="20"/>
        </w:rPr>
        <w:t>’s</w:t>
      </w:r>
      <w:r w:rsidR="00AD6AA1">
        <w:rPr>
          <w:sz w:val="20"/>
        </w:rPr>
        <w:t xml:space="preserve"> creditors during the spouses’ joint lives (</w:t>
      </w:r>
      <w:r w:rsidR="00AD6AA1">
        <w:rPr>
          <w:i/>
          <w:sz w:val="20"/>
        </w:rPr>
        <w:t>Sawada v. Endo</w:t>
      </w:r>
      <w:r w:rsidR="00AD6AA1">
        <w:rPr>
          <w:sz w:val="20"/>
        </w:rPr>
        <w:t xml:space="preserve"> – car accident victims attempt to claim interest in marital property to satisfy judgment)</w:t>
      </w:r>
    </w:p>
    <w:p w14:paraId="795F49D9" w14:textId="0A85048E" w:rsidR="00D84BDC" w:rsidRDefault="00D84BDC" w:rsidP="00455AD8">
      <w:pPr>
        <w:pStyle w:val="ListParagraph"/>
        <w:numPr>
          <w:ilvl w:val="0"/>
          <w:numId w:val="16"/>
        </w:numPr>
        <w:spacing w:after="0"/>
        <w:rPr>
          <w:sz w:val="20"/>
        </w:rPr>
      </w:pPr>
      <w:r>
        <w:rPr>
          <w:sz w:val="20"/>
        </w:rPr>
        <w:t>Multi-party Bank Accounts</w:t>
      </w:r>
    </w:p>
    <w:p w14:paraId="79A35872" w14:textId="6C9EB82D" w:rsidR="00D84BDC" w:rsidRDefault="00A1783B" w:rsidP="00455AD8">
      <w:pPr>
        <w:pStyle w:val="ListParagraph"/>
        <w:numPr>
          <w:ilvl w:val="1"/>
          <w:numId w:val="16"/>
        </w:numPr>
        <w:spacing w:after="0"/>
        <w:rPr>
          <w:sz w:val="20"/>
        </w:rPr>
      </w:pPr>
      <w:r>
        <w:rPr>
          <w:sz w:val="20"/>
        </w:rPr>
        <w:t>True joint bank accounts entail</w:t>
      </w:r>
      <w:r w:rsidR="006B6B81">
        <w:rPr>
          <w:sz w:val="20"/>
        </w:rPr>
        <w:t xml:space="preserve"> a present gift of ½ the sum deposited plus survivorship rights</w:t>
      </w:r>
    </w:p>
    <w:p w14:paraId="1D547D2D" w14:textId="694A82F3" w:rsidR="006B6B81" w:rsidRDefault="006B6B81" w:rsidP="00455AD8">
      <w:pPr>
        <w:pStyle w:val="ListParagraph"/>
        <w:numPr>
          <w:ilvl w:val="1"/>
          <w:numId w:val="16"/>
        </w:numPr>
        <w:spacing w:after="0"/>
        <w:rPr>
          <w:sz w:val="20"/>
        </w:rPr>
      </w:pPr>
      <w:r>
        <w:rPr>
          <w:sz w:val="20"/>
        </w:rPr>
        <w:t>Payable-on-death accoun</w:t>
      </w:r>
      <w:r w:rsidR="00A1783B">
        <w:rPr>
          <w:sz w:val="20"/>
        </w:rPr>
        <w:t xml:space="preserve">ts confer survivorship; </w:t>
      </w:r>
      <w:r>
        <w:rPr>
          <w:sz w:val="20"/>
        </w:rPr>
        <w:t>usually i</w:t>
      </w:r>
      <w:r w:rsidR="00A1783B">
        <w:rPr>
          <w:sz w:val="20"/>
        </w:rPr>
        <w:t>nvalid unless permitted by</w:t>
      </w:r>
      <w:r>
        <w:rPr>
          <w:sz w:val="20"/>
        </w:rPr>
        <w:t xml:space="preserve"> statute</w:t>
      </w:r>
    </w:p>
    <w:p w14:paraId="36C66011" w14:textId="61259E0E" w:rsidR="006B6B81" w:rsidRDefault="006B6B81" w:rsidP="00455AD8">
      <w:pPr>
        <w:pStyle w:val="ListParagraph"/>
        <w:numPr>
          <w:ilvl w:val="1"/>
          <w:numId w:val="16"/>
        </w:numPr>
        <w:spacing w:after="0"/>
        <w:rPr>
          <w:sz w:val="20"/>
        </w:rPr>
      </w:pPr>
      <w:r>
        <w:rPr>
          <w:sz w:val="20"/>
        </w:rPr>
        <w:t>Convenience accounts transfer no survivorship rights, but simply the ability to pay bills</w:t>
      </w:r>
    </w:p>
    <w:p w14:paraId="52D686FD" w14:textId="0197ADB3" w:rsidR="006B6B81" w:rsidRDefault="006B6B81" w:rsidP="00455AD8">
      <w:pPr>
        <w:pStyle w:val="Heading4"/>
        <w:spacing w:before="0"/>
        <w:rPr>
          <w:sz w:val="20"/>
          <w:szCs w:val="20"/>
        </w:rPr>
      </w:pPr>
      <w:r>
        <w:rPr>
          <w:sz w:val="20"/>
          <w:szCs w:val="20"/>
        </w:rPr>
        <w:t>Severance</w:t>
      </w:r>
    </w:p>
    <w:p w14:paraId="2E8363C8" w14:textId="07DE0BF8" w:rsidR="006B6B81" w:rsidRPr="006B6B81" w:rsidRDefault="006B6B81" w:rsidP="00455AD8">
      <w:pPr>
        <w:pStyle w:val="ListParagraph"/>
        <w:numPr>
          <w:ilvl w:val="0"/>
          <w:numId w:val="34"/>
        </w:numPr>
      </w:pPr>
      <w:r>
        <w:rPr>
          <w:sz w:val="20"/>
        </w:rPr>
        <w:t>Partition in kind is preferable to partition by sale, unless: 1) Partition is impracticable and 2) Interests of all owners are better promoted by sale (</w:t>
      </w:r>
      <w:r>
        <w:rPr>
          <w:i/>
          <w:sz w:val="20"/>
        </w:rPr>
        <w:t xml:space="preserve">Delfino v. Vealencis </w:t>
      </w:r>
      <w:r>
        <w:rPr>
          <w:sz w:val="20"/>
        </w:rPr>
        <w:t>– Attempt to eject garbage removal business)</w:t>
      </w:r>
    </w:p>
    <w:p w14:paraId="372B014F" w14:textId="348585C3" w:rsidR="006B6B81" w:rsidRPr="006B6B81" w:rsidRDefault="006B6B81" w:rsidP="00455AD8">
      <w:pPr>
        <w:pStyle w:val="ListParagraph"/>
        <w:numPr>
          <w:ilvl w:val="1"/>
          <w:numId w:val="34"/>
        </w:numPr>
      </w:pPr>
      <w:r>
        <w:rPr>
          <w:sz w:val="20"/>
        </w:rPr>
        <w:t>Economic value is relevant, but not dispositive to the determination of which partition is preferable, especially when emotional connections to the land exist (</w:t>
      </w:r>
      <w:r>
        <w:rPr>
          <w:i/>
          <w:sz w:val="20"/>
        </w:rPr>
        <w:t>Ark Land Co. v. Harper</w:t>
      </w:r>
      <w:r>
        <w:rPr>
          <w:sz w:val="20"/>
        </w:rPr>
        <w:t>)</w:t>
      </w:r>
    </w:p>
    <w:p w14:paraId="624963C6" w14:textId="1226FBDB" w:rsidR="006B6B81" w:rsidRPr="006455E0" w:rsidRDefault="006B6B81" w:rsidP="00455AD8">
      <w:pPr>
        <w:pStyle w:val="ListParagraph"/>
        <w:numPr>
          <w:ilvl w:val="2"/>
          <w:numId w:val="34"/>
        </w:numPr>
      </w:pPr>
      <w:r>
        <w:rPr>
          <w:sz w:val="20"/>
        </w:rPr>
        <w:t xml:space="preserve">But see </w:t>
      </w:r>
      <w:r>
        <w:rPr>
          <w:i/>
          <w:sz w:val="20"/>
        </w:rPr>
        <w:t>Johnson v. Hendrickson</w:t>
      </w:r>
      <w:r>
        <w:rPr>
          <w:sz w:val="20"/>
        </w:rPr>
        <w:t>, where partition in kind was not granted since it would significantly reduce the value of the land for all involved parties</w:t>
      </w:r>
    </w:p>
    <w:p w14:paraId="46B2698E" w14:textId="66E78A1C" w:rsidR="006455E0" w:rsidRPr="006455E0" w:rsidRDefault="006455E0" w:rsidP="00455AD8">
      <w:pPr>
        <w:pStyle w:val="ListParagraph"/>
        <w:numPr>
          <w:ilvl w:val="2"/>
          <w:numId w:val="34"/>
        </w:numPr>
        <w:rPr>
          <w:sz w:val="20"/>
        </w:rPr>
      </w:pPr>
      <w:r w:rsidRPr="006455E0">
        <w:rPr>
          <w:sz w:val="20"/>
        </w:rPr>
        <w:t>Presumption towards partition in kind is weakening in modern courts</w:t>
      </w:r>
    </w:p>
    <w:p w14:paraId="511DD375" w14:textId="6AA52D9B" w:rsidR="00E565E3" w:rsidRDefault="00E565E3" w:rsidP="00455AD8">
      <w:pPr>
        <w:pStyle w:val="Heading4"/>
        <w:spacing w:before="0"/>
        <w:rPr>
          <w:sz w:val="20"/>
          <w:szCs w:val="20"/>
        </w:rPr>
      </w:pPr>
      <w:r>
        <w:rPr>
          <w:sz w:val="20"/>
          <w:szCs w:val="20"/>
        </w:rPr>
        <w:t>Succession on Death</w:t>
      </w:r>
    </w:p>
    <w:p w14:paraId="3D69709D" w14:textId="469CFBEE" w:rsidR="007F3361" w:rsidRDefault="007F3361" w:rsidP="00455AD8">
      <w:pPr>
        <w:pStyle w:val="ListParagraph"/>
        <w:numPr>
          <w:ilvl w:val="0"/>
          <w:numId w:val="35"/>
        </w:numPr>
        <w:rPr>
          <w:sz w:val="20"/>
        </w:rPr>
      </w:pPr>
      <w:r>
        <w:rPr>
          <w:sz w:val="20"/>
        </w:rPr>
        <w:t>Blackstone argues that traditional laws of property succession are natural and appropriate</w:t>
      </w:r>
    </w:p>
    <w:p w14:paraId="5698FFDF" w14:textId="3C631658" w:rsidR="007F3361" w:rsidRPr="007F3361" w:rsidRDefault="007F3361" w:rsidP="00455AD8">
      <w:pPr>
        <w:pStyle w:val="ListParagraph"/>
        <w:numPr>
          <w:ilvl w:val="1"/>
          <w:numId w:val="35"/>
        </w:numPr>
        <w:rPr>
          <w:sz w:val="20"/>
        </w:rPr>
      </w:pPr>
      <w:r>
        <w:rPr>
          <w:sz w:val="20"/>
        </w:rPr>
        <w:t>Mill argues that succession should be regulated to ensure the greatest amount of societal benefit (Utilitarianism). To that end, there should be a maximum amount children may inherit</w:t>
      </w:r>
    </w:p>
    <w:p w14:paraId="5BAA35F4" w14:textId="11120A22" w:rsidR="006455E0" w:rsidRPr="007F3361" w:rsidRDefault="007F3361" w:rsidP="00455AD8">
      <w:pPr>
        <w:pStyle w:val="ListParagraph"/>
        <w:numPr>
          <w:ilvl w:val="0"/>
          <w:numId w:val="35"/>
        </w:numPr>
      </w:pPr>
      <w:r>
        <w:rPr>
          <w:sz w:val="20"/>
        </w:rPr>
        <w:t xml:space="preserve">A </w:t>
      </w:r>
      <w:r w:rsidR="00C4059F">
        <w:rPr>
          <w:sz w:val="20"/>
        </w:rPr>
        <w:t xml:space="preserve">critical stick in the bundle of property rights is the right to dispose of property. This right cannot be taken without adequate compensation </w:t>
      </w:r>
      <w:r>
        <w:rPr>
          <w:sz w:val="20"/>
        </w:rPr>
        <w:t>(</w:t>
      </w:r>
      <w:r>
        <w:rPr>
          <w:i/>
          <w:sz w:val="20"/>
        </w:rPr>
        <w:t xml:space="preserve">Hodel v. Irving </w:t>
      </w:r>
      <w:r>
        <w:rPr>
          <w:sz w:val="20"/>
        </w:rPr>
        <w:t>– Indian land suffering from fractionalization)</w:t>
      </w:r>
    </w:p>
    <w:p w14:paraId="74524D66" w14:textId="4C465EC4" w:rsidR="007F3361" w:rsidRPr="007F3361" w:rsidRDefault="007F3361" w:rsidP="00455AD8">
      <w:pPr>
        <w:pStyle w:val="ListParagraph"/>
        <w:numPr>
          <w:ilvl w:val="1"/>
          <w:numId w:val="35"/>
        </w:numPr>
      </w:pPr>
      <w:r>
        <w:rPr>
          <w:sz w:val="20"/>
        </w:rPr>
        <w:t>Although the state may regulate/adjust inheritance laws, they may not abolish that right</w:t>
      </w:r>
    </w:p>
    <w:p w14:paraId="405D099B" w14:textId="42B4879B" w:rsidR="007F3361" w:rsidRPr="006455E0" w:rsidRDefault="007F3361" w:rsidP="00455AD8">
      <w:pPr>
        <w:pStyle w:val="ListParagraph"/>
        <w:numPr>
          <w:ilvl w:val="0"/>
          <w:numId w:val="35"/>
        </w:numPr>
      </w:pPr>
      <w:r>
        <w:rPr>
          <w:sz w:val="20"/>
        </w:rPr>
        <w:t>This is becoming less important, since inter-generational wealth transfer is more commonly occurring as parents pay for education</w:t>
      </w:r>
      <w:r w:rsidR="00296CAD">
        <w:rPr>
          <w:sz w:val="20"/>
        </w:rPr>
        <w:t xml:space="preserve"> (and save for longer retirement)</w:t>
      </w:r>
      <w:r>
        <w:rPr>
          <w:sz w:val="20"/>
        </w:rPr>
        <w:t>, not at death</w:t>
      </w:r>
    </w:p>
    <w:p w14:paraId="598CEFB5" w14:textId="3812B3C1" w:rsidR="00505123" w:rsidRDefault="00425155" w:rsidP="00455AD8">
      <w:pPr>
        <w:pStyle w:val="Heading4"/>
        <w:spacing w:before="0"/>
        <w:rPr>
          <w:sz w:val="20"/>
          <w:szCs w:val="20"/>
        </w:rPr>
      </w:pPr>
      <w:r>
        <w:rPr>
          <w:sz w:val="20"/>
          <w:szCs w:val="20"/>
        </w:rPr>
        <w:t>Marital Property</w:t>
      </w:r>
    </w:p>
    <w:p w14:paraId="31FCF0A8" w14:textId="77777777" w:rsidR="00961040" w:rsidRPr="00961040" w:rsidRDefault="00961040" w:rsidP="00455AD8">
      <w:pPr>
        <w:pStyle w:val="ListParagraph"/>
        <w:numPr>
          <w:ilvl w:val="0"/>
          <w:numId w:val="17"/>
        </w:numPr>
        <w:spacing w:after="0"/>
      </w:pPr>
      <w:r>
        <w:rPr>
          <w:sz w:val="20"/>
        </w:rPr>
        <w:t>Educational degrees and professional achievements are not generally considered marital property for purposes of divorce partition (</w:t>
      </w:r>
      <w:r>
        <w:rPr>
          <w:i/>
          <w:sz w:val="20"/>
        </w:rPr>
        <w:t>In re Marriage of Graham</w:t>
      </w:r>
      <w:r>
        <w:rPr>
          <w:sz w:val="20"/>
        </w:rPr>
        <w:t>)</w:t>
      </w:r>
    </w:p>
    <w:p w14:paraId="60260A63" w14:textId="3F7F6259" w:rsidR="00961040" w:rsidRPr="00961040" w:rsidRDefault="00961040" w:rsidP="00455AD8">
      <w:pPr>
        <w:pStyle w:val="ListParagraph"/>
        <w:numPr>
          <w:ilvl w:val="1"/>
          <w:numId w:val="17"/>
        </w:numPr>
        <w:spacing w:after="0"/>
      </w:pPr>
      <w:r>
        <w:rPr>
          <w:sz w:val="20"/>
        </w:rPr>
        <w:t>Dissent argues that narrow</w:t>
      </w:r>
      <w:r w:rsidR="0042046D">
        <w:rPr>
          <w:sz w:val="20"/>
        </w:rPr>
        <w:t xml:space="preserve"> definition of property should be changed</w:t>
      </w:r>
      <w:r>
        <w:rPr>
          <w:sz w:val="20"/>
        </w:rPr>
        <w:t xml:space="preserve"> to prevent obvious injustice </w:t>
      </w:r>
    </w:p>
    <w:p w14:paraId="0D3380F0" w14:textId="5B955CB3" w:rsidR="00505123" w:rsidRPr="00961040" w:rsidRDefault="0042046D" w:rsidP="00455AD8">
      <w:pPr>
        <w:pStyle w:val="ListParagraph"/>
        <w:numPr>
          <w:ilvl w:val="2"/>
          <w:numId w:val="17"/>
        </w:numPr>
        <w:spacing w:after="0"/>
      </w:pPr>
      <w:r>
        <w:rPr>
          <w:sz w:val="20"/>
        </w:rPr>
        <w:t>See</w:t>
      </w:r>
      <w:r w:rsidR="00961040">
        <w:rPr>
          <w:sz w:val="20"/>
        </w:rPr>
        <w:t xml:space="preserve"> </w:t>
      </w:r>
      <w:r w:rsidR="00961040">
        <w:rPr>
          <w:i/>
          <w:sz w:val="20"/>
        </w:rPr>
        <w:t>Elkus v. Elkus</w:t>
      </w:r>
      <w:r w:rsidR="00961040">
        <w:rPr>
          <w:sz w:val="20"/>
        </w:rPr>
        <w:t xml:space="preserve">, where wife’s opera career was marital property subject to equitable distribution since the husband contributed to her success </w:t>
      </w:r>
    </w:p>
    <w:p w14:paraId="5FD505D9" w14:textId="32A08526" w:rsidR="00961040" w:rsidRPr="0042046D" w:rsidRDefault="00961040" w:rsidP="00455AD8">
      <w:pPr>
        <w:pStyle w:val="ListParagraph"/>
        <w:numPr>
          <w:ilvl w:val="1"/>
          <w:numId w:val="17"/>
        </w:numPr>
        <w:spacing w:after="0"/>
      </w:pPr>
      <w:r>
        <w:rPr>
          <w:i/>
          <w:sz w:val="20"/>
        </w:rPr>
        <w:t xml:space="preserve">Mahoney v. Mahoney </w:t>
      </w:r>
      <w:r>
        <w:rPr>
          <w:sz w:val="20"/>
        </w:rPr>
        <w:t>creates an alternative, where a spouse is reimbursed for all financial contributions made to a spouse’s professional training</w:t>
      </w:r>
    </w:p>
    <w:p w14:paraId="0C122861" w14:textId="23F41C2A" w:rsidR="0042046D" w:rsidRPr="00896B1C" w:rsidRDefault="0042046D" w:rsidP="00455AD8">
      <w:pPr>
        <w:pStyle w:val="ListParagraph"/>
        <w:numPr>
          <w:ilvl w:val="1"/>
          <w:numId w:val="17"/>
        </w:numPr>
        <w:spacing w:after="0"/>
      </w:pPr>
      <w:r>
        <w:rPr>
          <w:sz w:val="20"/>
        </w:rPr>
        <w:t>Is marriage an equal partnership, or does it imply support?</w:t>
      </w:r>
    </w:p>
    <w:p w14:paraId="5AF2CBB9" w14:textId="77777777" w:rsidR="00896B1C" w:rsidRPr="00896B1C" w:rsidRDefault="00896B1C" w:rsidP="00455AD8">
      <w:pPr>
        <w:pStyle w:val="ListParagraph"/>
        <w:numPr>
          <w:ilvl w:val="0"/>
          <w:numId w:val="17"/>
        </w:numPr>
        <w:spacing w:after="0"/>
      </w:pPr>
      <w:r>
        <w:rPr>
          <w:sz w:val="20"/>
        </w:rPr>
        <w:t xml:space="preserve">Five factor test to determine if conveyance is fraudulent: </w:t>
      </w:r>
    </w:p>
    <w:p w14:paraId="7CAEAB4E" w14:textId="77777777" w:rsidR="00896B1C" w:rsidRPr="00896B1C" w:rsidRDefault="00896B1C" w:rsidP="00455AD8">
      <w:pPr>
        <w:pStyle w:val="ListParagraph"/>
        <w:numPr>
          <w:ilvl w:val="1"/>
          <w:numId w:val="17"/>
        </w:numPr>
        <w:spacing w:after="0"/>
      </w:pPr>
      <w:r>
        <w:rPr>
          <w:sz w:val="20"/>
        </w:rPr>
        <w:t>Transfer was made during a contract to marry and in contemplation of marriage</w:t>
      </w:r>
    </w:p>
    <w:p w14:paraId="0B88595A" w14:textId="77777777" w:rsidR="00896B1C" w:rsidRPr="00896B1C" w:rsidRDefault="00896B1C" w:rsidP="00455AD8">
      <w:pPr>
        <w:pStyle w:val="ListParagraph"/>
        <w:numPr>
          <w:ilvl w:val="1"/>
          <w:numId w:val="17"/>
        </w:numPr>
        <w:spacing w:after="0"/>
      </w:pPr>
      <w:r>
        <w:rPr>
          <w:sz w:val="20"/>
        </w:rPr>
        <w:t>Lack of adequate consideration for the transfer</w:t>
      </w:r>
    </w:p>
    <w:p w14:paraId="3D90739A" w14:textId="77777777" w:rsidR="00896B1C" w:rsidRPr="00896B1C" w:rsidRDefault="00896B1C" w:rsidP="00455AD8">
      <w:pPr>
        <w:pStyle w:val="ListParagraph"/>
        <w:numPr>
          <w:ilvl w:val="1"/>
          <w:numId w:val="17"/>
        </w:numPr>
        <w:spacing w:after="0"/>
      </w:pPr>
      <w:r>
        <w:rPr>
          <w:sz w:val="20"/>
        </w:rPr>
        <w:t>Lack of prospective spouse’s knowledge of transfer</w:t>
      </w:r>
    </w:p>
    <w:p w14:paraId="22C0D3C2" w14:textId="409AAEDA" w:rsidR="00896B1C" w:rsidRPr="00896B1C" w:rsidRDefault="00896B1C" w:rsidP="00455AD8">
      <w:pPr>
        <w:pStyle w:val="ListParagraph"/>
        <w:numPr>
          <w:ilvl w:val="2"/>
          <w:numId w:val="17"/>
        </w:numPr>
        <w:spacing w:after="0"/>
      </w:pPr>
      <w:r>
        <w:rPr>
          <w:sz w:val="20"/>
        </w:rPr>
        <w:t>These elements combine to create a presumption of fraudulent intent</w:t>
      </w:r>
    </w:p>
    <w:p w14:paraId="5E46D0F2" w14:textId="77777777" w:rsidR="00896B1C" w:rsidRPr="00896B1C" w:rsidRDefault="00896B1C" w:rsidP="00455AD8">
      <w:pPr>
        <w:pStyle w:val="ListParagraph"/>
        <w:numPr>
          <w:ilvl w:val="1"/>
          <w:numId w:val="17"/>
        </w:numPr>
        <w:spacing w:after="0"/>
      </w:pPr>
      <w:r>
        <w:rPr>
          <w:sz w:val="20"/>
        </w:rPr>
        <w:t>Transferor’s fraudulent intent</w:t>
      </w:r>
    </w:p>
    <w:p w14:paraId="72228DA2" w14:textId="1EEB369C" w:rsidR="00896B1C" w:rsidRPr="00896B1C" w:rsidRDefault="00896B1C" w:rsidP="00455AD8">
      <w:pPr>
        <w:pStyle w:val="ListParagraph"/>
        <w:numPr>
          <w:ilvl w:val="1"/>
          <w:numId w:val="17"/>
        </w:numPr>
        <w:spacing w:after="0"/>
      </w:pPr>
      <w:r>
        <w:rPr>
          <w:sz w:val="20"/>
        </w:rPr>
        <w:t xml:space="preserve">Prospective spouse’s reliance on </w:t>
      </w:r>
      <w:r w:rsidR="00703ACC">
        <w:rPr>
          <w:sz w:val="20"/>
        </w:rPr>
        <w:t>property interest</w:t>
      </w:r>
      <w:r>
        <w:rPr>
          <w:sz w:val="20"/>
        </w:rPr>
        <w:t xml:space="preserve"> in inducement of marriage </w:t>
      </w:r>
      <w:r w:rsidRPr="00896B1C">
        <w:rPr>
          <w:sz w:val="20"/>
        </w:rPr>
        <w:t>(</w:t>
      </w:r>
      <w:r w:rsidRPr="00896B1C">
        <w:rPr>
          <w:i/>
          <w:sz w:val="20"/>
        </w:rPr>
        <w:t>Strong v. Wood</w:t>
      </w:r>
      <w:r w:rsidRPr="00896B1C">
        <w:rPr>
          <w:sz w:val="20"/>
        </w:rPr>
        <w:t xml:space="preserve"> –</w:t>
      </w:r>
      <w:r w:rsidR="00703ACC">
        <w:rPr>
          <w:sz w:val="20"/>
        </w:rPr>
        <w:t xml:space="preserve">elderly </w:t>
      </w:r>
      <w:r w:rsidRPr="00896B1C">
        <w:rPr>
          <w:sz w:val="20"/>
        </w:rPr>
        <w:t>husband conveyed farm to sons before marriage)</w:t>
      </w:r>
    </w:p>
    <w:p w14:paraId="27592D8B" w14:textId="41BE4E87" w:rsidR="00896B1C" w:rsidRPr="00896B1C" w:rsidRDefault="00896B1C" w:rsidP="00455AD8">
      <w:pPr>
        <w:pStyle w:val="ListParagraph"/>
        <w:numPr>
          <w:ilvl w:val="0"/>
          <w:numId w:val="17"/>
        </w:numPr>
        <w:spacing w:after="0"/>
      </w:pPr>
      <w:r>
        <w:rPr>
          <w:sz w:val="20"/>
        </w:rPr>
        <w:t>A trust with remainder interests is not invalid simply because the settlor retained power to modify or revoke the trust (</w:t>
      </w:r>
      <w:r>
        <w:rPr>
          <w:i/>
          <w:sz w:val="20"/>
        </w:rPr>
        <w:t>Sullivan v. Burkin</w:t>
      </w:r>
      <w:r>
        <w:rPr>
          <w:sz w:val="20"/>
        </w:rPr>
        <w:t xml:space="preserve"> – husband deliberately leaves wife out of will)</w:t>
      </w:r>
    </w:p>
    <w:p w14:paraId="5DEF83BB" w14:textId="10E56CEA" w:rsidR="00896B1C" w:rsidRPr="00896B1C" w:rsidRDefault="0042046D" w:rsidP="00455AD8">
      <w:pPr>
        <w:pStyle w:val="ListParagraph"/>
        <w:numPr>
          <w:ilvl w:val="1"/>
          <w:numId w:val="17"/>
        </w:numPr>
        <w:spacing w:after="0"/>
      </w:pPr>
      <w:r>
        <w:rPr>
          <w:sz w:val="20"/>
        </w:rPr>
        <w:t>A</w:t>
      </w:r>
      <w:r w:rsidR="00896B1C">
        <w:rPr>
          <w:sz w:val="20"/>
        </w:rPr>
        <w:t>ssets of such a trust will be included in the estate, subject to mandatory spousal share</w:t>
      </w:r>
    </w:p>
    <w:p w14:paraId="684DA2F8" w14:textId="7E43A65F" w:rsidR="00896B1C" w:rsidRPr="00896B1C" w:rsidRDefault="00896B1C" w:rsidP="00455AD8">
      <w:pPr>
        <w:pStyle w:val="ListParagraph"/>
        <w:numPr>
          <w:ilvl w:val="0"/>
          <w:numId w:val="17"/>
        </w:numPr>
        <w:spacing w:after="0"/>
      </w:pPr>
      <w:r>
        <w:rPr>
          <w:sz w:val="20"/>
        </w:rPr>
        <w:lastRenderedPageBreak/>
        <w:t>Courts are divided on appropriate methods of dividing marital pr</w:t>
      </w:r>
      <w:r w:rsidR="005F7821">
        <w:rPr>
          <w:sz w:val="20"/>
        </w:rPr>
        <w:t>operty in the event of divorce</w:t>
      </w:r>
    </w:p>
    <w:p w14:paraId="79B2A71F" w14:textId="78563CAA" w:rsidR="00896B1C" w:rsidRPr="00896B1C" w:rsidRDefault="00896B1C" w:rsidP="00455AD8">
      <w:pPr>
        <w:pStyle w:val="ListParagraph"/>
        <w:numPr>
          <w:ilvl w:val="1"/>
          <w:numId w:val="17"/>
        </w:numPr>
        <w:spacing w:after="0"/>
      </w:pPr>
      <w:r>
        <w:rPr>
          <w:sz w:val="20"/>
        </w:rPr>
        <w:t xml:space="preserve">Under </w:t>
      </w:r>
      <w:r>
        <w:rPr>
          <w:i/>
          <w:sz w:val="20"/>
        </w:rPr>
        <w:t>Norris v. Norris</w:t>
      </w:r>
      <w:r>
        <w:rPr>
          <w:sz w:val="20"/>
        </w:rPr>
        <w:t>, there is no conveyance unless contributions to marital property value was outside normal familial activities</w:t>
      </w:r>
    </w:p>
    <w:p w14:paraId="5062C617" w14:textId="1418B5A8" w:rsidR="00896B1C" w:rsidRPr="00896B1C" w:rsidRDefault="00896B1C" w:rsidP="00455AD8">
      <w:pPr>
        <w:pStyle w:val="ListParagraph"/>
        <w:numPr>
          <w:ilvl w:val="1"/>
          <w:numId w:val="17"/>
        </w:numPr>
        <w:spacing w:after="0"/>
      </w:pPr>
      <w:r>
        <w:rPr>
          <w:sz w:val="20"/>
        </w:rPr>
        <w:t xml:space="preserve">Under </w:t>
      </w:r>
      <w:r>
        <w:rPr>
          <w:i/>
          <w:sz w:val="20"/>
        </w:rPr>
        <w:t xml:space="preserve">Rice v. Rice, </w:t>
      </w:r>
      <w:r>
        <w:rPr>
          <w:sz w:val="20"/>
        </w:rPr>
        <w:t>the court retains broad discretion to create an equitable and fair settlement</w:t>
      </w:r>
    </w:p>
    <w:p w14:paraId="676F30AF" w14:textId="1966604C" w:rsidR="00896B1C" w:rsidRPr="00794E72" w:rsidRDefault="00896B1C" w:rsidP="00455AD8">
      <w:pPr>
        <w:pStyle w:val="ListParagraph"/>
        <w:numPr>
          <w:ilvl w:val="2"/>
          <w:numId w:val="17"/>
        </w:numPr>
        <w:spacing w:after="0"/>
      </w:pPr>
      <w:r>
        <w:rPr>
          <w:sz w:val="20"/>
        </w:rPr>
        <w:t>Massachusetts law has dozens of factors to consider, leading to unpredictable results</w:t>
      </w:r>
    </w:p>
    <w:p w14:paraId="2D30A8D8" w14:textId="5CA39F21" w:rsidR="00896B1C" w:rsidRPr="00BC5F33" w:rsidRDefault="00896B1C" w:rsidP="00D86530">
      <w:pPr>
        <w:pStyle w:val="ListParagraph"/>
        <w:numPr>
          <w:ilvl w:val="2"/>
          <w:numId w:val="17"/>
        </w:numPr>
        <w:spacing w:after="0"/>
      </w:pPr>
      <w:r w:rsidRPr="0042046D">
        <w:rPr>
          <w:sz w:val="20"/>
        </w:rPr>
        <w:t>Policy considerations include:</w:t>
      </w:r>
      <w:r w:rsidR="0042046D" w:rsidRPr="0042046D">
        <w:rPr>
          <w:sz w:val="20"/>
        </w:rPr>
        <w:t xml:space="preserve"> 1) </w:t>
      </w:r>
      <w:r w:rsidRPr="0042046D">
        <w:rPr>
          <w:sz w:val="20"/>
        </w:rPr>
        <w:t>Protect parties’ reasonable expectations (fairness, justice)</w:t>
      </w:r>
      <w:r w:rsidR="0042046D" w:rsidRPr="0042046D">
        <w:rPr>
          <w:sz w:val="20"/>
        </w:rPr>
        <w:t xml:space="preserve"> (Is this i</w:t>
      </w:r>
      <w:r w:rsidRPr="0042046D">
        <w:rPr>
          <w:sz w:val="20"/>
        </w:rPr>
        <w:t>nformed by background law?</w:t>
      </w:r>
      <w:r w:rsidR="0042046D" w:rsidRPr="0042046D">
        <w:rPr>
          <w:sz w:val="20"/>
        </w:rPr>
        <w:t xml:space="preserve">), 2) </w:t>
      </w:r>
      <w:r w:rsidRPr="0042046D">
        <w:rPr>
          <w:sz w:val="20"/>
        </w:rPr>
        <w:t>Interest of state in ensuring that divorcees do not become welfare recipients</w:t>
      </w:r>
      <w:r w:rsidR="0042046D" w:rsidRPr="0042046D">
        <w:rPr>
          <w:sz w:val="20"/>
        </w:rPr>
        <w:t xml:space="preserve">, 3) </w:t>
      </w:r>
      <w:r w:rsidRPr="0042046D">
        <w:rPr>
          <w:sz w:val="20"/>
        </w:rPr>
        <w:t>View of marriage as a partnership, treating contributions as equal</w:t>
      </w:r>
      <w:r w:rsidR="0042046D" w:rsidRPr="0042046D">
        <w:rPr>
          <w:sz w:val="20"/>
        </w:rPr>
        <w:t xml:space="preserve">, 4) </w:t>
      </w:r>
      <w:r w:rsidRPr="0042046D">
        <w:rPr>
          <w:sz w:val="20"/>
        </w:rPr>
        <w:t>Protecting weaker, more vulnerable parties (i.e., children)</w:t>
      </w:r>
      <w:r w:rsidR="0042046D" w:rsidRPr="0042046D">
        <w:rPr>
          <w:sz w:val="20"/>
        </w:rPr>
        <w:t xml:space="preserve"> (</w:t>
      </w:r>
      <w:r w:rsidR="00B334F4" w:rsidRPr="0042046D">
        <w:rPr>
          <w:sz w:val="20"/>
        </w:rPr>
        <w:t>Note that child support cannot be contracted out of</w:t>
      </w:r>
      <w:r w:rsidR="0042046D" w:rsidRPr="0042046D">
        <w:rPr>
          <w:sz w:val="20"/>
        </w:rPr>
        <w:t>)</w:t>
      </w:r>
      <w:r w:rsidR="0042046D">
        <w:rPr>
          <w:sz w:val="20"/>
        </w:rPr>
        <w:t xml:space="preserve">, 5) </w:t>
      </w:r>
      <w:r w:rsidRPr="0042046D">
        <w:rPr>
          <w:sz w:val="20"/>
        </w:rPr>
        <w:t>Predictability and efficiency (reducing costs of divorce litigation)</w:t>
      </w:r>
    </w:p>
    <w:p w14:paraId="34EBC87A" w14:textId="77777777" w:rsidR="00BC5F33" w:rsidRDefault="00BC5F33" w:rsidP="00455AD8">
      <w:pPr>
        <w:pStyle w:val="ListParagraph"/>
        <w:numPr>
          <w:ilvl w:val="1"/>
          <w:numId w:val="17"/>
        </w:numPr>
        <w:spacing w:after="0"/>
        <w:rPr>
          <w:sz w:val="20"/>
        </w:rPr>
      </w:pPr>
      <w:r w:rsidRPr="00BC5F33">
        <w:rPr>
          <w:sz w:val="20"/>
        </w:rPr>
        <w:t xml:space="preserve">Prenuptial agreements </w:t>
      </w:r>
      <w:r>
        <w:rPr>
          <w:sz w:val="20"/>
        </w:rPr>
        <w:t>must be fair and reasonable at formation, and conscionable at the time of the divorce to be upheld by a court (</w:t>
      </w:r>
      <w:r>
        <w:rPr>
          <w:i/>
          <w:sz w:val="20"/>
        </w:rPr>
        <w:t>DeMatteo v. DeMatteo</w:t>
      </w:r>
      <w:r>
        <w:rPr>
          <w:sz w:val="20"/>
        </w:rPr>
        <w:t xml:space="preserve"> – wealthy husband strong-armed wife into signing a fairly unfavorable prenup)</w:t>
      </w:r>
    </w:p>
    <w:p w14:paraId="37B1B6D3" w14:textId="0452883F" w:rsidR="00BC5F33" w:rsidRDefault="00BC5F33" w:rsidP="00455AD8">
      <w:pPr>
        <w:pStyle w:val="ListParagraph"/>
        <w:numPr>
          <w:ilvl w:val="2"/>
          <w:numId w:val="17"/>
        </w:numPr>
        <w:spacing w:after="0"/>
        <w:rPr>
          <w:sz w:val="20"/>
        </w:rPr>
      </w:pPr>
      <w:r>
        <w:rPr>
          <w:sz w:val="20"/>
        </w:rPr>
        <w:t xml:space="preserve">Necessary elements include full and fair disclosure of each party’s assets, and a waiver of spousal </w:t>
      </w:r>
      <w:r w:rsidR="005F7821">
        <w:rPr>
          <w:sz w:val="20"/>
        </w:rPr>
        <w:t xml:space="preserve">support </w:t>
      </w:r>
      <w:r>
        <w:rPr>
          <w:sz w:val="20"/>
        </w:rPr>
        <w:t>except those specifically provided in the agreement</w:t>
      </w:r>
    </w:p>
    <w:p w14:paraId="08DFDC37" w14:textId="77777777" w:rsidR="00BC5F33" w:rsidRDefault="00BC5F33" w:rsidP="00455AD8">
      <w:pPr>
        <w:pStyle w:val="ListParagraph"/>
        <w:numPr>
          <w:ilvl w:val="0"/>
          <w:numId w:val="17"/>
        </w:numPr>
        <w:spacing w:after="0"/>
        <w:rPr>
          <w:sz w:val="20"/>
        </w:rPr>
      </w:pPr>
      <w:r>
        <w:rPr>
          <w:sz w:val="20"/>
        </w:rPr>
        <w:t>Domestic Parternships</w:t>
      </w:r>
    </w:p>
    <w:p w14:paraId="78F80BFF" w14:textId="35D6BD2C" w:rsidR="00BC5F33" w:rsidRDefault="00BC5F33" w:rsidP="00455AD8">
      <w:pPr>
        <w:pStyle w:val="ListParagraph"/>
        <w:numPr>
          <w:ilvl w:val="1"/>
          <w:numId w:val="17"/>
        </w:numPr>
        <w:spacing w:after="0"/>
        <w:rPr>
          <w:sz w:val="20"/>
        </w:rPr>
      </w:pPr>
      <w:r>
        <w:rPr>
          <w:sz w:val="20"/>
        </w:rPr>
        <w:t>Even tho</w:t>
      </w:r>
      <w:r w:rsidR="00722DB5">
        <w:rPr>
          <w:sz w:val="20"/>
        </w:rPr>
        <w:t>ugh common law marriage is dead</w:t>
      </w:r>
      <w:r>
        <w:rPr>
          <w:sz w:val="20"/>
        </w:rPr>
        <w:t>, joint property is subject to equitable division after separation (</w:t>
      </w:r>
      <w:r>
        <w:rPr>
          <w:i/>
          <w:sz w:val="20"/>
        </w:rPr>
        <w:t xml:space="preserve">Carlson v. Olson </w:t>
      </w:r>
      <w:r w:rsidR="00722DB5">
        <w:rPr>
          <w:sz w:val="20"/>
        </w:rPr>
        <w:t xml:space="preserve">– man tries to get away </w:t>
      </w:r>
      <w:r>
        <w:rPr>
          <w:sz w:val="20"/>
        </w:rPr>
        <w:t>after</w:t>
      </w:r>
      <w:r w:rsidR="00722DB5">
        <w:rPr>
          <w:sz w:val="20"/>
        </w:rPr>
        <w:t xml:space="preserve"> years of pretend marriage</w:t>
      </w:r>
    </w:p>
    <w:p w14:paraId="6BE72E94" w14:textId="333B4B03" w:rsidR="00722DB5" w:rsidRPr="0042046D" w:rsidRDefault="00BC5F33" w:rsidP="0042046D">
      <w:pPr>
        <w:pStyle w:val="ListParagraph"/>
        <w:numPr>
          <w:ilvl w:val="1"/>
          <w:numId w:val="17"/>
        </w:numPr>
        <w:spacing w:after="0"/>
        <w:rPr>
          <w:sz w:val="20"/>
        </w:rPr>
      </w:pPr>
      <w:r>
        <w:rPr>
          <w:sz w:val="20"/>
        </w:rPr>
        <w:t>Express contracts, even between non-married parties, are entitled to the court’s deference. Even in the absence of an express contract, the court should examine whether an implied contract exists (</w:t>
      </w:r>
      <w:r>
        <w:rPr>
          <w:i/>
          <w:sz w:val="20"/>
        </w:rPr>
        <w:t>Marvin v. Marvin</w:t>
      </w:r>
      <w:r w:rsidR="00722DB5">
        <w:rPr>
          <w:sz w:val="20"/>
        </w:rPr>
        <w:t xml:space="preserve"> – Hollywood man</w:t>
      </w:r>
      <w:r>
        <w:rPr>
          <w:sz w:val="20"/>
        </w:rPr>
        <w:t xml:space="preserve"> tries to get away)</w:t>
      </w:r>
    </w:p>
    <w:p w14:paraId="6566C0A9" w14:textId="7558D4C3" w:rsidR="00722DB5" w:rsidRPr="00722DB5" w:rsidRDefault="00722DB5" w:rsidP="00722DB5">
      <w:pPr>
        <w:pStyle w:val="Heading3"/>
        <w:rPr>
          <w:sz w:val="21"/>
        </w:rPr>
      </w:pPr>
      <w:r w:rsidRPr="00722DB5">
        <w:rPr>
          <w:sz w:val="21"/>
        </w:rPr>
        <w:t>Real Estate</w:t>
      </w:r>
    </w:p>
    <w:p w14:paraId="1EF2D9C8" w14:textId="1A2B5D77" w:rsidR="00722DB5" w:rsidRDefault="00722DB5" w:rsidP="00722DB5">
      <w:pPr>
        <w:pStyle w:val="Heading4"/>
        <w:rPr>
          <w:sz w:val="20"/>
        </w:rPr>
      </w:pPr>
      <w:r w:rsidRPr="00722DB5">
        <w:rPr>
          <w:sz w:val="20"/>
        </w:rPr>
        <w:t>Fair Housing Act</w:t>
      </w:r>
    </w:p>
    <w:p w14:paraId="0CAD5F0C" w14:textId="5E4C21B8" w:rsidR="00722DB5" w:rsidRPr="00500676" w:rsidRDefault="0085160E" w:rsidP="00722DB5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500676">
        <w:rPr>
          <w:sz w:val="20"/>
          <w:szCs w:val="20"/>
        </w:rPr>
        <w:t>FHA goes farther than Civil Rights Act of 1868, because that was limited in application to race</w:t>
      </w:r>
    </w:p>
    <w:p w14:paraId="52DF5EFE" w14:textId="2A09D29F" w:rsidR="0085160E" w:rsidRPr="00500676" w:rsidRDefault="0085160E" w:rsidP="0085160E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500676">
        <w:rPr>
          <w:sz w:val="20"/>
          <w:szCs w:val="20"/>
        </w:rPr>
        <w:t xml:space="preserve">Discrimination through disparate treatment </w:t>
      </w:r>
      <w:r w:rsidRPr="00500676">
        <w:rPr>
          <w:i/>
          <w:sz w:val="20"/>
          <w:szCs w:val="20"/>
        </w:rPr>
        <w:t>or</w:t>
      </w:r>
      <w:r w:rsidRPr="00500676">
        <w:rPr>
          <w:sz w:val="20"/>
          <w:szCs w:val="20"/>
        </w:rPr>
        <w:t xml:space="preserve"> impact, shifting burden to defendant</w:t>
      </w:r>
    </w:p>
    <w:p w14:paraId="29B67BD1" w14:textId="2A0A2FB7" w:rsidR="0085160E" w:rsidRPr="00500676" w:rsidRDefault="0085160E" w:rsidP="0085160E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500676">
        <w:rPr>
          <w:sz w:val="20"/>
          <w:szCs w:val="20"/>
        </w:rPr>
        <w:t>Prohibits discrimination in negotiations, advertising, renting or selling</w:t>
      </w:r>
    </w:p>
    <w:p w14:paraId="25758F61" w14:textId="17946CEC" w:rsidR="0085160E" w:rsidRPr="00500676" w:rsidRDefault="0085160E" w:rsidP="0085160E">
      <w:pPr>
        <w:pStyle w:val="ListParagraph"/>
        <w:numPr>
          <w:ilvl w:val="2"/>
          <w:numId w:val="36"/>
        </w:numPr>
        <w:rPr>
          <w:sz w:val="20"/>
          <w:szCs w:val="20"/>
        </w:rPr>
      </w:pPr>
      <w:r w:rsidRPr="00500676">
        <w:rPr>
          <w:sz w:val="20"/>
          <w:szCs w:val="20"/>
        </w:rPr>
        <w:t>Exceptions if property is sold without advertisements or brokers, to religious institutions or private clubs, and for room-sharing</w:t>
      </w:r>
    </w:p>
    <w:p w14:paraId="09971E90" w14:textId="2936856D" w:rsidR="0085160E" w:rsidRPr="00500676" w:rsidRDefault="0085160E" w:rsidP="0085160E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500676">
        <w:rPr>
          <w:sz w:val="20"/>
          <w:szCs w:val="20"/>
        </w:rPr>
        <w:t>Must allow reasonable accommodations for handicapped individuals</w:t>
      </w:r>
    </w:p>
    <w:p w14:paraId="0637E41B" w14:textId="275888AD" w:rsidR="0085160E" w:rsidRPr="00500676" w:rsidRDefault="0085160E" w:rsidP="0085160E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500676">
        <w:rPr>
          <w:sz w:val="20"/>
          <w:szCs w:val="20"/>
        </w:rPr>
        <w:t>Outlaws practices that have a disproportionate effect on minorities, even if intent is to promote racial desegregation (</w:t>
      </w:r>
      <w:r w:rsidRPr="00500676">
        <w:rPr>
          <w:i/>
          <w:sz w:val="20"/>
          <w:szCs w:val="20"/>
        </w:rPr>
        <w:t>U.S. v. Starrett City</w:t>
      </w:r>
      <w:r w:rsidRPr="00500676">
        <w:rPr>
          <w:sz w:val="20"/>
          <w:szCs w:val="20"/>
        </w:rPr>
        <w:t>)</w:t>
      </w:r>
    </w:p>
    <w:p w14:paraId="0E95E400" w14:textId="3D3965A2" w:rsidR="0085160E" w:rsidRPr="00500676" w:rsidRDefault="0085160E" w:rsidP="0085160E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500676">
        <w:rPr>
          <w:sz w:val="20"/>
          <w:szCs w:val="20"/>
        </w:rPr>
        <w:t>Quotas may be used if there is a history of correctable racial discrimination</w:t>
      </w:r>
    </w:p>
    <w:p w14:paraId="631F2774" w14:textId="223139FA" w:rsidR="0085160E" w:rsidRPr="00500676" w:rsidRDefault="0085160E" w:rsidP="0085160E">
      <w:pPr>
        <w:pStyle w:val="ListParagraph"/>
        <w:numPr>
          <w:ilvl w:val="2"/>
          <w:numId w:val="36"/>
        </w:numPr>
        <w:rPr>
          <w:sz w:val="20"/>
          <w:szCs w:val="20"/>
        </w:rPr>
      </w:pPr>
      <w:r w:rsidRPr="00500676">
        <w:rPr>
          <w:sz w:val="20"/>
          <w:szCs w:val="20"/>
        </w:rPr>
        <w:t>Ceiling quotas (maximum number of minorities) are doubtful because they target politically weak to bear the brunt of a neutral program</w:t>
      </w:r>
    </w:p>
    <w:p w14:paraId="1FA9DF54" w14:textId="37A373D8" w:rsidR="00914B47" w:rsidRDefault="00914B47" w:rsidP="00914B47">
      <w:pPr>
        <w:pStyle w:val="Heading4"/>
        <w:rPr>
          <w:sz w:val="20"/>
        </w:rPr>
      </w:pPr>
      <w:r>
        <w:rPr>
          <w:sz w:val="20"/>
        </w:rPr>
        <w:t>Sale of Land</w:t>
      </w:r>
    </w:p>
    <w:p w14:paraId="1419AA35" w14:textId="67CAC134" w:rsidR="00914B47" w:rsidRPr="00914B47" w:rsidRDefault="00914B47" w:rsidP="00914B47">
      <w:pPr>
        <w:pStyle w:val="ListParagraph"/>
        <w:numPr>
          <w:ilvl w:val="0"/>
          <w:numId w:val="37"/>
        </w:numPr>
      </w:pPr>
      <w:r>
        <w:rPr>
          <w:sz w:val="20"/>
        </w:rPr>
        <w:t>For protection of the public, real estate and mortgage documents should be signed with the supervision of an attorney (</w:t>
      </w:r>
      <w:r>
        <w:rPr>
          <w:i/>
          <w:sz w:val="20"/>
        </w:rPr>
        <w:t>State v. Buyers Service</w:t>
      </w:r>
      <w:r>
        <w:rPr>
          <w:sz w:val="20"/>
        </w:rPr>
        <w:t>)</w:t>
      </w:r>
    </w:p>
    <w:p w14:paraId="6862D044" w14:textId="0138310B" w:rsidR="00914B47" w:rsidRPr="00914B47" w:rsidRDefault="00914B47" w:rsidP="00914B47">
      <w:pPr>
        <w:pStyle w:val="ListParagraph"/>
        <w:numPr>
          <w:ilvl w:val="0"/>
          <w:numId w:val="37"/>
        </w:numPr>
      </w:pPr>
      <w:r>
        <w:rPr>
          <w:sz w:val="20"/>
        </w:rPr>
        <w:t>“Marketable title” is a title that a reasonable purchaser, exercising the prudence of a business man in an arms-length transaction, would be willing to accept (</w:t>
      </w:r>
      <w:r>
        <w:rPr>
          <w:i/>
          <w:sz w:val="20"/>
        </w:rPr>
        <w:t>Messer-Johnson v. Security Savings</w:t>
      </w:r>
      <w:r>
        <w:rPr>
          <w:sz w:val="20"/>
        </w:rPr>
        <w:t>)</w:t>
      </w:r>
    </w:p>
    <w:p w14:paraId="7BDDA60D" w14:textId="63D0290B" w:rsidR="00914B47" w:rsidRPr="00914B47" w:rsidRDefault="00914B47" w:rsidP="00914B47">
      <w:pPr>
        <w:pStyle w:val="ListParagraph"/>
        <w:numPr>
          <w:ilvl w:val="1"/>
          <w:numId w:val="37"/>
        </w:numPr>
      </w:pPr>
      <w:r>
        <w:rPr>
          <w:sz w:val="20"/>
        </w:rPr>
        <w:t xml:space="preserve">Burden of proof to establish adverse possession is on adverse possessor, </w:t>
      </w:r>
      <w:r>
        <w:rPr>
          <w:i/>
          <w:sz w:val="20"/>
        </w:rPr>
        <w:t xml:space="preserve">and </w:t>
      </w:r>
      <w:r>
        <w:rPr>
          <w:sz w:val="20"/>
        </w:rPr>
        <w:t>must show that purchaser will be able to defend the title against any third person</w:t>
      </w:r>
    </w:p>
    <w:p w14:paraId="51D7EDF1" w14:textId="72BE378F" w:rsidR="00914B47" w:rsidRPr="00914B47" w:rsidRDefault="00914B47" w:rsidP="00914B47">
      <w:pPr>
        <w:pStyle w:val="ListParagraph"/>
        <w:numPr>
          <w:ilvl w:val="0"/>
          <w:numId w:val="37"/>
        </w:numPr>
      </w:pPr>
      <w:r>
        <w:rPr>
          <w:sz w:val="20"/>
        </w:rPr>
        <w:t>Equitable conversion generally puts buyers in possession of real property, and seller in possession of sale proceeds, between signing of purchase contract and closing</w:t>
      </w:r>
    </w:p>
    <w:p w14:paraId="066661E3" w14:textId="6B5381B5" w:rsidR="00914B47" w:rsidRPr="004219BD" w:rsidRDefault="00914B47" w:rsidP="00914B47">
      <w:pPr>
        <w:pStyle w:val="ListParagraph"/>
        <w:numPr>
          <w:ilvl w:val="0"/>
          <w:numId w:val="37"/>
        </w:numPr>
      </w:pPr>
      <w:r>
        <w:rPr>
          <w:sz w:val="20"/>
        </w:rPr>
        <w:t xml:space="preserve">Where a seller-created condition unlikely to be discoverable by a buyer exercising due care materially impairs </w:t>
      </w:r>
      <w:r w:rsidR="004219BD">
        <w:rPr>
          <w:sz w:val="20"/>
        </w:rPr>
        <w:t>real estate’s value</w:t>
      </w:r>
      <w:r>
        <w:rPr>
          <w:sz w:val="20"/>
        </w:rPr>
        <w:t xml:space="preserve">, </w:t>
      </w:r>
      <w:r w:rsidR="004219BD">
        <w:rPr>
          <w:sz w:val="20"/>
        </w:rPr>
        <w:t>caveat emptor does not apply, and the contract may be rescinded (</w:t>
      </w:r>
      <w:r w:rsidR="004219BD">
        <w:rPr>
          <w:i/>
          <w:sz w:val="20"/>
        </w:rPr>
        <w:t xml:space="preserve">Stambovsky v. Ackley </w:t>
      </w:r>
      <w:r w:rsidR="004219BD">
        <w:rPr>
          <w:sz w:val="20"/>
        </w:rPr>
        <w:t>– haunted house)</w:t>
      </w:r>
    </w:p>
    <w:p w14:paraId="7093A5FB" w14:textId="19C71E79" w:rsidR="004219BD" w:rsidRPr="004219BD" w:rsidRDefault="004219BD" w:rsidP="004219BD">
      <w:pPr>
        <w:pStyle w:val="ListParagraph"/>
        <w:numPr>
          <w:ilvl w:val="1"/>
          <w:numId w:val="37"/>
        </w:numPr>
      </w:pPr>
      <w:r>
        <w:rPr>
          <w:sz w:val="20"/>
        </w:rPr>
        <w:lastRenderedPageBreak/>
        <w:t>Has evolved towards a broader exception, where seller must disclose all latent material defects not obvious to a buyer (</w:t>
      </w:r>
      <w:r>
        <w:rPr>
          <w:i/>
          <w:sz w:val="20"/>
        </w:rPr>
        <w:t>Johnson v. Davis</w:t>
      </w:r>
      <w:r>
        <w:rPr>
          <w:sz w:val="20"/>
        </w:rPr>
        <w:t xml:space="preserve"> – leaky roof)</w:t>
      </w:r>
    </w:p>
    <w:p w14:paraId="06E8C64D" w14:textId="0DA3A42D" w:rsidR="004219BD" w:rsidRPr="004219BD" w:rsidRDefault="004219BD" w:rsidP="004219BD">
      <w:pPr>
        <w:pStyle w:val="ListParagraph"/>
        <w:numPr>
          <w:ilvl w:val="1"/>
          <w:numId w:val="37"/>
        </w:numPr>
      </w:pPr>
      <w:r>
        <w:rPr>
          <w:sz w:val="20"/>
        </w:rPr>
        <w:t>Materiality (either objectively or subjectively) is necessary to make a defect actionable</w:t>
      </w:r>
    </w:p>
    <w:p w14:paraId="59DE0A2B" w14:textId="6C8B64A4" w:rsidR="004219BD" w:rsidRPr="004219BD" w:rsidRDefault="004219BD" w:rsidP="004219BD">
      <w:pPr>
        <w:pStyle w:val="ListParagraph"/>
        <w:numPr>
          <w:ilvl w:val="0"/>
          <w:numId w:val="37"/>
        </w:numPr>
      </w:pPr>
      <w:r>
        <w:rPr>
          <w:sz w:val="20"/>
        </w:rPr>
        <w:t>Privity of contract is unnecessary for a subsequent buyer of property to sue a builder or contractor for latent defects (</w:t>
      </w:r>
      <w:r>
        <w:rPr>
          <w:i/>
          <w:sz w:val="20"/>
        </w:rPr>
        <w:t xml:space="preserve">Lempke v. Dagenais </w:t>
      </w:r>
      <w:r>
        <w:rPr>
          <w:sz w:val="20"/>
        </w:rPr>
        <w:t>– bad shed)</w:t>
      </w:r>
    </w:p>
    <w:p w14:paraId="22BA9FA6" w14:textId="3AA0D067" w:rsidR="004219BD" w:rsidRPr="00E15251" w:rsidRDefault="004219BD" w:rsidP="004219BD">
      <w:pPr>
        <w:pStyle w:val="ListParagraph"/>
        <w:numPr>
          <w:ilvl w:val="1"/>
          <w:numId w:val="37"/>
        </w:numPr>
      </w:pPr>
      <w:r>
        <w:rPr>
          <w:sz w:val="20"/>
        </w:rPr>
        <w:t>Implied warranty of workmanlike quality is not a contractual obligation, but one of tort law</w:t>
      </w:r>
    </w:p>
    <w:p w14:paraId="73D98455" w14:textId="52CC0C3F" w:rsidR="00E15251" w:rsidRPr="004219BD" w:rsidRDefault="00E15251" w:rsidP="004219BD">
      <w:pPr>
        <w:pStyle w:val="ListParagraph"/>
        <w:numPr>
          <w:ilvl w:val="1"/>
          <w:numId w:val="37"/>
        </w:numPr>
      </w:pPr>
      <w:r>
        <w:rPr>
          <w:sz w:val="20"/>
        </w:rPr>
        <w:t>Not</w:t>
      </w:r>
      <w:r w:rsidR="00A85CFE">
        <w:rPr>
          <w:sz w:val="20"/>
        </w:rPr>
        <w:t>e</w:t>
      </w:r>
      <w:r>
        <w:rPr>
          <w:sz w:val="20"/>
        </w:rPr>
        <w:t xml:space="preserve"> that caveat emptor cases all focus on residential property – a bifurcation is occurring</w:t>
      </w:r>
    </w:p>
    <w:p w14:paraId="4667DDC1" w14:textId="6A78B5B8" w:rsidR="004219BD" w:rsidRPr="004219BD" w:rsidRDefault="004219BD" w:rsidP="004219BD">
      <w:pPr>
        <w:pStyle w:val="ListParagraph"/>
        <w:numPr>
          <w:ilvl w:val="0"/>
          <w:numId w:val="37"/>
        </w:numPr>
      </w:pPr>
      <w:r>
        <w:rPr>
          <w:sz w:val="20"/>
        </w:rPr>
        <w:t xml:space="preserve">General warranty deeds protect buyer against </w:t>
      </w:r>
      <w:r>
        <w:rPr>
          <w:i/>
          <w:sz w:val="20"/>
        </w:rPr>
        <w:t xml:space="preserve">all </w:t>
      </w:r>
      <w:r>
        <w:rPr>
          <w:sz w:val="20"/>
        </w:rPr>
        <w:t>defects in title</w:t>
      </w:r>
    </w:p>
    <w:p w14:paraId="4738D60E" w14:textId="1061F2CE" w:rsidR="004219BD" w:rsidRPr="004219BD" w:rsidRDefault="004219BD" w:rsidP="004219BD">
      <w:pPr>
        <w:pStyle w:val="ListParagraph"/>
        <w:numPr>
          <w:ilvl w:val="1"/>
          <w:numId w:val="37"/>
        </w:numPr>
      </w:pPr>
      <w:r>
        <w:rPr>
          <w:sz w:val="20"/>
        </w:rPr>
        <w:t>Special warranty deeds protect against action of seller</w:t>
      </w:r>
    </w:p>
    <w:p w14:paraId="772CE534" w14:textId="722178D0" w:rsidR="004219BD" w:rsidRPr="00E15251" w:rsidRDefault="004219BD" w:rsidP="004219BD">
      <w:pPr>
        <w:pStyle w:val="ListParagraph"/>
        <w:numPr>
          <w:ilvl w:val="1"/>
          <w:numId w:val="37"/>
        </w:numPr>
        <w:rPr>
          <w:sz w:val="20"/>
          <w:szCs w:val="20"/>
        </w:rPr>
      </w:pPr>
      <w:r>
        <w:rPr>
          <w:sz w:val="20"/>
        </w:rPr>
        <w:t xml:space="preserve">Quitclaim deed is a release of all rights and interest that the seller has in the land. If seller has </w:t>
      </w:r>
      <w:r w:rsidRPr="00E15251">
        <w:rPr>
          <w:sz w:val="20"/>
          <w:szCs w:val="20"/>
        </w:rPr>
        <w:t>nothing to give, so be it</w:t>
      </w:r>
    </w:p>
    <w:p w14:paraId="2DB0C926" w14:textId="72EF08EF" w:rsidR="004219BD" w:rsidRDefault="00A85CFE" w:rsidP="004219BD">
      <w:pPr>
        <w:pStyle w:val="ListParagraph"/>
        <w:numPr>
          <w:ilvl w:val="1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Deeds are</w:t>
      </w:r>
      <w:r w:rsidR="00E15251" w:rsidRPr="00E15251">
        <w:rPr>
          <w:sz w:val="20"/>
          <w:szCs w:val="20"/>
        </w:rPr>
        <w:t xml:space="preserve"> deli</w:t>
      </w:r>
      <w:r>
        <w:rPr>
          <w:sz w:val="20"/>
          <w:szCs w:val="20"/>
        </w:rPr>
        <w:t>vered with intent of immediate operation</w:t>
      </w:r>
      <w:r w:rsidR="00E15251" w:rsidRPr="00E15251">
        <w:rPr>
          <w:sz w:val="20"/>
          <w:szCs w:val="20"/>
        </w:rPr>
        <w:t xml:space="preserve"> (</w:t>
      </w:r>
      <w:r w:rsidR="00E15251" w:rsidRPr="00E15251">
        <w:rPr>
          <w:i/>
          <w:sz w:val="20"/>
          <w:szCs w:val="20"/>
        </w:rPr>
        <w:t>Sweeney v. Sweeney</w:t>
      </w:r>
      <w:r w:rsidR="00E15251" w:rsidRPr="00E15251">
        <w:rPr>
          <w:sz w:val="20"/>
          <w:szCs w:val="20"/>
        </w:rPr>
        <w:t xml:space="preserve"> – double deeds)</w:t>
      </w:r>
    </w:p>
    <w:p w14:paraId="76A6ECF6" w14:textId="2014B339" w:rsidR="00E15251" w:rsidRDefault="00E15251" w:rsidP="00E15251">
      <w:pPr>
        <w:pStyle w:val="ListParagraph"/>
        <w:numPr>
          <w:ilvl w:val="2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Manual delivery of a deed creates a rebuttable presumption that the deed is operative</w:t>
      </w:r>
      <w:r w:rsidR="00A85CFE">
        <w:rPr>
          <w:sz w:val="20"/>
          <w:szCs w:val="20"/>
        </w:rPr>
        <w:t xml:space="preserve"> </w:t>
      </w:r>
    </w:p>
    <w:p w14:paraId="1BCE1442" w14:textId="3EC9F93F" w:rsidR="00500676" w:rsidRDefault="00500676" w:rsidP="00500676">
      <w:pPr>
        <w:pStyle w:val="Heading4"/>
        <w:rPr>
          <w:sz w:val="20"/>
        </w:rPr>
      </w:pPr>
      <w:r w:rsidRPr="00500676">
        <w:rPr>
          <w:sz w:val="20"/>
        </w:rPr>
        <w:t>Estates in Land</w:t>
      </w:r>
    </w:p>
    <w:p w14:paraId="7A0D353F" w14:textId="42D4606E" w:rsidR="00500676" w:rsidRPr="00500676" w:rsidRDefault="00500676" w:rsidP="00500676">
      <w:pPr>
        <w:pStyle w:val="ListParagraph"/>
        <w:numPr>
          <w:ilvl w:val="0"/>
          <w:numId w:val="38"/>
        </w:numPr>
        <w:rPr>
          <w:sz w:val="20"/>
        </w:rPr>
      </w:pPr>
      <w:r>
        <w:rPr>
          <w:sz w:val="20"/>
        </w:rPr>
        <w:t>Numerus Clausus means that new kinds of property interests cannot be granted, since otherwise property rights would become too fragmented, and sale of property would become much too difficult</w:t>
      </w:r>
    </w:p>
    <w:p w14:paraId="61212F9D" w14:textId="100EEB16" w:rsidR="00500676" w:rsidRPr="00F97FF1" w:rsidRDefault="00500676" w:rsidP="00F97FF1">
      <w:pPr>
        <w:pStyle w:val="ListParagraph"/>
        <w:numPr>
          <w:ilvl w:val="0"/>
          <w:numId w:val="38"/>
        </w:numPr>
        <w:rPr>
          <w:sz w:val="20"/>
        </w:rPr>
      </w:pPr>
      <w:r w:rsidRPr="00F97FF1">
        <w:rPr>
          <w:sz w:val="20"/>
        </w:rPr>
        <w:t>Fee Simple</w:t>
      </w:r>
      <w:r w:rsidR="00F97FF1">
        <w:rPr>
          <w:sz w:val="20"/>
        </w:rPr>
        <w:t xml:space="preserve"> - </w:t>
      </w:r>
      <w:r w:rsidRPr="00F97FF1">
        <w:rPr>
          <w:sz w:val="20"/>
        </w:rPr>
        <w:t>Closest thing to unlimited ownership available</w:t>
      </w:r>
    </w:p>
    <w:p w14:paraId="52B925F5" w14:textId="2F485BF4" w:rsidR="005F6828" w:rsidRDefault="005F6828" w:rsidP="00500676">
      <w:pPr>
        <w:pStyle w:val="ListParagraph"/>
        <w:numPr>
          <w:ilvl w:val="1"/>
          <w:numId w:val="38"/>
        </w:numPr>
        <w:rPr>
          <w:sz w:val="20"/>
        </w:rPr>
      </w:pPr>
      <w:r>
        <w:rPr>
          <w:sz w:val="20"/>
        </w:rPr>
        <w:t>Any restraint on land use (such right to divest property rights (</w:t>
      </w:r>
      <w:r>
        <w:rPr>
          <w:i/>
          <w:sz w:val="20"/>
        </w:rPr>
        <w:t>alienability</w:t>
      </w:r>
      <w:r>
        <w:rPr>
          <w:sz w:val="20"/>
        </w:rPr>
        <w:t>)) destroys absolute fees simple. Courts don’t interpret wills to create partial intestacy, so may create fees simple, voiding contrary sections of a will (</w:t>
      </w:r>
      <w:r>
        <w:rPr>
          <w:i/>
          <w:sz w:val="20"/>
        </w:rPr>
        <w:t>White v. Brown</w:t>
      </w:r>
      <w:r>
        <w:rPr>
          <w:sz w:val="20"/>
        </w:rPr>
        <w:t xml:space="preserve"> – niece gets home to live in and not sell)</w:t>
      </w:r>
    </w:p>
    <w:p w14:paraId="48725DA4" w14:textId="338356DC" w:rsidR="005F6828" w:rsidRPr="00A85CFE" w:rsidRDefault="00A85CFE" w:rsidP="00A8503B">
      <w:pPr>
        <w:pStyle w:val="ListParagraph"/>
        <w:numPr>
          <w:ilvl w:val="2"/>
          <w:numId w:val="38"/>
        </w:numPr>
        <w:rPr>
          <w:sz w:val="20"/>
        </w:rPr>
      </w:pPr>
      <w:r w:rsidRPr="00A85CFE">
        <w:rPr>
          <w:sz w:val="20"/>
        </w:rPr>
        <w:t xml:space="preserve">Three types of restraints: 1) </w:t>
      </w:r>
      <w:r w:rsidR="005F6828" w:rsidRPr="00A85CFE">
        <w:rPr>
          <w:sz w:val="20"/>
        </w:rPr>
        <w:t>Disabling restraints restricts the power to transfer interests</w:t>
      </w:r>
      <w:r w:rsidRPr="00A85CFE">
        <w:rPr>
          <w:sz w:val="20"/>
        </w:rPr>
        <w:t xml:space="preserve">, 2) </w:t>
      </w:r>
      <w:r w:rsidR="005F6828" w:rsidRPr="00A85CFE">
        <w:rPr>
          <w:sz w:val="20"/>
        </w:rPr>
        <w:t>Forfeiture restraints strip grantee of property rights if a transfer is attempted</w:t>
      </w:r>
      <w:r>
        <w:rPr>
          <w:sz w:val="20"/>
        </w:rPr>
        <w:t xml:space="preserve"> and 3) </w:t>
      </w:r>
      <w:r w:rsidR="005F6828" w:rsidRPr="00A85CFE">
        <w:rPr>
          <w:sz w:val="20"/>
        </w:rPr>
        <w:t>Promissory restraints force grantee to promise not to transfer rights</w:t>
      </w:r>
    </w:p>
    <w:p w14:paraId="38158707" w14:textId="25FACCFB" w:rsidR="005F6828" w:rsidRDefault="005F6828" w:rsidP="005F6828">
      <w:pPr>
        <w:pStyle w:val="ListParagraph"/>
        <w:numPr>
          <w:ilvl w:val="2"/>
          <w:numId w:val="38"/>
        </w:numPr>
        <w:rPr>
          <w:sz w:val="20"/>
        </w:rPr>
      </w:pPr>
      <w:r>
        <w:rPr>
          <w:sz w:val="20"/>
        </w:rPr>
        <w:t>Any absolute restraints on a fee simple are void</w:t>
      </w:r>
    </w:p>
    <w:p w14:paraId="688435DF" w14:textId="2832D391" w:rsidR="00500676" w:rsidRPr="00F97FF1" w:rsidRDefault="00500676" w:rsidP="00F97FF1">
      <w:pPr>
        <w:pStyle w:val="ListParagraph"/>
        <w:numPr>
          <w:ilvl w:val="0"/>
          <w:numId w:val="38"/>
        </w:numPr>
        <w:rPr>
          <w:sz w:val="20"/>
        </w:rPr>
      </w:pPr>
      <w:r w:rsidRPr="00F97FF1">
        <w:rPr>
          <w:sz w:val="20"/>
        </w:rPr>
        <w:t>Life Estate</w:t>
      </w:r>
      <w:r w:rsidR="00F97FF1">
        <w:rPr>
          <w:sz w:val="20"/>
        </w:rPr>
        <w:t xml:space="preserve"> - </w:t>
      </w:r>
      <w:r w:rsidRPr="00F97FF1">
        <w:rPr>
          <w:sz w:val="20"/>
        </w:rPr>
        <w:t>If granted for B’s life, A maintains a reversion interest. If A’s, B acquires a remainder interest</w:t>
      </w:r>
    </w:p>
    <w:p w14:paraId="499BCA4F" w14:textId="24941E0F" w:rsidR="00500676" w:rsidRDefault="00500676" w:rsidP="00F97FF1">
      <w:pPr>
        <w:pStyle w:val="ListParagraph"/>
        <w:numPr>
          <w:ilvl w:val="1"/>
          <w:numId w:val="38"/>
        </w:numPr>
        <w:rPr>
          <w:sz w:val="20"/>
        </w:rPr>
      </w:pPr>
      <w:r>
        <w:rPr>
          <w:i/>
          <w:sz w:val="20"/>
        </w:rPr>
        <w:t>Pur autre vie</w:t>
      </w:r>
      <w:r>
        <w:rPr>
          <w:sz w:val="20"/>
        </w:rPr>
        <w:t xml:space="preserve"> if life estate not tied to lifespan of possessor</w:t>
      </w:r>
    </w:p>
    <w:p w14:paraId="0AD82D6E" w14:textId="22537D6D" w:rsidR="00500676" w:rsidRPr="00500676" w:rsidRDefault="00500676" w:rsidP="00500676">
      <w:pPr>
        <w:pStyle w:val="ListParagraph"/>
        <w:numPr>
          <w:ilvl w:val="0"/>
          <w:numId w:val="38"/>
        </w:numPr>
        <w:rPr>
          <w:sz w:val="20"/>
        </w:rPr>
      </w:pPr>
      <w:r>
        <w:rPr>
          <w:sz w:val="20"/>
        </w:rPr>
        <w:t>Defeasible Estates</w:t>
      </w:r>
    </w:p>
    <w:p w14:paraId="21968FBA" w14:textId="575C04A3" w:rsidR="005F6828" w:rsidRPr="00F97FF1" w:rsidRDefault="00500676" w:rsidP="00F97FF1">
      <w:pPr>
        <w:pStyle w:val="ListParagraph"/>
        <w:numPr>
          <w:ilvl w:val="1"/>
          <w:numId w:val="38"/>
        </w:numPr>
        <w:rPr>
          <w:sz w:val="20"/>
        </w:rPr>
      </w:pPr>
      <w:r w:rsidRPr="00F97FF1">
        <w:rPr>
          <w:b/>
          <w:sz w:val="20"/>
        </w:rPr>
        <w:t>Determinable</w:t>
      </w:r>
      <w:r w:rsidR="00F97FF1" w:rsidRPr="00F97FF1">
        <w:rPr>
          <w:b/>
          <w:sz w:val="20"/>
        </w:rPr>
        <w:t xml:space="preserve"> </w:t>
      </w:r>
      <w:r w:rsidR="00F97FF1" w:rsidRPr="00F97FF1">
        <w:rPr>
          <w:sz w:val="20"/>
        </w:rPr>
        <w:t xml:space="preserve">- </w:t>
      </w:r>
      <w:r w:rsidR="005F6828" w:rsidRPr="00F97FF1">
        <w:rPr>
          <w:sz w:val="20"/>
        </w:rPr>
        <w:t>Fee simple ends automatically when a stated event occurs</w:t>
      </w:r>
    </w:p>
    <w:p w14:paraId="5DE5939A" w14:textId="0571B456" w:rsidR="005F6828" w:rsidRPr="00F97FF1" w:rsidRDefault="00500676" w:rsidP="00F97FF1">
      <w:pPr>
        <w:pStyle w:val="ListParagraph"/>
        <w:numPr>
          <w:ilvl w:val="1"/>
          <w:numId w:val="38"/>
        </w:numPr>
        <w:rPr>
          <w:sz w:val="20"/>
        </w:rPr>
      </w:pPr>
      <w:r w:rsidRPr="00F97FF1">
        <w:rPr>
          <w:b/>
          <w:sz w:val="20"/>
        </w:rPr>
        <w:t>Subject to condition subsequent</w:t>
      </w:r>
      <w:r w:rsidR="00F97FF1" w:rsidRPr="00F97FF1">
        <w:rPr>
          <w:b/>
          <w:sz w:val="20"/>
        </w:rPr>
        <w:t xml:space="preserve"> - </w:t>
      </w:r>
      <w:r w:rsidR="005F6828" w:rsidRPr="00F97FF1">
        <w:rPr>
          <w:sz w:val="20"/>
        </w:rPr>
        <w:t>Fee simple may (but not necessarily must) be cut short when a stated condition happens</w:t>
      </w:r>
      <w:r w:rsidR="00F97FF1" w:rsidRPr="00F97FF1">
        <w:rPr>
          <w:sz w:val="20"/>
        </w:rPr>
        <w:t xml:space="preserve">. Called a </w:t>
      </w:r>
      <w:r w:rsidR="005F6828" w:rsidRPr="00F97FF1">
        <w:rPr>
          <w:sz w:val="20"/>
        </w:rPr>
        <w:t>right of entry or power of termination</w:t>
      </w:r>
    </w:p>
    <w:p w14:paraId="30C5CDD7" w14:textId="4ABE1CE0" w:rsidR="005F6828" w:rsidRPr="00F97FF1" w:rsidRDefault="00500676" w:rsidP="00F97FF1">
      <w:pPr>
        <w:pStyle w:val="ListParagraph"/>
        <w:numPr>
          <w:ilvl w:val="1"/>
          <w:numId w:val="38"/>
        </w:numPr>
        <w:rPr>
          <w:sz w:val="20"/>
        </w:rPr>
      </w:pPr>
      <w:r>
        <w:rPr>
          <w:b/>
          <w:sz w:val="20"/>
        </w:rPr>
        <w:t>Subject to executory limitation</w:t>
      </w:r>
      <w:r w:rsidR="00F97FF1">
        <w:rPr>
          <w:b/>
          <w:sz w:val="20"/>
        </w:rPr>
        <w:t xml:space="preserve"> - </w:t>
      </w:r>
      <w:r w:rsidR="005F6828" w:rsidRPr="00F97FF1">
        <w:rPr>
          <w:sz w:val="20"/>
        </w:rPr>
        <w:t xml:space="preserve">Grantee creates a condition subsequent, but creates a future interest in a third party </w:t>
      </w:r>
    </w:p>
    <w:p w14:paraId="35375FA6" w14:textId="2010F05B" w:rsidR="00500676" w:rsidRDefault="00500676" w:rsidP="00500676">
      <w:pPr>
        <w:pStyle w:val="ListParagraph"/>
        <w:numPr>
          <w:ilvl w:val="0"/>
          <w:numId w:val="38"/>
        </w:numPr>
        <w:rPr>
          <w:sz w:val="20"/>
        </w:rPr>
      </w:pPr>
      <w:r>
        <w:rPr>
          <w:sz w:val="20"/>
        </w:rPr>
        <w:t>Leasehold Estate</w:t>
      </w:r>
    </w:p>
    <w:p w14:paraId="59B80D2E" w14:textId="6F9A4258" w:rsidR="00D621F1" w:rsidRDefault="00D621F1" w:rsidP="00D621F1">
      <w:pPr>
        <w:pStyle w:val="ListParagraph"/>
        <w:numPr>
          <w:ilvl w:val="1"/>
          <w:numId w:val="38"/>
        </w:numPr>
        <w:rPr>
          <w:sz w:val="20"/>
        </w:rPr>
      </w:pPr>
      <w:r>
        <w:rPr>
          <w:sz w:val="20"/>
        </w:rPr>
        <w:t>Most leasehold estates are a combination of property law and contract law, with contract law becoming more prevalent (almost becoming consumer law) in residential leases)</w:t>
      </w:r>
    </w:p>
    <w:p w14:paraId="4B8A9F60" w14:textId="406602A5" w:rsidR="00500676" w:rsidRDefault="00F97FF1" w:rsidP="00500676">
      <w:pPr>
        <w:pStyle w:val="ListParagraph"/>
        <w:numPr>
          <w:ilvl w:val="1"/>
          <w:numId w:val="38"/>
        </w:numPr>
        <w:rPr>
          <w:sz w:val="20"/>
        </w:rPr>
      </w:pPr>
      <w:r w:rsidRPr="00B6433F">
        <w:rPr>
          <w:b/>
          <w:sz w:val="20"/>
        </w:rPr>
        <w:t>Term of Years</w:t>
      </w:r>
      <w:r w:rsidR="009A6B9D">
        <w:rPr>
          <w:sz w:val="20"/>
        </w:rPr>
        <w:t xml:space="preserve"> is an estate that lasts for some fixed period of time</w:t>
      </w:r>
    </w:p>
    <w:p w14:paraId="44E19BAA" w14:textId="248049E3" w:rsidR="00500676" w:rsidRDefault="00500676" w:rsidP="00500676">
      <w:pPr>
        <w:pStyle w:val="ListParagraph"/>
        <w:numPr>
          <w:ilvl w:val="1"/>
          <w:numId w:val="38"/>
        </w:numPr>
        <w:rPr>
          <w:sz w:val="20"/>
        </w:rPr>
      </w:pPr>
      <w:r w:rsidRPr="00B6433F">
        <w:rPr>
          <w:b/>
          <w:sz w:val="20"/>
        </w:rPr>
        <w:t>Periodic Tenancy</w:t>
      </w:r>
      <w:r w:rsidR="009A6B9D">
        <w:rPr>
          <w:sz w:val="20"/>
        </w:rPr>
        <w:t xml:space="preserve"> is an estate that continues for succeeding periods until termination</w:t>
      </w:r>
    </w:p>
    <w:p w14:paraId="7201F89B" w14:textId="41E8C497" w:rsidR="00500676" w:rsidRDefault="00500676" w:rsidP="00500676">
      <w:pPr>
        <w:pStyle w:val="ListParagraph"/>
        <w:numPr>
          <w:ilvl w:val="1"/>
          <w:numId w:val="38"/>
        </w:numPr>
        <w:rPr>
          <w:sz w:val="20"/>
        </w:rPr>
      </w:pPr>
      <w:r w:rsidRPr="00B6433F">
        <w:rPr>
          <w:b/>
          <w:sz w:val="20"/>
        </w:rPr>
        <w:t>Tenancy at Will</w:t>
      </w:r>
      <w:r w:rsidR="009A6B9D">
        <w:rPr>
          <w:sz w:val="20"/>
        </w:rPr>
        <w:t xml:space="preserve"> is an estate that endures as long as both landlord and tenant desire</w:t>
      </w:r>
    </w:p>
    <w:p w14:paraId="689F4A0D" w14:textId="39CA9F7D" w:rsidR="009A6B9D" w:rsidRDefault="009A6B9D" w:rsidP="009A6B9D">
      <w:pPr>
        <w:pStyle w:val="ListParagraph"/>
        <w:numPr>
          <w:ilvl w:val="2"/>
          <w:numId w:val="38"/>
        </w:numPr>
        <w:rPr>
          <w:sz w:val="20"/>
        </w:rPr>
      </w:pPr>
      <w:r>
        <w:rPr>
          <w:sz w:val="20"/>
        </w:rPr>
        <w:t>Lessor’s intent to give a unilaterally terminable life estate is upheld (</w:t>
      </w:r>
      <w:r>
        <w:rPr>
          <w:i/>
          <w:sz w:val="20"/>
        </w:rPr>
        <w:t>Garner v. Gerrish</w:t>
      </w:r>
      <w:r>
        <w:rPr>
          <w:sz w:val="20"/>
        </w:rPr>
        <w:t>)</w:t>
      </w:r>
    </w:p>
    <w:p w14:paraId="2F03A480" w14:textId="39736399" w:rsidR="009A6B9D" w:rsidRDefault="009A6B9D" w:rsidP="009A6B9D">
      <w:pPr>
        <w:pStyle w:val="ListParagraph"/>
        <w:numPr>
          <w:ilvl w:val="3"/>
          <w:numId w:val="38"/>
        </w:numPr>
        <w:rPr>
          <w:sz w:val="20"/>
        </w:rPr>
      </w:pPr>
      <w:r>
        <w:rPr>
          <w:sz w:val="20"/>
        </w:rPr>
        <w:t>Doesn’t this violate the numerus clausus principle?</w:t>
      </w:r>
    </w:p>
    <w:p w14:paraId="1AC0B356" w14:textId="6DAC9A0B" w:rsidR="009A6B9D" w:rsidRDefault="009A6B9D" w:rsidP="009A6B9D">
      <w:pPr>
        <w:pStyle w:val="ListParagraph"/>
        <w:numPr>
          <w:ilvl w:val="1"/>
          <w:numId w:val="38"/>
        </w:numPr>
        <w:rPr>
          <w:sz w:val="20"/>
        </w:rPr>
      </w:pPr>
      <w:r>
        <w:rPr>
          <w:sz w:val="20"/>
        </w:rPr>
        <w:t>Holdovers are tenants who stay in possession after the term has expired</w:t>
      </w:r>
    </w:p>
    <w:p w14:paraId="7F974184" w14:textId="59FBC2E7" w:rsidR="00B6433F" w:rsidRDefault="00B6433F" w:rsidP="00B6433F">
      <w:pPr>
        <w:pStyle w:val="ListParagraph"/>
        <w:numPr>
          <w:ilvl w:val="2"/>
          <w:numId w:val="38"/>
        </w:numPr>
        <w:rPr>
          <w:sz w:val="20"/>
        </w:rPr>
      </w:pPr>
      <w:r>
        <w:rPr>
          <w:sz w:val="20"/>
        </w:rPr>
        <w:t>Under the American rule, the landlord has no duty to delivery possession from holdovers to rightful tenants (</w:t>
      </w:r>
      <w:r>
        <w:rPr>
          <w:i/>
          <w:sz w:val="20"/>
        </w:rPr>
        <w:t>Hannan v. Dusch</w:t>
      </w:r>
      <w:r>
        <w:rPr>
          <w:sz w:val="20"/>
        </w:rPr>
        <w:t>)</w:t>
      </w:r>
    </w:p>
    <w:p w14:paraId="2C628101" w14:textId="33B66C2F" w:rsidR="00B6433F" w:rsidRDefault="00B6433F" w:rsidP="00B6433F">
      <w:pPr>
        <w:pStyle w:val="ListParagraph"/>
        <w:numPr>
          <w:ilvl w:val="3"/>
          <w:numId w:val="38"/>
        </w:numPr>
        <w:rPr>
          <w:sz w:val="20"/>
        </w:rPr>
      </w:pPr>
      <w:r>
        <w:rPr>
          <w:sz w:val="20"/>
        </w:rPr>
        <w:t>Landlord cannot contract responsibility for wrongful acts of others</w:t>
      </w:r>
    </w:p>
    <w:p w14:paraId="6B1C31FB" w14:textId="25553F53" w:rsidR="00B6433F" w:rsidRDefault="00B6433F" w:rsidP="00B6433F">
      <w:pPr>
        <w:pStyle w:val="ListParagraph"/>
        <w:numPr>
          <w:ilvl w:val="3"/>
          <w:numId w:val="38"/>
        </w:numPr>
        <w:rPr>
          <w:sz w:val="20"/>
        </w:rPr>
      </w:pPr>
      <w:r>
        <w:rPr>
          <w:sz w:val="20"/>
        </w:rPr>
        <w:t>Contrary English rule emphasizes landlord’s better-positioned ability to react to the situation</w:t>
      </w:r>
    </w:p>
    <w:p w14:paraId="526B17B6" w14:textId="0F17549F" w:rsidR="00B6433F" w:rsidRDefault="00B6433F" w:rsidP="00B6433F">
      <w:pPr>
        <w:pStyle w:val="ListParagraph"/>
        <w:numPr>
          <w:ilvl w:val="1"/>
          <w:numId w:val="38"/>
        </w:numPr>
        <w:rPr>
          <w:sz w:val="20"/>
        </w:rPr>
      </w:pPr>
      <w:r>
        <w:rPr>
          <w:sz w:val="20"/>
        </w:rPr>
        <w:t>An assignment gives all of the existing property rights to another; a sublease reserves some rights to the sublessor (</w:t>
      </w:r>
      <w:r>
        <w:rPr>
          <w:i/>
          <w:sz w:val="20"/>
        </w:rPr>
        <w:t>Ernst v. Conditt</w:t>
      </w:r>
      <w:r>
        <w:rPr>
          <w:sz w:val="20"/>
        </w:rPr>
        <w:t>)</w:t>
      </w:r>
    </w:p>
    <w:p w14:paraId="67AC8B17" w14:textId="31A8E5BC" w:rsidR="00B6433F" w:rsidRDefault="003571B6" w:rsidP="00B6433F">
      <w:pPr>
        <w:pStyle w:val="ListParagraph"/>
        <w:numPr>
          <w:ilvl w:val="2"/>
          <w:numId w:val="38"/>
        </w:numPr>
        <w:rPr>
          <w:sz w:val="20"/>
        </w:rPr>
      </w:pPr>
      <w:r>
        <w:rPr>
          <w:sz w:val="20"/>
        </w:rPr>
        <w:lastRenderedPageBreak/>
        <w:t>Two methods to determine</w:t>
      </w:r>
      <w:r w:rsidR="00B6433F">
        <w:rPr>
          <w:sz w:val="20"/>
        </w:rPr>
        <w:t xml:space="preserve"> whether a contract is an assignment or a sublease</w:t>
      </w:r>
      <w:r>
        <w:rPr>
          <w:sz w:val="20"/>
        </w:rPr>
        <w:t xml:space="preserve">: 1) Intent of the parties, or 2) Formalistic determination (See </w:t>
      </w:r>
      <w:r>
        <w:rPr>
          <w:i/>
          <w:sz w:val="20"/>
        </w:rPr>
        <w:t xml:space="preserve">Ernst </w:t>
      </w:r>
      <w:r>
        <w:rPr>
          <w:sz w:val="20"/>
        </w:rPr>
        <w:t>above)</w:t>
      </w:r>
    </w:p>
    <w:p w14:paraId="1D422F25" w14:textId="70190E79" w:rsidR="00B6433F" w:rsidRDefault="00B6433F" w:rsidP="00B6433F">
      <w:pPr>
        <w:pStyle w:val="ListParagraph"/>
        <w:numPr>
          <w:ilvl w:val="2"/>
          <w:numId w:val="38"/>
        </w:numPr>
        <w:rPr>
          <w:sz w:val="20"/>
        </w:rPr>
      </w:pPr>
      <w:r>
        <w:rPr>
          <w:sz w:val="20"/>
        </w:rPr>
        <w:t>In an assignment, the original tenant remains liable unless the landlord grants a release</w:t>
      </w:r>
    </w:p>
    <w:p w14:paraId="72563415" w14:textId="09BB0B48" w:rsidR="00B6433F" w:rsidRDefault="00B6433F" w:rsidP="00B6433F">
      <w:pPr>
        <w:pStyle w:val="ListParagraph"/>
        <w:numPr>
          <w:ilvl w:val="2"/>
          <w:numId w:val="38"/>
        </w:numPr>
        <w:rPr>
          <w:sz w:val="20"/>
        </w:rPr>
      </w:pPr>
      <w:r>
        <w:rPr>
          <w:sz w:val="20"/>
        </w:rPr>
        <w:t>In a sublease, only the person directly below you (landlord to original tenant, sublessor to sublesse, etc.) is liable to you</w:t>
      </w:r>
    </w:p>
    <w:p w14:paraId="4DE01E15" w14:textId="23CA7582" w:rsidR="00527B95" w:rsidRDefault="00527B95" w:rsidP="00B6433F">
      <w:pPr>
        <w:pStyle w:val="ListParagraph"/>
        <w:numPr>
          <w:ilvl w:val="2"/>
          <w:numId w:val="38"/>
        </w:numPr>
        <w:rPr>
          <w:sz w:val="20"/>
        </w:rPr>
      </w:pPr>
      <w:r>
        <w:rPr>
          <w:sz w:val="20"/>
        </w:rPr>
        <w:t>Consent to an assignment of a commercial lease may only be withheld if commercially reasonable (</w:t>
      </w:r>
      <w:r>
        <w:rPr>
          <w:i/>
          <w:sz w:val="20"/>
        </w:rPr>
        <w:t xml:space="preserve">Kendall v. Ernest </w:t>
      </w:r>
      <w:r>
        <w:rPr>
          <w:sz w:val="20"/>
        </w:rPr>
        <w:t>– Airport business assignment)</w:t>
      </w:r>
    </w:p>
    <w:p w14:paraId="153CA172" w14:textId="520A5879" w:rsidR="003571B6" w:rsidRDefault="003571B6" w:rsidP="003571B6">
      <w:pPr>
        <w:pStyle w:val="ListParagraph"/>
        <w:numPr>
          <w:ilvl w:val="3"/>
          <w:numId w:val="38"/>
        </w:numPr>
        <w:rPr>
          <w:sz w:val="20"/>
        </w:rPr>
      </w:pPr>
      <w:r>
        <w:rPr>
          <w:sz w:val="20"/>
        </w:rPr>
        <w:t>Note that this is still technically the minority rule</w:t>
      </w:r>
    </w:p>
    <w:p w14:paraId="42D155C6" w14:textId="017D65B1" w:rsidR="003571B6" w:rsidRDefault="003571B6" w:rsidP="003571B6">
      <w:pPr>
        <w:pStyle w:val="ListParagraph"/>
        <w:numPr>
          <w:ilvl w:val="1"/>
          <w:numId w:val="38"/>
        </w:numPr>
        <w:rPr>
          <w:sz w:val="20"/>
        </w:rPr>
      </w:pPr>
      <w:r>
        <w:rPr>
          <w:sz w:val="20"/>
        </w:rPr>
        <w:t>A landlord must wait for a judicial decision before evicting a tenant (</w:t>
      </w:r>
      <w:r>
        <w:rPr>
          <w:i/>
          <w:sz w:val="20"/>
        </w:rPr>
        <w:t>Berg v. Wiley</w:t>
      </w:r>
      <w:r>
        <w:rPr>
          <w:sz w:val="20"/>
        </w:rPr>
        <w:t xml:space="preserve"> – restaurant eviction)</w:t>
      </w:r>
    </w:p>
    <w:p w14:paraId="000693D3" w14:textId="0183E47D" w:rsidR="003571B6" w:rsidRDefault="003571B6" w:rsidP="003571B6">
      <w:pPr>
        <w:pStyle w:val="ListParagraph"/>
        <w:numPr>
          <w:ilvl w:val="2"/>
          <w:numId w:val="38"/>
        </w:numPr>
        <w:rPr>
          <w:sz w:val="20"/>
        </w:rPr>
      </w:pPr>
      <w:r>
        <w:rPr>
          <w:sz w:val="20"/>
        </w:rPr>
        <w:t>Assumes summary proceedings are 1) available, and 2) effective. Is this true?</w:t>
      </w:r>
    </w:p>
    <w:p w14:paraId="7AB6A83E" w14:textId="100B2C93" w:rsidR="003571B6" w:rsidRDefault="003571B6" w:rsidP="003571B6">
      <w:pPr>
        <w:pStyle w:val="ListParagraph"/>
        <w:numPr>
          <w:ilvl w:val="1"/>
          <w:numId w:val="38"/>
        </w:numPr>
        <w:rPr>
          <w:sz w:val="20"/>
        </w:rPr>
      </w:pPr>
      <w:r>
        <w:rPr>
          <w:sz w:val="20"/>
        </w:rPr>
        <w:t>Landlord must try to mitigate damages from a defaulting/abandoning tenant (</w:t>
      </w:r>
      <w:r>
        <w:rPr>
          <w:i/>
          <w:sz w:val="20"/>
        </w:rPr>
        <w:t>Sommer v. Kridel</w:t>
      </w:r>
      <w:r>
        <w:rPr>
          <w:sz w:val="20"/>
        </w:rPr>
        <w:t>)</w:t>
      </w:r>
    </w:p>
    <w:p w14:paraId="7548DC9F" w14:textId="09FED887" w:rsidR="003571B6" w:rsidRDefault="003571B6" w:rsidP="003571B6">
      <w:pPr>
        <w:pStyle w:val="ListParagraph"/>
        <w:numPr>
          <w:ilvl w:val="2"/>
          <w:numId w:val="38"/>
        </w:numPr>
        <w:rPr>
          <w:sz w:val="20"/>
        </w:rPr>
      </w:pPr>
      <w:r>
        <w:rPr>
          <w:sz w:val="20"/>
        </w:rPr>
        <w:t>Duty to mitigate consists of making reasonable efforts to re-let the apartment</w:t>
      </w:r>
    </w:p>
    <w:p w14:paraId="634FDDDA" w14:textId="13253D2E" w:rsidR="003571B6" w:rsidRDefault="003571B6" w:rsidP="003571B6">
      <w:pPr>
        <w:pStyle w:val="ListParagraph"/>
        <w:numPr>
          <w:ilvl w:val="2"/>
          <w:numId w:val="38"/>
        </w:numPr>
        <w:rPr>
          <w:sz w:val="20"/>
        </w:rPr>
      </w:pPr>
      <w:r>
        <w:rPr>
          <w:sz w:val="20"/>
        </w:rPr>
        <w:t>Raises problem of accepting tenant’s surrender, extinguishing liability for future rent</w:t>
      </w:r>
    </w:p>
    <w:p w14:paraId="717A7268" w14:textId="20107C5E" w:rsidR="003571B6" w:rsidRDefault="003571B6" w:rsidP="003571B6">
      <w:pPr>
        <w:pStyle w:val="ListParagraph"/>
        <w:numPr>
          <w:ilvl w:val="1"/>
          <w:numId w:val="38"/>
        </w:numPr>
        <w:rPr>
          <w:sz w:val="20"/>
        </w:rPr>
      </w:pPr>
      <w:r>
        <w:rPr>
          <w:sz w:val="20"/>
        </w:rPr>
        <w:t>Actual eviction occurs when a tenant is deprived of a material part of the leased property; constructive eviction occurs when an interference with possession is so serious that it deprives the lessee of the beneficial enjoyment of the property (</w:t>
      </w:r>
      <w:r>
        <w:rPr>
          <w:i/>
          <w:sz w:val="20"/>
        </w:rPr>
        <w:t>Village Commons v. MCPO</w:t>
      </w:r>
      <w:r>
        <w:rPr>
          <w:sz w:val="20"/>
        </w:rPr>
        <w:t xml:space="preserve"> – leaky basement in prosecutor’s office)</w:t>
      </w:r>
    </w:p>
    <w:p w14:paraId="7F7F15F1" w14:textId="5B700846" w:rsidR="00CB33C3" w:rsidRDefault="00CB33C3" w:rsidP="00CB33C3">
      <w:pPr>
        <w:pStyle w:val="ListParagraph"/>
        <w:numPr>
          <w:ilvl w:val="2"/>
          <w:numId w:val="38"/>
        </w:numPr>
        <w:rPr>
          <w:sz w:val="20"/>
        </w:rPr>
      </w:pPr>
      <w:r>
        <w:rPr>
          <w:sz w:val="20"/>
        </w:rPr>
        <w:t>Constructive eviction is essentially eliminated by the implied warranty of habitability</w:t>
      </w:r>
    </w:p>
    <w:p w14:paraId="4979A9B3" w14:textId="04AB6161" w:rsidR="00CB33C3" w:rsidRDefault="00CB33C3" w:rsidP="00CB33C3">
      <w:pPr>
        <w:pStyle w:val="ListParagraph"/>
        <w:numPr>
          <w:ilvl w:val="3"/>
          <w:numId w:val="38"/>
        </w:numPr>
        <w:rPr>
          <w:sz w:val="20"/>
        </w:rPr>
      </w:pPr>
      <w:r>
        <w:rPr>
          <w:sz w:val="20"/>
        </w:rPr>
        <w:t>A substantial violation of the housing code is prima facie evidence of breach (</w:t>
      </w:r>
      <w:r>
        <w:rPr>
          <w:i/>
          <w:sz w:val="20"/>
        </w:rPr>
        <w:t>Hilder v. St. Peter</w:t>
      </w:r>
      <w:r>
        <w:rPr>
          <w:sz w:val="20"/>
        </w:rPr>
        <w:t>)</w:t>
      </w:r>
    </w:p>
    <w:p w14:paraId="3DC38507" w14:textId="0D1743FD" w:rsidR="00CB33C3" w:rsidRDefault="00CB33C3" w:rsidP="00CB33C3">
      <w:pPr>
        <w:pStyle w:val="ListParagraph"/>
        <w:numPr>
          <w:ilvl w:val="3"/>
          <w:numId w:val="38"/>
        </w:numPr>
        <w:rPr>
          <w:sz w:val="20"/>
        </w:rPr>
      </w:pPr>
      <w:r>
        <w:rPr>
          <w:sz w:val="20"/>
        </w:rPr>
        <w:t>Landlord is not entitled to a reasonable amount of time to address the issue giving rise to a breach (</w:t>
      </w:r>
      <w:r>
        <w:rPr>
          <w:i/>
          <w:sz w:val="20"/>
        </w:rPr>
        <w:t>Berman v. Jefferson</w:t>
      </w:r>
      <w:r>
        <w:rPr>
          <w:sz w:val="20"/>
        </w:rPr>
        <w:t>)</w:t>
      </w:r>
    </w:p>
    <w:p w14:paraId="011511B7" w14:textId="301EADFE" w:rsidR="00CB111F" w:rsidRDefault="00CB111F" w:rsidP="00CB111F">
      <w:pPr>
        <w:pStyle w:val="Heading3"/>
        <w:rPr>
          <w:sz w:val="22"/>
        </w:rPr>
      </w:pPr>
      <w:r w:rsidRPr="00CB111F">
        <w:rPr>
          <w:sz w:val="22"/>
        </w:rPr>
        <w:t>The Constitutional Law of Property</w:t>
      </w:r>
    </w:p>
    <w:p w14:paraId="2405BA6C" w14:textId="0B222C54" w:rsidR="00CB111F" w:rsidRDefault="00CB111F" w:rsidP="00CB111F">
      <w:pPr>
        <w:pStyle w:val="Heading5"/>
        <w:rPr>
          <w:sz w:val="20"/>
        </w:rPr>
      </w:pPr>
      <w:r w:rsidRPr="00CB111F">
        <w:rPr>
          <w:sz w:val="20"/>
        </w:rPr>
        <w:t>Due Process</w:t>
      </w:r>
    </w:p>
    <w:p w14:paraId="1394942A" w14:textId="5A48181B" w:rsidR="00CB111F" w:rsidRPr="00CB111F" w:rsidRDefault="00CB111F" w:rsidP="00CB111F">
      <w:pPr>
        <w:pStyle w:val="ListParagraph"/>
        <w:numPr>
          <w:ilvl w:val="0"/>
          <w:numId w:val="39"/>
        </w:numPr>
      </w:pPr>
      <w:r>
        <w:rPr>
          <w:sz w:val="20"/>
        </w:rPr>
        <w:t xml:space="preserve">Debate begins in </w:t>
      </w:r>
      <w:r>
        <w:rPr>
          <w:i/>
          <w:sz w:val="20"/>
        </w:rPr>
        <w:t>Calder v. Bull</w:t>
      </w:r>
      <w:r w:rsidR="000B5B03">
        <w:rPr>
          <w:sz w:val="20"/>
        </w:rPr>
        <w:t xml:space="preserve">. </w:t>
      </w:r>
      <w:r>
        <w:rPr>
          <w:sz w:val="20"/>
        </w:rPr>
        <w:t>Chase argues for judicial restrictions of laws that violate natural senses of justice and fairness (See Locke, social contract theory). Iredell takes a more positivist view (See Bentham, Blackstone)</w:t>
      </w:r>
    </w:p>
    <w:p w14:paraId="2EA74426" w14:textId="5F52D319" w:rsidR="00CB111F" w:rsidRPr="000B5B03" w:rsidRDefault="00CB111F" w:rsidP="00CB111F">
      <w:pPr>
        <w:pStyle w:val="ListParagraph"/>
        <w:numPr>
          <w:ilvl w:val="0"/>
          <w:numId w:val="39"/>
        </w:numPr>
      </w:pPr>
      <w:r>
        <w:rPr>
          <w:i/>
          <w:sz w:val="20"/>
        </w:rPr>
        <w:t xml:space="preserve">Lochner </w:t>
      </w:r>
      <w:r>
        <w:rPr>
          <w:sz w:val="20"/>
        </w:rPr>
        <w:t xml:space="preserve">introduces concept of substantive due process; courts can interfere in legislative pronouncements if there is not a </w:t>
      </w:r>
      <w:r w:rsidR="000B5B03">
        <w:rPr>
          <w:sz w:val="20"/>
        </w:rPr>
        <w:t>reasonable relationship</w:t>
      </w:r>
      <w:r>
        <w:rPr>
          <w:sz w:val="20"/>
        </w:rPr>
        <w:t xml:space="preserve"> between permissible ends (exercise of police power) and the means used to get there</w:t>
      </w:r>
    </w:p>
    <w:p w14:paraId="07794339" w14:textId="6C607032" w:rsidR="000B5B03" w:rsidRPr="00CB111F" w:rsidRDefault="000B5B03" w:rsidP="000B5B03">
      <w:pPr>
        <w:pStyle w:val="ListParagraph"/>
        <w:numPr>
          <w:ilvl w:val="1"/>
          <w:numId w:val="39"/>
        </w:numPr>
      </w:pPr>
      <w:r>
        <w:rPr>
          <w:sz w:val="20"/>
        </w:rPr>
        <w:t xml:space="preserve">Holmes further dissents that the Constitution does not embody a particular economic theory (similar to statements made in Germany’s </w:t>
      </w:r>
      <w:r>
        <w:rPr>
          <w:i/>
          <w:sz w:val="20"/>
        </w:rPr>
        <w:t>Investment Aid</w:t>
      </w:r>
      <w:r>
        <w:rPr>
          <w:sz w:val="20"/>
        </w:rPr>
        <w:t>)</w:t>
      </w:r>
    </w:p>
    <w:p w14:paraId="4ABD1557" w14:textId="4FEC35D1" w:rsidR="000B5B03" w:rsidRPr="000B5B03" w:rsidRDefault="000B5B03" w:rsidP="00CB111F">
      <w:pPr>
        <w:pStyle w:val="ListParagraph"/>
        <w:numPr>
          <w:ilvl w:val="1"/>
          <w:numId w:val="39"/>
        </w:numPr>
        <w:rPr>
          <w:sz w:val="20"/>
        </w:rPr>
      </w:pPr>
      <w:r w:rsidRPr="000B5B03">
        <w:rPr>
          <w:i/>
          <w:sz w:val="20"/>
        </w:rPr>
        <w:t xml:space="preserve">Coppage v. Kansas </w:t>
      </w:r>
      <w:r w:rsidRPr="000B5B03">
        <w:rPr>
          <w:sz w:val="20"/>
        </w:rPr>
        <w:t>acknowledges that there may be</w:t>
      </w:r>
      <w:r>
        <w:rPr>
          <w:sz w:val="20"/>
        </w:rPr>
        <w:t xml:space="preserve"> limits on freedom to contract, but it is not here. This is the high point of the </w:t>
      </w:r>
      <w:r>
        <w:rPr>
          <w:i/>
          <w:sz w:val="20"/>
        </w:rPr>
        <w:t xml:space="preserve">Lochner </w:t>
      </w:r>
      <w:r>
        <w:rPr>
          <w:sz w:val="20"/>
        </w:rPr>
        <w:t>era</w:t>
      </w:r>
    </w:p>
    <w:p w14:paraId="399722E0" w14:textId="77777777" w:rsidR="000B5B03" w:rsidRPr="000B5B03" w:rsidRDefault="00CB111F" w:rsidP="00CB111F">
      <w:pPr>
        <w:pStyle w:val="ListParagraph"/>
        <w:numPr>
          <w:ilvl w:val="1"/>
          <w:numId w:val="39"/>
        </w:numPr>
      </w:pPr>
      <w:r>
        <w:rPr>
          <w:sz w:val="20"/>
        </w:rPr>
        <w:t xml:space="preserve">Begins to be pulled back in </w:t>
      </w:r>
      <w:r>
        <w:rPr>
          <w:i/>
          <w:sz w:val="20"/>
        </w:rPr>
        <w:t>Nebbia v. New York</w:t>
      </w:r>
      <w:r w:rsidR="000B5B03">
        <w:rPr>
          <w:sz w:val="20"/>
        </w:rPr>
        <w:t xml:space="preserve"> (milk pricing). Individuals cannot</w:t>
      </w:r>
      <w:r>
        <w:rPr>
          <w:sz w:val="20"/>
        </w:rPr>
        <w:t xml:space="preserve"> exercise property rights that inflict injury on the public</w:t>
      </w:r>
      <w:r w:rsidR="000B5B03">
        <w:rPr>
          <w:sz w:val="20"/>
        </w:rPr>
        <w:t xml:space="preserve"> </w:t>
      </w:r>
    </w:p>
    <w:p w14:paraId="6FF502BC" w14:textId="7621B3AE" w:rsidR="00CB111F" w:rsidRPr="00CB111F" w:rsidRDefault="000B5B03" w:rsidP="000B5B03">
      <w:pPr>
        <w:pStyle w:val="ListParagraph"/>
        <w:numPr>
          <w:ilvl w:val="2"/>
          <w:numId w:val="39"/>
        </w:numPr>
      </w:pPr>
      <w:r>
        <w:rPr>
          <w:sz w:val="20"/>
        </w:rPr>
        <w:t>If statute is not arbitrary, discriminatory or demonstrably irrelevant to the policy, it is consistent with Constitutional boundaries</w:t>
      </w:r>
    </w:p>
    <w:p w14:paraId="69671D2A" w14:textId="233C60FE" w:rsidR="00CB111F" w:rsidRPr="009600ED" w:rsidRDefault="00CB111F" w:rsidP="009600ED">
      <w:pPr>
        <w:pStyle w:val="ListParagraph"/>
        <w:numPr>
          <w:ilvl w:val="0"/>
          <w:numId w:val="39"/>
        </w:numPr>
      </w:pPr>
      <w:r>
        <w:rPr>
          <w:sz w:val="20"/>
        </w:rPr>
        <w:t xml:space="preserve">Full deference is given in </w:t>
      </w:r>
      <w:r>
        <w:rPr>
          <w:i/>
          <w:sz w:val="20"/>
        </w:rPr>
        <w:t>West Coast Hotel v. Parrish</w:t>
      </w:r>
      <w:r w:rsidR="009600ED">
        <w:rPr>
          <w:sz w:val="20"/>
        </w:rPr>
        <w:t>, recognizing that employees do not have equal bargaining power, so legislature may protect disadvantaged workers</w:t>
      </w:r>
    </w:p>
    <w:p w14:paraId="5E61AA6B" w14:textId="7A079B62" w:rsidR="009600ED" w:rsidRPr="00CB111F" w:rsidRDefault="009600ED" w:rsidP="009600ED">
      <w:pPr>
        <w:pStyle w:val="ListParagraph"/>
        <w:numPr>
          <w:ilvl w:val="1"/>
          <w:numId w:val="39"/>
        </w:numPr>
      </w:pPr>
      <w:r>
        <w:rPr>
          <w:sz w:val="20"/>
        </w:rPr>
        <w:t>Even if the wisdom of the policy is debatable, the legislature decides (</w:t>
      </w:r>
      <w:r>
        <w:rPr>
          <w:i/>
          <w:sz w:val="20"/>
        </w:rPr>
        <w:t>Ferguson v. Skrupa</w:t>
      </w:r>
      <w:r>
        <w:rPr>
          <w:sz w:val="20"/>
        </w:rPr>
        <w:t>)</w:t>
      </w:r>
    </w:p>
    <w:p w14:paraId="0ACD9036" w14:textId="03C7AD93" w:rsidR="00CB111F" w:rsidRDefault="00CB111F" w:rsidP="00CB111F">
      <w:pPr>
        <w:pStyle w:val="Heading5"/>
        <w:rPr>
          <w:sz w:val="20"/>
        </w:rPr>
      </w:pPr>
      <w:r w:rsidRPr="00CB111F">
        <w:rPr>
          <w:sz w:val="20"/>
        </w:rPr>
        <w:t>Public Use</w:t>
      </w:r>
    </w:p>
    <w:p w14:paraId="386EED13" w14:textId="078E4630" w:rsidR="009600ED" w:rsidRPr="009600ED" w:rsidRDefault="009600ED" w:rsidP="009600ED">
      <w:pPr>
        <w:pStyle w:val="ListParagraph"/>
        <w:numPr>
          <w:ilvl w:val="0"/>
          <w:numId w:val="40"/>
        </w:numPr>
      </w:pPr>
      <w:r>
        <w:rPr>
          <w:i/>
          <w:sz w:val="20"/>
        </w:rPr>
        <w:t xml:space="preserve">Berman v. Parker </w:t>
      </w:r>
      <w:r>
        <w:rPr>
          <w:sz w:val="20"/>
        </w:rPr>
        <w:t>articulates a very deferential, rational basis test for “public use”, which has already been watered down to “public purpose”. When the legislature has spoken, the public interest has been decided</w:t>
      </w:r>
    </w:p>
    <w:p w14:paraId="14471F73" w14:textId="25903E3F" w:rsidR="009600ED" w:rsidRPr="009600ED" w:rsidRDefault="009600ED" w:rsidP="009600ED">
      <w:pPr>
        <w:pStyle w:val="ListParagraph"/>
        <w:numPr>
          <w:ilvl w:val="0"/>
          <w:numId w:val="40"/>
        </w:numPr>
      </w:pPr>
      <w:r>
        <w:rPr>
          <w:sz w:val="20"/>
        </w:rPr>
        <w:t>The public use requirement is coterminous with the scope of police powers (</w:t>
      </w:r>
      <w:r>
        <w:rPr>
          <w:i/>
          <w:sz w:val="20"/>
        </w:rPr>
        <w:t xml:space="preserve">Hawaii Housing v. Midkiff </w:t>
      </w:r>
      <w:r>
        <w:rPr>
          <w:sz w:val="20"/>
        </w:rPr>
        <w:t>– land redistribution)</w:t>
      </w:r>
    </w:p>
    <w:p w14:paraId="547848DE" w14:textId="7DE2DB85" w:rsidR="009600ED" w:rsidRPr="00A7064D" w:rsidRDefault="009600ED" w:rsidP="009600ED">
      <w:pPr>
        <w:pStyle w:val="ListParagraph"/>
        <w:numPr>
          <w:ilvl w:val="1"/>
          <w:numId w:val="40"/>
        </w:numPr>
      </w:pPr>
      <w:r>
        <w:rPr>
          <w:sz w:val="20"/>
        </w:rPr>
        <w:lastRenderedPageBreak/>
        <w:t xml:space="preserve">O’Conner backs off from this statement in </w:t>
      </w:r>
      <w:r>
        <w:rPr>
          <w:i/>
          <w:sz w:val="20"/>
        </w:rPr>
        <w:t>Kelo</w:t>
      </w:r>
    </w:p>
    <w:p w14:paraId="7838A9E0" w14:textId="1071B522" w:rsidR="00A7064D" w:rsidRPr="00A7064D" w:rsidRDefault="00A7064D" w:rsidP="009600ED">
      <w:pPr>
        <w:pStyle w:val="ListParagraph"/>
        <w:numPr>
          <w:ilvl w:val="1"/>
          <w:numId w:val="40"/>
        </w:numPr>
      </w:pPr>
      <w:r>
        <w:rPr>
          <w:sz w:val="20"/>
        </w:rPr>
        <w:t>Where the exercise of eminent domain is rationally related to a conceivable public purpose, a public use exists</w:t>
      </w:r>
    </w:p>
    <w:p w14:paraId="753E8136" w14:textId="643D2FB8" w:rsidR="00A7064D" w:rsidRPr="00A7064D" w:rsidRDefault="00A7064D" w:rsidP="009600ED">
      <w:pPr>
        <w:pStyle w:val="ListParagraph"/>
        <w:numPr>
          <w:ilvl w:val="1"/>
          <w:numId w:val="40"/>
        </w:numPr>
      </w:pPr>
      <w:r>
        <w:rPr>
          <w:i/>
          <w:sz w:val="20"/>
        </w:rPr>
        <w:t xml:space="preserve">Poletown v. Detroit </w:t>
      </w:r>
      <w:r>
        <w:rPr>
          <w:sz w:val="20"/>
        </w:rPr>
        <w:t>takes this to the next level, saying the legislature is justified in finding public purposes in reducing unemployment and revitalizing an economic base</w:t>
      </w:r>
    </w:p>
    <w:p w14:paraId="5497F274" w14:textId="6BE873BB" w:rsidR="00A7064D" w:rsidRPr="00A7064D" w:rsidRDefault="00A7064D" w:rsidP="00A7064D">
      <w:pPr>
        <w:pStyle w:val="ListParagraph"/>
        <w:numPr>
          <w:ilvl w:val="2"/>
          <w:numId w:val="40"/>
        </w:numPr>
      </w:pPr>
      <w:r>
        <w:rPr>
          <w:sz w:val="20"/>
        </w:rPr>
        <w:t>Dissent argues that there is now no limit to what can be taken to aid private businesses</w:t>
      </w:r>
    </w:p>
    <w:p w14:paraId="1A5C8F0C" w14:textId="6816FCA2" w:rsidR="00A7064D" w:rsidRPr="000E55C6" w:rsidRDefault="00A7064D" w:rsidP="00A7064D">
      <w:pPr>
        <w:pStyle w:val="ListParagraph"/>
        <w:numPr>
          <w:ilvl w:val="2"/>
          <w:numId w:val="40"/>
        </w:numPr>
      </w:pPr>
      <w:r>
        <w:rPr>
          <w:sz w:val="20"/>
        </w:rPr>
        <w:t xml:space="preserve">Overturned in </w:t>
      </w:r>
      <w:r>
        <w:rPr>
          <w:i/>
          <w:sz w:val="20"/>
        </w:rPr>
        <w:t>County of Wayne v. Hathcock</w:t>
      </w:r>
      <w:r>
        <w:rPr>
          <w:sz w:val="20"/>
        </w:rPr>
        <w:t xml:space="preserve">, where the public use test becomes a three-part inquiry: 1) Public necessity of the most extreme sort (i.e., highways), 2) Property remains subject to public oversight (i.e., pipeline to be used as a public utility), or 3) </w:t>
      </w:r>
      <w:r w:rsidR="000E55C6">
        <w:rPr>
          <w:sz w:val="20"/>
        </w:rPr>
        <w:t>Property is selected because of facts of independent public significance (i.e., blight)</w:t>
      </w:r>
    </w:p>
    <w:p w14:paraId="54E6CB8F" w14:textId="13B1ADA3" w:rsidR="000E55C6" w:rsidRPr="00184ABA" w:rsidRDefault="000E55C6" w:rsidP="00184ABA">
      <w:pPr>
        <w:pStyle w:val="ListParagraph"/>
        <w:numPr>
          <w:ilvl w:val="0"/>
          <w:numId w:val="40"/>
        </w:numPr>
      </w:pPr>
      <w:r>
        <w:rPr>
          <w:i/>
          <w:sz w:val="20"/>
        </w:rPr>
        <w:t>Kelo v. City of New London</w:t>
      </w:r>
      <w:r>
        <w:rPr>
          <w:sz w:val="20"/>
        </w:rPr>
        <w:t xml:space="preserve"> follows </w:t>
      </w:r>
      <w:r>
        <w:rPr>
          <w:i/>
          <w:sz w:val="20"/>
        </w:rPr>
        <w:t>Poletown</w:t>
      </w:r>
      <w:r>
        <w:rPr>
          <w:sz w:val="20"/>
        </w:rPr>
        <w:t xml:space="preserve">, </w:t>
      </w:r>
      <w:r w:rsidR="00184ABA">
        <w:rPr>
          <w:sz w:val="20"/>
        </w:rPr>
        <w:t>in that the taking’s purpose (not its mechanics, i.e., giving property to another private entity), determine if a public use exists</w:t>
      </w:r>
    </w:p>
    <w:p w14:paraId="225F0262" w14:textId="76144549" w:rsidR="00184ABA" w:rsidRPr="00184ABA" w:rsidRDefault="00184ABA" w:rsidP="00184ABA">
      <w:pPr>
        <w:pStyle w:val="ListParagraph"/>
        <w:numPr>
          <w:ilvl w:val="1"/>
          <w:numId w:val="40"/>
        </w:numPr>
      </w:pPr>
      <w:r>
        <w:rPr>
          <w:sz w:val="20"/>
        </w:rPr>
        <w:t>O’Conner’s dissent argues that an external judicial check is required if the Public Use Clause is to retain any meaning</w:t>
      </w:r>
    </w:p>
    <w:p w14:paraId="2F62A302" w14:textId="3C32ECBC" w:rsidR="00184ABA" w:rsidRPr="009600ED" w:rsidRDefault="00184ABA" w:rsidP="00184ABA">
      <w:pPr>
        <w:pStyle w:val="ListParagraph"/>
        <w:numPr>
          <w:ilvl w:val="2"/>
          <w:numId w:val="40"/>
        </w:numPr>
      </w:pPr>
      <w:r>
        <w:rPr>
          <w:sz w:val="20"/>
        </w:rPr>
        <w:t>Makes a distinction between affirmative harm and property not being put to the most economically beneficial use</w:t>
      </w:r>
    </w:p>
    <w:p w14:paraId="390B5BA5" w14:textId="1E5A91B5" w:rsidR="00CB111F" w:rsidRDefault="00CB111F" w:rsidP="00CB111F">
      <w:pPr>
        <w:pStyle w:val="Heading5"/>
        <w:rPr>
          <w:sz w:val="20"/>
        </w:rPr>
      </w:pPr>
      <w:r w:rsidRPr="00CB111F">
        <w:rPr>
          <w:sz w:val="20"/>
        </w:rPr>
        <w:t>Regulatory Takings</w:t>
      </w:r>
    </w:p>
    <w:p w14:paraId="09B3A488" w14:textId="34EA4B92" w:rsidR="00184ABA" w:rsidRDefault="00387205" w:rsidP="00184ABA">
      <w:pPr>
        <w:pStyle w:val="ListParagraph"/>
        <w:numPr>
          <w:ilvl w:val="0"/>
          <w:numId w:val="41"/>
        </w:numPr>
        <w:rPr>
          <w:sz w:val="20"/>
        </w:rPr>
      </w:pPr>
      <w:r w:rsidRPr="00387205">
        <w:rPr>
          <w:sz w:val="20"/>
        </w:rPr>
        <w:t xml:space="preserve">There </w:t>
      </w:r>
      <w:r>
        <w:rPr>
          <w:sz w:val="20"/>
        </w:rPr>
        <w:t>are three per se rules relating to when regulations are grievous enough to become takings</w:t>
      </w:r>
    </w:p>
    <w:p w14:paraId="570C960E" w14:textId="31B99F50" w:rsidR="00387205" w:rsidRDefault="00387205" w:rsidP="00387205">
      <w:pPr>
        <w:pStyle w:val="ListParagraph"/>
        <w:numPr>
          <w:ilvl w:val="1"/>
          <w:numId w:val="41"/>
        </w:numPr>
        <w:rPr>
          <w:sz w:val="20"/>
        </w:rPr>
      </w:pPr>
      <w:r>
        <w:rPr>
          <w:sz w:val="20"/>
        </w:rPr>
        <w:t>Permanent physical occupation (unless occupation is for the purpose of eliminating a nuisance) (</w:t>
      </w:r>
      <w:r>
        <w:rPr>
          <w:i/>
          <w:sz w:val="20"/>
        </w:rPr>
        <w:t>Loretto</w:t>
      </w:r>
      <w:r>
        <w:rPr>
          <w:sz w:val="20"/>
        </w:rPr>
        <w:t>, cable box)</w:t>
      </w:r>
    </w:p>
    <w:p w14:paraId="392199E7" w14:textId="2E0198D3" w:rsidR="00387205" w:rsidRDefault="00387205" w:rsidP="00387205">
      <w:pPr>
        <w:pStyle w:val="ListParagraph"/>
        <w:numPr>
          <w:ilvl w:val="2"/>
          <w:numId w:val="41"/>
        </w:numPr>
        <w:rPr>
          <w:sz w:val="20"/>
        </w:rPr>
      </w:pPr>
      <w:r>
        <w:rPr>
          <w:sz w:val="20"/>
        </w:rPr>
        <w:t>How can this case be squared with other regulations of apartment owners, i.e., smoke dete</w:t>
      </w:r>
      <w:r w:rsidR="00B97B7C">
        <w:rPr>
          <w:sz w:val="20"/>
        </w:rPr>
        <w:t>ctors, fire extinguishers, etc.?</w:t>
      </w:r>
    </w:p>
    <w:p w14:paraId="068817B1" w14:textId="1E8E8670" w:rsidR="00B97B7C" w:rsidRDefault="00B97B7C" w:rsidP="00387205">
      <w:pPr>
        <w:pStyle w:val="ListParagraph"/>
        <w:numPr>
          <w:ilvl w:val="2"/>
          <w:numId w:val="41"/>
        </w:numPr>
        <w:rPr>
          <w:sz w:val="20"/>
        </w:rPr>
      </w:pPr>
      <w:r>
        <w:rPr>
          <w:i/>
          <w:sz w:val="20"/>
        </w:rPr>
        <w:t>First English Evangelical Ch</w:t>
      </w:r>
      <w:r w:rsidRPr="00B97B7C">
        <w:rPr>
          <w:i/>
          <w:sz w:val="20"/>
          <w:szCs w:val="20"/>
        </w:rPr>
        <w:t xml:space="preserve">urch </w:t>
      </w:r>
      <w:r w:rsidRPr="00B97B7C">
        <w:rPr>
          <w:sz w:val="20"/>
          <w:szCs w:val="20"/>
        </w:rPr>
        <w:t>alters this by holding that compensation is required, even if the taking is only temporary</w:t>
      </w:r>
      <w:r>
        <w:t xml:space="preserve"> </w:t>
      </w:r>
    </w:p>
    <w:p w14:paraId="1B61E666" w14:textId="1629BFCF" w:rsidR="00387205" w:rsidRDefault="00387205" w:rsidP="00387205">
      <w:pPr>
        <w:pStyle w:val="ListParagraph"/>
        <w:numPr>
          <w:ilvl w:val="1"/>
          <w:numId w:val="41"/>
        </w:numPr>
        <w:rPr>
          <w:sz w:val="20"/>
        </w:rPr>
      </w:pPr>
      <w:r>
        <w:rPr>
          <w:sz w:val="20"/>
        </w:rPr>
        <w:t xml:space="preserve">Nuisance control regulations are </w:t>
      </w:r>
      <w:r>
        <w:rPr>
          <w:i/>
          <w:sz w:val="20"/>
        </w:rPr>
        <w:t xml:space="preserve">never </w:t>
      </w:r>
      <w:r>
        <w:rPr>
          <w:sz w:val="20"/>
        </w:rPr>
        <w:t>takings, no matter how large the diminution in value (</w:t>
      </w:r>
      <w:r>
        <w:rPr>
          <w:i/>
          <w:sz w:val="20"/>
        </w:rPr>
        <w:t>Hadacheck</w:t>
      </w:r>
      <w:r>
        <w:rPr>
          <w:sz w:val="20"/>
        </w:rPr>
        <w:t>, brickyard condemnation)</w:t>
      </w:r>
    </w:p>
    <w:p w14:paraId="5AB0165B" w14:textId="32C1C6BD" w:rsidR="00387205" w:rsidRDefault="00387205" w:rsidP="00387205">
      <w:pPr>
        <w:pStyle w:val="ListParagraph"/>
        <w:numPr>
          <w:ilvl w:val="2"/>
          <w:numId w:val="41"/>
        </w:numPr>
        <w:rPr>
          <w:sz w:val="20"/>
        </w:rPr>
      </w:pPr>
      <w:r>
        <w:rPr>
          <w:sz w:val="20"/>
        </w:rPr>
        <w:t>There is great difficulty in making distinction between nuisance elimination and doing something for the public good</w:t>
      </w:r>
    </w:p>
    <w:p w14:paraId="279F8BF8" w14:textId="44E6AB08" w:rsidR="00A70172" w:rsidRDefault="00A70172" w:rsidP="00387205">
      <w:pPr>
        <w:pStyle w:val="ListParagraph"/>
        <w:numPr>
          <w:ilvl w:val="2"/>
          <w:numId w:val="41"/>
        </w:numPr>
        <w:rPr>
          <w:sz w:val="20"/>
        </w:rPr>
      </w:pPr>
      <w:r>
        <w:rPr>
          <w:i/>
          <w:sz w:val="20"/>
        </w:rPr>
        <w:t xml:space="preserve">Lucas </w:t>
      </w:r>
      <w:r>
        <w:rPr>
          <w:sz w:val="20"/>
        </w:rPr>
        <w:t>attempts to deal with this problem by making complete deprivation a per se category unto itself, unless either background property law or nuisance law inherently limits the title</w:t>
      </w:r>
    </w:p>
    <w:p w14:paraId="11407047" w14:textId="7E0E045C" w:rsidR="00387205" w:rsidRDefault="00387205" w:rsidP="00387205">
      <w:pPr>
        <w:pStyle w:val="ListParagraph"/>
        <w:numPr>
          <w:ilvl w:val="1"/>
          <w:numId w:val="41"/>
        </w:numPr>
        <w:rPr>
          <w:sz w:val="20"/>
        </w:rPr>
      </w:pPr>
      <w:r>
        <w:rPr>
          <w:sz w:val="20"/>
        </w:rPr>
        <w:t>Land-use regulations that denies owners all economically viable use of land is a taking</w:t>
      </w:r>
      <w:r w:rsidR="00B97B7C">
        <w:rPr>
          <w:sz w:val="20"/>
        </w:rPr>
        <w:t xml:space="preserve"> (</w:t>
      </w:r>
      <w:r w:rsidR="00B97B7C">
        <w:rPr>
          <w:i/>
          <w:sz w:val="20"/>
        </w:rPr>
        <w:t>Lucas</w:t>
      </w:r>
      <w:r w:rsidR="00B97B7C">
        <w:rPr>
          <w:sz w:val="20"/>
        </w:rPr>
        <w:t>)</w:t>
      </w:r>
    </w:p>
    <w:p w14:paraId="190F59BF" w14:textId="0C4A3E76" w:rsidR="003A72D0" w:rsidRDefault="003A72D0" w:rsidP="003A72D0">
      <w:pPr>
        <w:pStyle w:val="ListParagraph"/>
        <w:numPr>
          <w:ilvl w:val="2"/>
          <w:numId w:val="41"/>
        </w:numPr>
        <w:rPr>
          <w:sz w:val="20"/>
        </w:rPr>
      </w:pPr>
      <w:r>
        <w:rPr>
          <w:sz w:val="20"/>
        </w:rPr>
        <w:t xml:space="preserve">This rule is fenced in by </w:t>
      </w:r>
      <w:r>
        <w:rPr>
          <w:i/>
          <w:sz w:val="20"/>
        </w:rPr>
        <w:t>Tahoe-Sierra</w:t>
      </w:r>
      <w:r>
        <w:rPr>
          <w:sz w:val="20"/>
        </w:rPr>
        <w:t>, where the court rejects temporal conceptual severance and finds a limited complete taking is not compensable</w:t>
      </w:r>
    </w:p>
    <w:p w14:paraId="1A60BD48" w14:textId="3E6A243E" w:rsidR="003A72D0" w:rsidRDefault="003A72D0" w:rsidP="003A72D0">
      <w:pPr>
        <w:pStyle w:val="ListParagraph"/>
        <w:numPr>
          <w:ilvl w:val="3"/>
          <w:numId w:val="41"/>
        </w:numPr>
        <w:rPr>
          <w:sz w:val="20"/>
        </w:rPr>
      </w:pPr>
      <w:r>
        <w:rPr>
          <w:sz w:val="20"/>
        </w:rPr>
        <w:t xml:space="preserve">How does this square with </w:t>
      </w:r>
      <w:r>
        <w:rPr>
          <w:i/>
          <w:sz w:val="20"/>
        </w:rPr>
        <w:t>First English</w:t>
      </w:r>
      <w:r>
        <w:rPr>
          <w:sz w:val="20"/>
        </w:rPr>
        <w:t>? The indefiniteness of the initial taking?</w:t>
      </w:r>
    </w:p>
    <w:p w14:paraId="131AE457" w14:textId="36C86D7C" w:rsidR="00387205" w:rsidRDefault="00387205" w:rsidP="00387205">
      <w:pPr>
        <w:pStyle w:val="ListParagraph"/>
        <w:numPr>
          <w:ilvl w:val="0"/>
          <w:numId w:val="41"/>
        </w:numPr>
        <w:rPr>
          <w:sz w:val="20"/>
        </w:rPr>
      </w:pPr>
      <w:r>
        <w:rPr>
          <w:sz w:val="20"/>
        </w:rPr>
        <w:t xml:space="preserve">When none of the per se rules applies, the diminution in value test is necessary </w:t>
      </w:r>
    </w:p>
    <w:p w14:paraId="43232828" w14:textId="56A6F980" w:rsidR="00387205" w:rsidRDefault="00387205" w:rsidP="00387205">
      <w:pPr>
        <w:pStyle w:val="ListParagraph"/>
        <w:numPr>
          <w:ilvl w:val="1"/>
          <w:numId w:val="41"/>
        </w:numPr>
        <w:rPr>
          <w:sz w:val="20"/>
        </w:rPr>
      </w:pPr>
      <w:r>
        <w:rPr>
          <w:sz w:val="20"/>
        </w:rPr>
        <w:t xml:space="preserve">This test is introduced in </w:t>
      </w:r>
      <w:r>
        <w:rPr>
          <w:i/>
          <w:sz w:val="20"/>
        </w:rPr>
        <w:t>Pennsylvania Coal v. Mahon</w:t>
      </w:r>
      <w:r>
        <w:rPr>
          <w:sz w:val="20"/>
        </w:rPr>
        <w:t>, where Holmes argues that if a regulation goes “too far”, it is compensable taking</w:t>
      </w:r>
    </w:p>
    <w:p w14:paraId="675C2FE9" w14:textId="3B6B997B" w:rsidR="00387205" w:rsidRDefault="00387205" w:rsidP="00387205">
      <w:pPr>
        <w:pStyle w:val="ListParagraph"/>
        <w:numPr>
          <w:ilvl w:val="2"/>
          <w:numId w:val="41"/>
        </w:numPr>
        <w:rPr>
          <w:sz w:val="20"/>
        </w:rPr>
      </w:pPr>
      <w:r>
        <w:rPr>
          <w:sz w:val="20"/>
        </w:rPr>
        <w:t>The benefit that the property owner gains through the regulation (reciprocity of advantage) may play a role in determining if a regulation goes “too far”</w:t>
      </w:r>
    </w:p>
    <w:p w14:paraId="3EC88332" w14:textId="1505A55F" w:rsidR="00387205" w:rsidRDefault="00387205" w:rsidP="00387205">
      <w:pPr>
        <w:pStyle w:val="ListParagraph"/>
        <w:numPr>
          <w:ilvl w:val="1"/>
          <w:numId w:val="41"/>
        </w:numPr>
        <w:rPr>
          <w:sz w:val="20"/>
        </w:rPr>
      </w:pPr>
      <w:r>
        <w:rPr>
          <w:i/>
          <w:sz w:val="20"/>
        </w:rPr>
        <w:t xml:space="preserve">Penn Central </w:t>
      </w:r>
      <w:r>
        <w:rPr>
          <w:sz w:val="20"/>
        </w:rPr>
        <w:t>creates a three-part test: 1) Interference with investment-backed expectations, 2) the nature of the government action, and 3) the uniquely public function of the regulation (specifically, the degree to which the regulation stops substantial individualized harm)</w:t>
      </w:r>
    </w:p>
    <w:p w14:paraId="2DC64900" w14:textId="5D6F7CB0" w:rsidR="003A72D0" w:rsidRDefault="003A72D0" w:rsidP="003A72D0">
      <w:pPr>
        <w:pStyle w:val="ListParagraph"/>
        <w:numPr>
          <w:ilvl w:val="2"/>
          <w:numId w:val="41"/>
        </w:numPr>
        <w:rPr>
          <w:sz w:val="20"/>
        </w:rPr>
      </w:pPr>
      <w:r>
        <w:rPr>
          <w:i/>
          <w:sz w:val="20"/>
        </w:rPr>
        <w:t xml:space="preserve">Penn Central </w:t>
      </w:r>
      <w:r>
        <w:rPr>
          <w:sz w:val="20"/>
        </w:rPr>
        <w:t>is the correct test, even if the regulation was already in effect when title was acquired. To do otherwise would unfairly limit the ability of subsequent owners to be compensated (</w:t>
      </w:r>
      <w:r>
        <w:rPr>
          <w:i/>
          <w:sz w:val="20"/>
        </w:rPr>
        <w:t>Palazzolo v. Rhode Island</w:t>
      </w:r>
      <w:r>
        <w:rPr>
          <w:sz w:val="20"/>
        </w:rPr>
        <w:t>)</w:t>
      </w:r>
    </w:p>
    <w:p w14:paraId="7F90A25D" w14:textId="707A8725" w:rsidR="006D030A" w:rsidRDefault="006D030A" w:rsidP="006D030A">
      <w:pPr>
        <w:pStyle w:val="ListParagraph"/>
        <w:numPr>
          <w:ilvl w:val="0"/>
          <w:numId w:val="41"/>
        </w:numPr>
        <w:rPr>
          <w:sz w:val="20"/>
        </w:rPr>
      </w:pPr>
      <w:r>
        <w:rPr>
          <w:sz w:val="20"/>
        </w:rPr>
        <w:t>Exactions must share an “essential nexus” with the policy of a permit’s denial</w:t>
      </w:r>
      <w:r w:rsidR="00A70172">
        <w:rPr>
          <w:sz w:val="20"/>
        </w:rPr>
        <w:t>. Otherwise, the regulation works an extortion, not legitimate exercise of police power</w:t>
      </w:r>
      <w:r>
        <w:rPr>
          <w:sz w:val="20"/>
        </w:rPr>
        <w:t xml:space="preserve"> (</w:t>
      </w:r>
      <w:r>
        <w:rPr>
          <w:i/>
          <w:sz w:val="20"/>
        </w:rPr>
        <w:t xml:space="preserve">Nollan </w:t>
      </w:r>
      <w:r>
        <w:rPr>
          <w:sz w:val="20"/>
        </w:rPr>
        <w:t>– beach easement)</w:t>
      </w:r>
    </w:p>
    <w:p w14:paraId="603C23E0" w14:textId="2C7AFC37" w:rsidR="00A70172" w:rsidRDefault="00A70172" w:rsidP="00A70172">
      <w:pPr>
        <w:pStyle w:val="ListParagraph"/>
        <w:numPr>
          <w:ilvl w:val="1"/>
          <w:numId w:val="41"/>
        </w:numPr>
        <w:rPr>
          <w:sz w:val="20"/>
        </w:rPr>
      </w:pPr>
      <w:r>
        <w:rPr>
          <w:sz w:val="20"/>
        </w:rPr>
        <w:lastRenderedPageBreak/>
        <w:t xml:space="preserve">The exaction must share a “rough proportionality” with the negative impact the permit would allow, adding an additional step to </w:t>
      </w:r>
      <w:r>
        <w:rPr>
          <w:i/>
          <w:sz w:val="20"/>
        </w:rPr>
        <w:t>Nollan</w:t>
      </w:r>
      <w:r>
        <w:rPr>
          <w:sz w:val="20"/>
        </w:rPr>
        <w:t xml:space="preserve"> (</w:t>
      </w:r>
      <w:r>
        <w:rPr>
          <w:i/>
          <w:sz w:val="20"/>
        </w:rPr>
        <w:t>Dolan</w:t>
      </w:r>
      <w:r>
        <w:rPr>
          <w:sz w:val="20"/>
        </w:rPr>
        <w:t xml:space="preserve">) </w:t>
      </w:r>
    </w:p>
    <w:p w14:paraId="7CC25D44" w14:textId="473E037C" w:rsidR="003A72D0" w:rsidRPr="003A72D0" w:rsidRDefault="003A72D0" w:rsidP="003A72D0">
      <w:pPr>
        <w:pStyle w:val="ListParagraph"/>
        <w:numPr>
          <w:ilvl w:val="1"/>
          <w:numId w:val="41"/>
        </w:numPr>
        <w:rPr>
          <w:sz w:val="20"/>
        </w:rPr>
      </w:pPr>
      <w:r>
        <w:rPr>
          <w:sz w:val="20"/>
        </w:rPr>
        <w:t xml:space="preserve">Monetary exactions must also follow the “reasonable nexus” and “rough proportionality” requirements of </w:t>
      </w:r>
      <w:r>
        <w:rPr>
          <w:i/>
          <w:sz w:val="20"/>
        </w:rPr>
        <w:t xml:space="preserve">Nollan </w:t>
      </w:r>
      <w:r>
        <w:rPr>
          <w:sz w:val="20"/>
        </w:rPr>
        <w:t xml:space="preserve">and </w:t>
      </w:r>
      <w:r>
        <w:rPr>
          <w:i/>
          <w:sz w:val="20"/>
        </w:rPr>
        <w:t>Dolan</w:t>
      </w:r>
      <w:r w:rsidR="00F81F1D">
        <w:rPr>
          <w:i/>
          <w:sz w:val="20"/>
        </w:rPr>
        <w:t xml:space="preserve"> </w:t>
      </w:r>
      <w:r w:rsidR="00F81F1D">
        <w:rPr>
          <w:sz w:val="20"/>
        </w:rPr>
        <w:t>(</w:t>
      </w:r>
      <w:r w:rsidR="00F81F1D">
        <w:rPr>
          <w:i/>
          <w:sz w:val="20"/>
        </w:rPr>
        <w:t>Koontz</w:t>
      </w:r>
      <w:r w:rsidR="00F81F1D">
        <w:rPr>
          <w:sz w:val="20"/>
        </w:rPr>
        <w:t>)</w:t>
      </w:r>
      <w:bookmarkStart w:id="0" w:name="_GoBack"/>
      <w:bookmarkEnd w:id="0"/>
    </w:p>
    <w:p w14:paraId="6C88EF90" w14:textId="6E5CA43F" w:rsidR="00F81F1D" w:rsidRPr="00F81F1D" w:rsidRDefault="003A72D0" w:rsidP="00F81F1D">
      <w:pPr>
        <w:pStyle w:val="ListParagraph"/>
        <w:numPr>
          <w:ilvl w:val="2"/>
          <w:numId w:val="41"/>
        </w:numPr>
        <w:rPr>
          <w:sz w:val="20"/>
        </w:rPr>
      </w:pPr>
      <w:r>
        <w:rPr>
          <w:sz w:val="20"/>
        </w:rPr>
        <w:t xml:space="preserve">How can this be a takings case, when the only thing that has been “taken” is a permit that was never actually issued? </w:t>
      </w:r>
    </w:p>
    <w:p w14:paraId="776632E4" w14:textId="0B4B8DBB" w:rsidR="00F81F1D" w:rsidRPr="00F81F1D" w:rsidRDefault="003A72D0" w:rsidP="00F81F1D">
      <w:pPr>
        <w:pStyle w:val="ListParagraph"/>
        <w:numPr>
          <w:ilvl w:val="2"/>
          <w:numId w:val="41"/>
        </w:numPr>
        <w:rPr>
          <w:sz w:val="20"/>
        </w:rPr>
      </w:pPr>
      <w:r>
        <w:rPr>
          <w:sz w:val="20"/>
        </w:rPr>
        <w:t>What is the distinction between a “taking” of money and a tax?</w:t>
      </w:r>
    </w:p>
    <w:p w14:paraId="052A9C55" w14:textId="625A0B7E" w:rsidR="00A70172" w:rsidRDefault="00A70172" w:rsidP="00A70172">
      <w:pPr>
        <w:pStyle w:val="ListParagraph"/>
        <w:numPr>
          <w:ilvl w:val="0"/>
          <w:numId w:val="41"/>
        </w:numPr>
        <w:rPr>
          <w:sz w:val="20"/>
        </w:rPr>
      </w:pPr>
      <w:r>
        <w:rPr>
          <w:sz w:val="20"/>
        </w:rPr>
        <w:t>Purely economic regulation can be considered a taking, blurring lines between due process tests and regulatory takings tests (</w:t>
      </w:r>
      <w:r>
        <w:rPr>
          <w:i/>
          <w:sz w:val="20"/>
        </w:rPr>
        <w:t xml:space="preserve">Eastern Enterprises v. Apfel </w:t>
      </w:r>
      <w:r>
        <w:rPr>
          <w:sz w:val="20"/>
        </w:rPr>
        <w:t>– pension funding liabilities)</w:t>
      </w:r>
    </w:p>
    <w:p w14:paraId="27E39F11" w14:textId="4918F62E" w:rsidR="00A70172" w:rsidRDefault="003A72D0" w:rsidP="00A70172">
      <w:pPr>
        <w:pStyle w:val="ListParagraph"/>
        <w:numPr>
          <w:ilvl w:val="1"/>
          <w:numId w:val="41"/>
        </w:numPr>
        <w:rPr>
          <w:sz w:val="20"/>
        </w:rPr>
      </w:pPr>
      <w:r>
        <w:rPr>
          <w:sz w:val="20"/>
        </w:rPr>
        <w:t>Which inquiry should proceed first? Due Process, or regulatory taking?</w:t>
      </w:r>
    </w:p>
    <w:p w14:paraId="36C61E55" w14:textId="66490CBF" w:rsidR="00A70172" w:rsidRPr="00A70172" w:rsidRDefault="00A70172" w:rsidP="00A70172">
      <w:pPr>
        <w:rPr>
          <w:sz w:val="20"/>
        </w:rPr>
      </w:pPr>
    </w:p>
    <w:sectPr w:rsidR="00A70172" w:rsidRPr="00A70172" w:rsidSect="007B552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AE5DE" w14:textId="77777777" w:rsidR="002A2A89" w:rsidRDefault="002A2A89" w:rsidP="004E6C45">
      <w:pPr>
        <w:spacing w:after="0" w:line="240" w:lineRule="auto"/>
      </w:pPr>
      <w:r>
        <w:separator/>
      </w:r>
    </w:p>
  </w:endnote>
  <w:endnote w:type="continuationSeparator" w:id="0">
    <w:p w14:paraId="53BFEF2F" w14:textId="77777777" w:rsidR="002A2A89" w:rsidRDefault="002A2A89" w:rsidP="004E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2035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CC82AF" w14:textId="5A1DCD32" w:rsidR="00F35B5B" w:rsidRDefault="00F35B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F1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090F31E" w14:textId="77777777" w:rsidR="00F35B5B" w:rsidRDefault="00F35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C6E2F" w14:textId="77777777" w:rsidR="002A2A89" w:rsidRDefault="002A2A89" w:rsidP="004E6C45">
      <w:pPr>
        <w:spacing w:after="0" w:line="240" w:lineRule="auto"/>
      </w:pPr>
      <w:r>
        <w:separator/>
      </w:r>
    </w:p>
  </w:footnote>
  <w:footnote w:type="continuationSeparator" w:id="0">
    <w:p w14:paraId="10C67911" w14:textId="77777777" w:rsidR="002A2A89" w:rsidRDefault="002A2A89" w:rsidP="004E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ECD69" w14:textId="0524355F" w:rsidR="00F35B5B" w:rsidRDefault="00F35B5B" w:rsidP="004E2655">
    <w:pPr>
      <w:pStyle w:val="Header"/>
      <w:ind w:right="110"/>
      <w:jc w:val="right"/>
    </w:pPr>
    <w:r>
      <w:t>Property Mini-Outline</w:t>
    </w:r>
  </w:p>
  <w:p w14:paraId="2E1A2D8B" w14:textId="77777777" w:rsidR="00F35B5B" w:rsidRDefault="00F35B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5897"/>
    <w:multiLevelType w:val="hybridMultilevel"/>
    <w:tmpl w:val="2AAA4164"/>
    <w:lvl w:ilvl="0" w:tplc="F64093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5B0B5BC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C9FEA040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 w:tplc="09C2A616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70D5"/>
    <w:multiLevelType w:val="hybridMultilevel"/>
    <w:tmpl w:val="848EC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32307"/>
    <w:multiLevelType w:val="hybridMultilevel"/>
    <w:tmpl w:val="EC96EC1A"/>
    <w:lvl w:ilvl="0" w:tplc="55B0B5BC">
      <w:start w:val="1"/>
      <w:numFmt w:val="lowerLetter"/>
      <w:lvlText w:val="%1."/>
      <w:lvlJc w:val="left"/>
      <w:pPr>
        <w:ind w:left="36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C095F06"/>
    <w:multiLevelType w:val="hybridMultilevel"/>
    <w:tmpl w:val="AD260462"/>
    <w:lvl w:ilvl="0" w:tplc="6F44F99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A00211A8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85054"/>
    <w:multiLevelType w:val="hybridMultilevel"/>
    <w:tmpl w:val="4A32B488"/>
    <w:lvl w:ilvl="0" w:tplc="52BED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9204181E">
      <w:start w:val="1"/>
      <w:numFmt w:val="lowerLetter"/>
      <w:lvlText w:val="%2."/>
      <w:lvlJc w:val="left"/>
      <w:pPr>
        <w:ind w:left="1440" w:hanging="360"/>
      </w:pPr>
      <w:rPr>
        <w:b w:val="0"/>
        <w:sz w:val="20"/>
      </w:rPr>
    </w:lvl>
    <w:lvl w:ilvl="2" w:tplc="E7400F0C">
      <w:start w:val="1"/>
      <w:numFmt w:val="lowerRoman"/>
      <w:lvlText w:val="%3."/>
      <w:lvlJc w:val="right"/>
      <w:pPr>
        <w:ind w:left="2160" w:hanging="180"/>
      </w:pPr>
      <w:rPr>
        <w:b w:val="0"/>
        <w:sz w:val="20"/>
      </w:rPr>
    </w:lvl>
    <w:lvl w:ilvl="3" w:tplc="3A38E2F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3DD2144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71769"/>
    <w:multiLevelType w:val="hybridMultilevel"/>
    <w:tmpl w:val="2AAA4164"/>
    <w:lvl w:ilvl="0" w:tplc="F64093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5B0B5BC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C9FEA040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 w:tplc="09C2A616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A7DEE"/>
    <w:multiLevelType w:val="hybridMultilevel"/>
    <w:tmpl w:val="AD260462"/>
    <w:lvl w:ilvl="0" w:tplc="6F44F99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A00211A8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C90"/>
    <w:multiLevelType w:val="hybridMultilevel"/>
    <w:tmpl w:val="AD260462"/>
    <w:lvl w:ilvl="0" w:tplc="6F44F99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A00211A8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568C7"/>
    <w:multiLevelType w:val="hybridMultilevel"/>
    <w:tmpl w:val="E5EE6E88"/>
    <w:lvl w:ilvl="0" w:tplc="F79E1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A00211A8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8912F870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A087E"/>
    <w:multiLevelType w:val="hybridMultilevel"/>
    <w:tmpl w:val="AD260462"/>
    <w:lvl w:ilvl="0" w:tplc="6F44F99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A00211A8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F2DF2"/>
    <w:multiLevelType w:val="hybridMultilevel"/>
    <w:tmpl w:val="2AAA4164"/>
    <w:lvl w:ilvl="0" w:tplc="F64093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5B0B5BC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C9FEA040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 w:tplc="09C2A616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E7EA7"/>
    <w:multiLevelType w:val="hybridMultilevel"/>
    <w:tmpl w:val="AD260462"/>
    <w:lvl w:ilvl="0" w:tplc="6F44F99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A00211A8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17D1D"/>
    <w:multiLevelType w:val="hybridMultilevel"/>
    <w:tmpl w:val="1960E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62B06"/>
    <w:multiLevelType w:val="hybridMultilevel"/>
    <w:tmpl w:val="2AAA4164"/>
    <w:lvl w:ilvl="0" w:tplc="F64093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5B0B5BC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C9FEA040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 w:tplc="09C2A616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64298"/>
    <w:multiLevelType w:val="hybridMultilevel"/>
    <w:tmpl w:val="BAA4A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210D5"/>
    <w:multiLevelType w:val="hybridMultilevel"/>
    <w:tmpl w:val="59406938"/>
    <w:lvl w:ilvl="0" w:tplc="6F44F99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A00211A8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25E89C6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309AB"/>
    <w:multiLevelType w:val="hybridMultilevel"/>
    <w:tmpl w:val="2AAA4164"/>
    <w:lvl w:ilvl="0" w:tplc="F64093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5B0B5BC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C9FEA040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 w:tplc="09C2A616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26D5E"/>
    <w:multiLevelType w:val="hybridMultilevel"/>
    <w:tmpl w:val="2AAA4164"/>
    <w:lvl w:ilvl="0" w:tplc="F64093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5B0B5BC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C9FEA040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 w:tplc="09C2A616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65CE3"/>
    <w:multiLevelType w:val="hybridMultilevel"/>
    <w:tmpl w:val="4A32B488"/>
    <w:lvl w:ilvl="0" w:tplc="52BED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9204181E">
      <w:start w:val="1"/>
      <w:numFmt w:val="lowerLetter"/>
      <w:lvlText w:val="%2."/>
      <w:lvlJc w:val="left"/>
      <w:pPr>
        <w:ind w:left="1440" w:hanging="360"/>
      </w:pPr>
      <w:rPr>
        <w:b w:val="0"/>
        <w:sz w:val="20"/>
      </w:rPr>
    </w:lvl>
    <w:lvl w:ilvl="2" w:tplc="E7400F0C">
      <w:start w:val="1"/>
      <w:numFmt w:val="lowerRoman"/>
      <w:lvlText w:val="%3."/>
      <w:lvlJc w:val="right"/>
      <w:pPr>
        <w:ind w:left="2160" w:hanging="180"/>
      </w:pPr>
      <w:rPr>
        <w:b w:val="0"/>
        <w:sz w:val="20"/>
      </w:rPr>
    </w:lvl>
    <w:lvl w:ilvl="3" w:tplc="3A38E2F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3DD2144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17F0C"/>
    <w:multiLevelType w:val="hybridMultilevel"/>
    <w:tmpl w:val="F1D8A126"/>
    <w:lvl w:ilvl="0" w:tplc="C6288FB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766D5"/>
    <w:multiLevelType w:val="hybridMultilevel"/>
    <w:tmpl w:val="53E29082"/>
    <w:lvl w:ilvl="0" w:tplc="6F44F99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A00211A8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3BAED16A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C72D9"/>
    <w:multiLevelType w:val="hybridMultilevel"/>
    <w:tmpl w:val="4A32B488"/>
    <w:lvl w:ilvl="0" w:tplc="52BED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9204181E">
      <w:start w:val="1"/>
      <w:numFmt w:val="lowerLetter"/>
      <w:lvlText w:val="%2."/>
      <w:lvlJc w:val="left"/>
      <w:pPr>
        <w:ind w:left="1440" w:hanging="360"/>
      </w:pPr>
      <w:rPr>
        <w:b w:val="0"/>
        <w:sz w:val="20"/>
      </w:rPr>
    </w:lvl>
    <w:lvl w:ilvl="2" w:tplc="E7400F0C">
      <w:start w:val="1"/>
      <w:numFmt w:val="lowerRoman"/>
      <w:lvlText w:val="%3."/>
      <w:lvlJc w:val="right"/>
      <w:pPr>
        <w:ind w:left="2160" w:hanging="180"/>
      </w:pPr>
      <w:rPr>
        <w:b w:val="0"/>
        <w:sz w:val="20"/>
      </w:rPr>
    </w:lvl>
    <w:lvl w:ilvl="3" w:tplc="3A38E2F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3DD2144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5570B"/>
    <w:multiLevelType w:val="hybridMultilevel"/>
    <w:tmpl w:val="4A32B488"/>
    <w:lvl w:ilvl="0" w:tplc="52BED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9204181E">
      <w:start w:val="1"/>
      <w:numFmt w:val="lowerLetter"/>
      <w:lvlText w:val="%2."/>
      <w:lvlJc w:val="left"/>
      <w:pPr>
        <w:ind w:left="1440" w:hanging="360"/>
      </w:pPr>
      <w:rPr>
        <w:b w:val="0"/>
        <w:sz w:val="20"/>
      </w:rPr>
    </w:lvl>
    <w:lvl w:ilvl="2" w:tplc="E7400F0C">
      <w:start w:val="1"/>
      <w:numFmt w:val="lowerRoman"/>
      <w:lvlText w:val="%3."/>
      <w:lvlJc w:val="right"/>
      <w:pPr>
        <w:ind w:left="2160" w:hanging="180"/>
      </w:pPr>
      <w:rPr>
        <w:b w:val="0"/>
        <w:sz w:val="20"/>
      </w:rPr>
    </w:lvl>
    <w:lvl w:ilvl="3" w:tplc="3A38E2F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3DD2144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43A60"/>
    <w:multiLevelType w:val="hybridMultilevel"/>
    <w:tmpl w:val="CE121982"/>
    <w:lvl w:ilvl="0" w:tplc="11786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B2F7B"/>
    <w:multiLevelType w:val="hybridMultilevel"/>
    <w:tmpl w:val="AD260462"/>
    <w:lvl w:ilvl="0" w:tplc="6F44F99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A00211A8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4279F"/>
    <w:multiLevelType w:val="hybridMultilevel"/>
    <w:tmpl w:val="AD260462"/>
    <w:lvl w:ilvl="0" w:tplc="6F44F99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A00211A8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A25E1"/>
    <w:multiLevelType w:val="hybridMultilevel"/>
    <w:tmpl w:val="2B5CCA04"/>
    <w:lvl w:ilvl="0" w:tplc="B0AAF7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A00211A8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A1851"/>
    <w:multiLevelType w:val="hybridMultilevel"/>
    <w:tmpl w:val="AD260462"/>
    <w:lvl w:ilvl="0" w:tplc="6F44F99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A00211A8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BA1ACA"/>
    <w:multiLevelType w:val="hybridMultilevel"/>
    <w:tmpl w:val="2AAA4164"/>
    <w:lvl w:ilvl="0" w:tplc="F64093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5B0B5BC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C9FEA040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 w:tplc="09C2A616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A53403"/>
    <w:multiLevelType w:val="hybridMultilevel"/>
    <w:tmpl w:val="AD260462"/>
    <w:lvl w:ilvl="0" w:tplc="6F44F99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A00211A8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B516CB"/>
    <w:multiLevelType w:val="hybridMultilevel"/>
    <w:tmpl w:val="2AAA4164"/>
    <w:lvl w:ilvl="0" w:tplc="F64093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5B0B5BC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C9FEA040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 w:tplc="09C2A616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415B44"/>
    <w:multiLevelType w:val="hybridMultilevel"/>
    <w:tmpl w:val="79543150"/>
    <w:lvl w:ilvl="0" w:tplc="163AF3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BC648F"/>
    <w:multiLevelType w:val="hybridMultilevel"/>
    <w:tmpl w:val="2AAA4164"/>
    <w:lvl w:ilvl="0" w:tplc="F64093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5B0B5BC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C9FEA040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 w:tplc="09C2A616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66591"/>
    <w:multiLevelType w:val="hybridMultilevel"/>
    <w:tmpl w:val="AD260462"/>
    <w:lvl w:ilvl="0" w:tplc="6F44F99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A00211A8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A24C1"/>
    <w:multiLevelType w:val="hybridMultilevel"/>
    <w:tmpl w:val="8F0E89C0"/>
    <w:lvl w:ilvl="0" w:tplc="F8C43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044D0"/>
    <w:multiLevelType w:val="hybridMultilevel"/>
    <w:tmpl w:val="FA2E6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B0B5BC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C9FEA040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 w:tplc="09C2A616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F1E06"/>
    <w:multiLevelType w:val="hybridMultilevel"/>
    <w:tmpl w:val="9C504292"/>
    <w:lvl w:ilvl="0" w:tplc="ED6CF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204181E">
      <w:start w:val="1"/>
      <w:numFmt w:val="lowerLetter"/>
      <w:lvlText w:val="%2."/>
      <w:lvlJc w:val="left"/>
      <w:pPr>
        <w:ind w:left="1440" w:hanging="360"/>
      </w:pPr>
      <w:rPr>
        <w:b w:val="0"/>
        <w:sz w:val="20"/>
      </w:rPr>
    </w:lvl>
    <w:lvl w:ilvl="2" w:tplc="E7400F0C">
      <w:start w:val="1"/>
      <w:numFmt w:val="lowerRoman"/>
      <w:lvlText w:val="%3."/>
      <w:lvlJc w:val="right"/>
      <w:pPr>
        <w:ind w:left="2160" w:hanging="180"/>
      </w:pPr>
      <w:rPr>
        <w:b w:val="0"/>
        <w:sz w:val="20"/>
      </w:rPr>
    </w:lvl>
    <w:lvl w:ilvl="3" w:tplc="3A38E2F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3DD2144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86B8B"/>
    <w:multiLevelType w:val="hybridMultilevel"/>
    <w:tmpl w:val="F1E0C40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121E82"/>
    <w:multiLevelType w:val="hybridMultilevel"/>
    <w:tmpl w:val="AD260462"/>
    <w:lvl w:ilvl="0" w:tplc="6F44F99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A00211A8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013DD1"/>
    <w:multiLevelType w:val="hybridMultilevel"/>
    <w:tmpl w:val="AD260462"/>
    <w:lvl w:ilvl="0" w:tplc="6F44F99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A00211A8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3310AE"/>
    <w:multiLevelType w:val="hybridMultilevel"/>
    <w:tmpl w:val="DB70E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0"/>
  </w:num>
  <w:num w:numId="3">
    <w:abstractNumId w:val="34"/>
  </w:num>
  <w:num w:numId="4">
    <w:abstractNumId w:val="35"/>
  </w:num>
  <w:num w:numId="5">
    <w:abstractNumId w:val="12"/>
  </w:num>
  <w:num w:numId="6">
    <w:abstractNumId w:val="23"/>
  </w:num>
  <w:num w:numId="7">
    <w:abstractNumId w:val="1"/>
  </w:num>
  <w:num w:numId="8">
    <w:abstractNumId w:val="14"/>
  </w:num>
  <w:num w:numId="9">
    <w:abstractNumId w:val="31"/>
  </w:num>
  <w:num w:numId="10">
    <w:abstractNumId w:val="19"/>
  </w:num>
  <w:num w:numId="11">
    <w:abstractNumId w:val="8"/>
  </w:num>
  <w:num w:numId="12">
    <w:abstractNumId w:val="20"/>
  </w:num>
  <w:num w:numId="13">
    <w:abstractNumId w:val="26"/>
  </w:num>
  <w:num w:numId="14">
    <w:abstractNumId w:val="27"/>
  </w:num>
  <w:num w:numId="15">
    <w:abstractNumId w:val="24"/>
  </w:num>
  <w:num w:numId="16">
    <w:abstractNumId w:val="9"/>
  </w:num>
  <w:num w:numId="17">
    <w:abstractNumId w:val="15"/>
  </w:num>
  <w:num w:numId="18">
    <w:abstractNumId w:val="37"/>
  </w:num>
  <w:num w:numId="19">
    <w:abstractNumId w:val="3"/>
  </w:num>
  <w:num w:numId="20">
    <w:abstractNumId w:val="17"/>
  </w:num>
  <w:num w:numId="21">
    <w:abstractNumId w:val="13"/>
  </w:num>
  <w:num w:numId="22">
    <w:abstractNumId w:val="2"/>
  </w:num>
  <w:num w:numId="23">
    <w:abstractNumId w:val="30"/>
  </w:num>
  <w:num w:numId="24">
    <w:abstractNumId w:val="10"/>
  </w:num>
  <w:num w:numId="25">
    <w:abstractNumId w:val="16"/>
  </w:num>
  <w:num w:numId="26">
    <w:abstractNumId w:val="28"/>
  </w:num>
  <w:num w:numId="27">
    <w:abstractNumId w:val="0"/>
  </w:num>
  <w:num w:numId="28">
    <w:abstractNumId w:val="32"/>
  </w:num>
  <w:num w:numId="29">
    <w:abstractNumId w:val="5"/>
  </w:num>
  <w:num w:numId="30">
    <w:abstractNumId w:val="22"/>
  </w:num>
  <w:num w:numId="31">
    <w:abstractNumId w:val="21"/>
  </w:num>
  <w:num w:numId="32">
    <w:abstractNumId w:val="18"/>
  </w:num>
  <w:num w:numId="33">
    <w:abstractNumId w:val="4"/>
  </w:num>
  <w:num w:numId="34">
    <w:abstractNumId w:val="39"/>
  </w:num>
  <w:num w:numId="35">
    <w:abstractNumId w:val="38"/>
  </w:num>
  <w:num w:numId="36">
    <w:abstractNumId w:val="11"/>
  </w:num>
  <w:num w:numId="37">
    <w:abstractNumId w:val="29"/>
  </w:num>
  <w:num w:numId="38">
    <w:abstractNumId w:val="25"/>
  </w:num>
  <w:num w:numId="39">
    <w:abstractNumId w:val="6"/>
  </w:num>
  <w:num w:numId="40">
    <w:abstractNumId w:val="33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23"/>
    <w:rsid w:val="00002344"/>
    <w:rsid w:val="000027B5"/>
    <w:rsid w:val="00022760"/>
    <w:rsid w:val="00026809"/>
    <w:rsid w:val="00030BEB"/>
    <w:rsid w:val="000419C8"/>
    <w:rsid w:val="00042840"/>
    <w:rsid w:val="00045817"/>
    <w:rsid w:val="00052B7A"/>
    <w:rsid w:val="000554FD"/>
    <w:rsid w:val="000558A1"/>
    <w:rsid w:val="0006029C"/>
    <w:rsid w:val="0006279D"/>
    <w:rsid w:val="00067A01"/>
    <w:rsid w:val="000805F1"/>
    <w:rsid w:val="00080E82"/>
    <w:rsid w:val="00090332"/>
    <w:rsid w:val="00091A57"/>
    <w:rsid w:val="0009326C"/>
    <w:rsid w:val="0009548B"/>
    <w:rsid w:val="00096DDD"/>
    <w:rsid w:val="000B154F"/>
    <w:rsid w:val="000B42E6"/>
    <w:rsid w:val="000B5B03"/>
    <w:rsid w:val="000C08E7"/>
    <w:rsid w:val="000C32F0"/>
    <w:rsid w:val="000C3FAC"/>
    <w:rsid w:val="000C5602"/>
    <w:rsid w:val="000C6652"/>
    <w:rsid w:val="000D0013"/>
    <w:rsid w:val="000D1FBC"/>
    <w:rsid w:val="000D748B"/>
    <w:rsid w:val="000E12AF"/>
    <w:rsid w:val="000E2A78"/>
    <w:rsid w:val="000E375C"/>
    <w:rsid w:val="000E38DB"/>
    <w:rsid w:val="000E39D8"/>
    <w:rsid w:val="000E4CA8"/>
    <w:rsid w:val="000E55C6"/>
    <w:rsid w:val="000E6F86"/>
    <w:rsid w:val="000F6CE2"/>
    <w:rsid w:val="000F6EB1"/>
    <w:rsid w:val="000F724E"/>
    <w:rsid w:val="000F7527"/>
    <w:rsid w:val="001018CE"/>
    <w:rsid w:val="00102829"/>
    <w:rsid w:val="00104CB7"/>
    <w:rsid w:val="001210CA"/>
    <w:rsid w:val="00127B68"/>
    <w:rsid w:val="001303C2"/>
    <w:rsid w:val="00141718"/>
    <w:rsid w:val="00141913"/>
    <w:rsid w:val="00145D1D"/>
    <w:rsid w:val="00147582"/>
    <w:rsid w:val="00150E5C"/>
    <w:rsid w:val="00151766"/>
    <w:rsid w:val="00151A3F"/>
    <w:rsid w:val="001607C7"/>
    <w:rsid w:val="00170C48"/>
    <w:rsid w:val="001801A7"/>
    <w:rsid w:val="0018043C"/>
    <w:rsid w:val="00180CD1"/>
    <w:rsid w:val="001829F6"/>
    <w:rsid w:val="00184ABA"/>
    <w:rsid w:val="001867DB"/>
    <w:rsid w:val="001919EE"/>
    <w:rsid w:val="00193A0D"/>
    <w:rsid w:val="00195D40"/>
    <w:rsid w:val="00195F9B"/>
    <w:rsid w:val="001A2DF7"/>
    <w:rsid w:val="001A6071"/>
    <w:rsid w:val="001A656F"/>
    <w:rsid w:val="001B04B3"/>
    <w:rsid w:val="001B5F3B"/>
    <w:rsid w:val="001C2EE2"/>
    <w:rsid w:val="001C457B"/>
    <w:rsid w:val="001C512B"/>
    <w:rsid w:val="001D47D5"/>
    <w:rsid w:val="001D670C"/>
    <w:rsid w:val="001D68A3"/>
    <w:rsid w:val="001D76BA"/>
    <w:rsid w:val="001E06C4"/>
    <w:rsid w:val="001E691B"/>
    <w:rsid w:val="001F2214"/>
    <w:rsid w:val="001F3B6D"/>
    <w:rsid w:val="001F5B14"/>
    <w:rsid w:val="00204817"/>
    <w:rsid w:val="00206309"/>
    <w:rsid w:val="00207E46"/>
    <w:rsid w:val="00213182"/>
    <w:rsid w:val="00216778"/>
    <w:rsid w:val="00217021"/>
    <w:rsid w:val="00220AE9"/>
    <w:rsid w:val="0022229F"/>
    <w:rsid w:val="00232CBA"/>
    <w:rsid w:val="00237244"/>
    <w:rsid w:val="00241BFE"/>
    <w:rsid w:val="0024343E"/>
    <w:rsid w:val="00243EFE"/>
    <w:rsid w:val="00245824"/>
    <w:rsid w:val="00255623"/>
    <w:rsid w:val="00257FA0"/>
    <w:rsid w:val="0026608E"/>
    <w:rsid w:val="00267752"/>
    <w:rsid w:val="0027056C"/>
    <w:rsid w:val="002775B9"/>
    <w:rsid w:val="002834E3"/>
    <w:rsid w:val="00285E9E"/>
    <w:rsid w:val="00287167"/>
    <w:rsid w:val="002908B2"/>
    <w:rsid w:val="0029304C"/>
    <w:rsid w:val="00294DDA"/>
    <w:rsid w:val="00296CAD"/>
    <w:rsid w:val="002A2A89"/>
    <w:rsid w:val="002A4A22"/>
    <w:rsid w:val="002A55A7"/>
    <w:rsid w:val="002A7BCC"/>
    <w:rsid w:val="002B1FA1"/>
    <w:rsid w:val="002B76F5"/>
    <w:rsid w:val="002C1BE7"/>
    <w:rsid w:val="002C2152"/>
    <w:rsid w:val="002C2F7E"/>
    <w:rsid w:val="002C3468"/>
    <w:rsid w:val="002C49EB"/>
    <w:rsid w:val="002D1FC6"/>
    <w:rsid w:val="002D2B2D"/>
    <w:rsid w:val="002F4F0F"/>
    <w:rsid w:val="002F51C9"/>
    <w:rsid w:val="00304103"/>
    <w:rsid w:val="003050E3"/>
    <w:rsid w:val="00317D22"/>
    <w:rsid w:val="00321033"/>
    <w:rsid w:val="003215B0"/>
    <w:rsid w:val="003313F7"/>
    <w:rsid w:val="003320A9"/>
    <w:rsid w:val="00333281"/>
    <w:rsid w:val="0033713A"/>
    <w:rsid w:val="0033774B"/>
    <w:rsid w:val="00337A73"/>
    <w:rsid w:val="00340AC5"/>
    <w:rsid w:val="00344559"/>
    <w:rsid w:val="00351701"/>
    <w:rsid w:val="00356049"/>
    <w:rsid w:val="003571B6"/>
    <w:rsid w:val="00360022"/>
    <w:rsid w:val="00364AD4"/>
    <w:rsid w:val="0036528A"/>
    <w:rsid w:val="003709C2"/>
    <w:rsid w:val="00372566"/>
    <w:rsid w:val="0038139C"/>
    <w:rsid w:val="0038243A"/>
    <w:rsid w:val="003841A6"/>
    <w:rsid w:val="00385668"/>
    <w:rsid w:val="00387205"/>
    <w:rsid w:val="00391957"/>
    <w:rsid w:val="00392198"/>
    <w:rsid w:val="00392B7A"/>
    <w:rsid w:val="00397376"/>
    <w:rsid w:val="003A1174"/>
    <w:rsid w:val="003A4F8F"/>
    <w:rsid w:val="003A54DE"/>
    <w:rsid w:val="003A63C4"/>
    <w:rsid w:val="003A72D0"/>
    <w:rsid w:val="003B2709"/>
    <w:rsid w:val="003B3F01"/>
    <w:rsid w:val="003B585A"/>
    <w:rsid w:val="003B6352"/>
    <w:rsid w:val="003C5914"/>
    <w:rsid w:val="003C637B"/>
    <w:rsid w:val="003D10AE"/>
    <w:rsid w:val="003D1945"/>
    <w:rsid w:val="003D44DA"/>
    <w:rsid w:val="003D662F"/>
    <w:rsid w:val="003E5980"/>
    <w:rsid w:val="003F302F"/>
    <w:rsid w:val="003F7B4A"/>
    <w:rsid w:val="00407F09"/>
    <w:rsid w:val="00410131"/>
    <w:rsid w:val="0041783E"/>
    <w:rsid w:val="0042046D"/>
    <w:rsid w:val="004216A8"/>
    <w:rsid w:val="004219BD"/>
    <w:rsid w:val="00425155"/>
    <w:rsid w:val="00433771"/>
    <w:rsid w:val="00435180"/>
    <w:rsid w:val="004353F1"/>
    <w:rsid w:val="00437021"/>
    <w:rsid w:val="00440F1C"/>
    <w:rsid w:val="00441E63"/>
    <w:rsid w:val="00442FA0"/>
    <w:rsid w:val="00453982"/>
    <w:rsid w:val="00455AD8"/>
    <w:rsid w:val="0047003A"/>
    <w:rsid w:val="0047537B"/>
    <w:rsid w:val="00480BC9"/>
    <w:rsid w:val="00497699"/>
    <w:rsid w:val="004A1D21"/>
    <w:rsid w:val="004A5EA5"/>
    <w:rsid w:val="004A647C"/>
    <w:rsid w:val="004B2F66"/>
    <w:rsid w:val="004B3C29"/>
    <w:rsid w:val="004B6648"/>
    <w:rsid w:val="004B778B"/>
    <w:rsid w:val="004C2C58"/>
    <w:rsid w:val="004C5541"/>
    <w:rsid w:val="004C7931"/>
    <w:rsid w:val="004D1C51"/>
    <w:rsid w:val="004E2655"/>
    <w:rsid w:val="004E6655"/>
    <w:rsid w:val="004E6C45"/>
    <w:rsid w:val="004F1661"/>
    <w:rsid w:val="004F44BE"/>
    <w:rsid w:val="00500676"/>
    <w:rsid w:val="00505123"/>
    <w:rsid w:val="0050520C"/>
    <w:rsid w:val="00512498"/>
    <w:rsid w:val="00523184"/>
    <w:rsid w:val="005236B6"/>
    <w:rsid w:val="005257DE"/>
    <w:rsid w:val="005266BC"/>
    <w:rsid w:val="00527B77"/>
    <w:rsid w:val="00527B95"/>
    <w:rsid w:val="00531E8A"/>
    <w:rsid w:val="00532120"/>
    <w:rsid w:val="00537EF3"/>
    <w:rsid w:val="00542D4E"/>
    <w:rsid w:val="0054381B"/>
    <w:rsid w:val="005478A6"/>
    <w:rsid w:val="00550B1C"/>
    <w:rsid w:val="00552EF4"/>
    <w:rsid w:val="00554DC4"/>
    <w:rsid w:val="00557DE2"/>
    <w:rsid w:val="005658A0"/>
    <w:rsid w:val="00575E6F"/>
    <w:rsid w:val="0057642D"/>
    <w:rsid w:val="00587CD4"/>
    <w:rsid w:val="005908B8"/>
    <w:rsid w:val="005910DC"/>
    <w:rsid w:val="00594646"/>
    <w:rsid w:val="0059673B"/>
    <w:rsid w:val="005A3737"/>
    <w:rsid w:val="005A5437"/>
    <w:rsid w:val="005A5CC3"/>
    <w:rsid w:val="005B15BB"/>
    <w:rsid w:val="005B6F76"/>
    <w:rsid w:val="005C03A4"/>
    <w:rsid w:val="005C1A0F"/>
    <w:rsid w:val="005D240D"/>
    <w:rsid w:val="005D3DBB"/>
    <w:rsid w:val="005D4E56"/>
    <w:rsid w:val="005E0BC7"/>
    <w:rsid w:val="005E3E75"/>
    <w:rsid w:val="005E6BD3"/>
    <w:rsid w:val="005F06EC"/>
    <w:rsid w:val="005F1D26"/>
    <w:rsid w:val="005F6828"/>
    <w:rsid w:val="005F6894"/>
    <w:rsid w:val="005F68E6"/>
    <w:rsid w:val="005F7821"/>
    <w:rsid w:val="00602CC1"/>
    <w:rsid w:val="00603F2A"/>
    <w:rsid w:val="0060762E"/>
    <w:rsid w:val="006113B8"/>
    <w:rsid w:val="00611ECA"/>
    <w:rsid w:val="00612C91"/>
    <w:rsid w:val="00613D1C"/>
    <w:rsid w:val="00615D70"/>
    <w:rsid w:val="00620956"/>
    <w:rsid w:val="00625AD3"/>
    <w:rsid w:val="00634F75"/>
    <w:rsid w:val="006423A8"/>
    <w:rsid w:val="006455E0"/>
    <w:rsid w:val="00645DF9"/>
    <w:rsid w:val="0064756B"/>
    <w:rsid w:val="00672051"/>
    <w:rsid w:val="00684F51"/>
    <w:rsid w:val="006A48C5"/>
    <w:rsid w:val="006A764D"/>
    <w:rsid w:val="006B6B81"/>
    <w:rsid w:val="006C1962"/>
    <w:rsid w:val="006C4DD2"/>
    <w:rsid w:val="006C5752"/>
    <w:rsid w:val="006C7490"/>
    <w:rsid w:val="006D030A"/>
    <w:rsid w:val="006D2005"/>
    <w:rsid w:val="006D67E8"/>
    <w:rsid w:val="006D7943"/>
    <w:rsid w:val="006E2850"/>
    <w:rsid w:val="006E453E"/>
    <w:rsid w:val="006E7BBF"/>
    <w:rsid w:val="00700110"/>
    <w:rsid w:val="00702857"/>
    <w:rsid w:val="00702F19"/>
    <w:rsid w:val="00703963"/>
    <w:rsid w:val="00703ACC"/>
    <w:rsid w:val="007042B5"/>
    <w:rsid w:val="00712397"/>
    <w:rsid w:val="00715617"/>
    <w:rsid w:val="007158EA"/>
    <w:rsid w:val="007164A5"/>
    <w:rsid w:val="00722DB5"/>
    <w:rsid w:val="00725FC6"/>
    <w:rsid w:val="00726E12"/>
    <w:rsid w:val="00731E45"/>
    <w:rsid w:val="00735C42"/>
    <w:rsid w:val="007375D8"/>
    <w:rsid w:val="00737699"/>
    <w:rsid w:val="00740451"/>
    <w:rsid w:val="0075324F"/>
    <w:rsid w:val="00754E25"/>
    <w:rsid w:val="00755B89"/>
    <w:rsid w:val="00755E34"/>
    <w:rsid w:val="00760774"/>
    <w:rsid w:val="00765E1F"/>
    <w:rsid w:val="00765F9F"/>
    <w:rsid w:val="00766476"/>
    <w:rsid w:val="007668DC"/>
    <w:rsid w:val="00770C69"/>
    <w:rsid w:val="00771CAC"/>
    <w:rsid w:val="00772DC3"/>
    <w:rsid w:val="00776A85"/>
    <w:rsid w:val="007823B6"/>
    <w:rsid w:val="00784F5D"/>
    <w:rsid w:val="00794E72"/>
    <w:rsid w:val="007B08E2"/>
    <w:rsid w:val="007B1DAC"/>
    <w:rsid w:val="007B5520"/>
    <w:rsid w:val="007C1E5D"/>
    <w:rsid w:val="007D0BA0"/>
    <w:rsid w:val="007D0D43"/>
    <w:rsid w:val="007D1D9A"/>
    <w:rsid w:val="007E0B0D"/>
    <w:rsid w:val="007E0B1D"/>
    <w:rsid w:val="007E18BA"/>
    <w:rsid w:val="007E27EF"/>
    <w:rsid w:val="007E6024"/>
    <w:rsid w:val="007E6AE1"/>
    <w:rsid w:val="007F079A"/>
    <w:rsid w:val="007F130D"/>
    <w:rsid w:val="007F165E"/>
    <w:rsid w:val="007F1C46"/>
    <w:rsid w:val="007F20AE"/>
    <w:rsid w:val="007F3361"/>
    <w:rsid w:val="007F6C85"/>
    <w:rsid w:val="007F7409"/>
    <w:rsid w:val="008002D9"/>
    <w:rsid w:val="008012F9"/>
    <w:rsid w:val="0080651D"/>
    <w:rsid w:val="00807E78"/>
    <w:rsid w:val="00810206"/>
    <w:rsid w:val="0081198C"/>
    <w:rsid w:val="00816C9D"/>
    <w:rsid w:val="008211D9"/>
    <w:rsid w:val="0082672C"/>
    <w:rsid w:val="00831556"/>
    <w:rsid w:val="008342C5"/>
    <w:rsid w:val="008367FE"/>
    <w:rsid w:val="00842CC1"/>
    <w:rsid w:val="00845B27"/>
    <w:rsid w:val="0085160E"/>
    <w:rsid w:val="0085170E"/>
    <w:rsid w:val="00854E61"/>
    <w:rsid w:val="0085596C"/>
    <w:rsid w:val="00860F5F"/>
    <w:rsid w:val="00864424"/>
    <w:rsid w:val="00871130"/>
    <w:rsid w:val="00872607"/>
    <w:rsid w:val="008738B2"/>
    <w:rsid w:val="008849A1"/>
    <w:rsid w:val="00892722"/>
    <w:rsid w:val="00892B17"/>
    <w:rsid w:val="00894108"/>
    <w:rsid w:val="00894625"/>
    <w:rsid w:val="008953F6"/>
    <w:rsid w:val="008959B6"/>
    <w:rsid w:val="00896B1C"/>
    <w:rsid w:val="008A0AAB"/>
    <w:rsid w:val="008A324E"/>
    <w:rsid w:val="008A74AB"/>
    <w:rsid w:val="008B20CF"/>
    <w:rsid w:val="008B23EA"/>
    <w:rsid w:val="008B4ABF"/>
    <w:rsid w:val="008B5504"/>
    <w:rsid w:val="008B5FA3"/>
    <w:rsid w:val="008B6D74"/>
    <w:rsid w:val="008C206A"/>
    <w:rsid w:val="008C5A7D"/>
    <w:rsid w:val="008C5C61"/>
    <w:rsid w:val="008D25F4"/>
    <w:rsid w:val="008D40E3"/>
    <w:rsid w:val="008D7CCD"/>
    <w:rsid w:val="008E5605"/>
    <w:rsid w:val="008E7E48"/>
    <w:rsid w:val="008F3F0F"/>
    <w:rsid w:val="008F5F55"/>
    <w:rsid w:val="008F6187"/>
    <w:rsid w:val="008F6D52"/>
    <w:rsid w:val="00903AAC"/>
    <w:rsid w:val="009126D4"/>
    <w:rsid w:val="00914B47"/>
    <w:rsid w:val="00915709"/>
    <w:rsid w:val="0091586B"/>
    <w:rsid w:val="00917BFF"/>
    <w:rsid w:val="00922A12"/>
    <w:rsid w:val="00924276"/>
    <w:rsid w:val="009301C4"/>
    <w:rsid w:val="00936C24"/>
    <w:rsid w:val="00943CC5"/>
    <w:rsid w:val="009457E7"/>
    <w:rsid w:val="00945AE0"/>
    <w:rsid w:val="009509B0"/>
    <w:rsid w:val="00953A7C"/>
    <w:rsid w:val="009570F3"/>
    <w:rsid w:val="009600ED"/>
    <w:rsid w:val="00961040"/>
    <w:rsid w:val="00973987"/>
    <w:rsid w:val="00980842"/>
    <w:rsid w:val="00987DCA"/>
    <w:rsid w:val="009A2D37"/>
    <w:rsid w:val="009A49C9"/>
    <w:rsid w:val="009A64A3"/>
    <w:rsid w:val="009A6B9D"/>
    <w:rsid w:val="009B44CC"/>
    <w:rsid w:val="009B5459"/>
    <w:rsid w:val="009B62B3"/>
    <w:rsid w:val="009B6BCC"/>
    <w:rsid w:val="009C26FC"/>
    <w:rsid w:val="009C31D9"/>
    <w:rsid w:val="009E25B3"/>
    <w:rsid w:val="009E6F8C"/>
    <w:rsid w:val="009F07B6"/>
    <w:rsid w:val="009F2A77"/>
    <w:rsid w:val="009F6515"/>
    <w:rsid w:val="00A0684F"/>
    <w:rsid w:val="00A11843"/>
    <w:rsid w:val="00A1269E"/>
    <w:rsid w:val="00A13553"/>
    <w:rsid w:val="00A170B5"/>
    <w:rsid w:val="00A1783B"/>
    <w:rsid w:val="00A2524E"/>
    <w:rsid w:val="00A252F8"/>
    <w:rsid w:val="00A25679"/>
    <w:rsid w:val="00A272E1"/>
    <w:rsid w:val="00A30822"/>
    <w:rsid w:val="00A3474A"/>
    <w:rsid w:val="00A445C9"/>
    <w:rsid w:val="00A463F7"/>
    <w:rsid w:val="00A46728"/>
    <w:rsid w:val="00A50CFB"/>
    <w:rsid w:val="00A5380A"/>
    <w:rsid w:val="00A579B1"/>
    <w:rsid w:val="00A63B2C"/>
    <w:rsid w:val="00A643BC"/>
    <w:rsid w:val="00A67126"/>
    <w:rsid w:val="00A67884"/>
    <w:rsid w:val="00A70172"/>
    <w:rsid w:val="00A7064D"/>
    <w:rsid w:val="00A71372"/>
    <w:rsid w:val="00A75247"/>
    <w:rsid w:val="00A752CD"/>
    <w:rsid w:val="00A76250"/>
    <w:rsid w:val="00A76D22"/>
    <w:rsid w:val="00A82AB7"/>
    <w:rsid w:val="00A85CFE"/>
    <w:rsid w:val="00A87AAB"/>
    <w:rsid w:val="00A90E5B"/>
    <w:rsid w:val="00A92117"/>
    <w:rsid w:val="00AA29FD"/>
    <w:rsid w:val="00AA466E"/>
    <w:rsid w:val="00AA7E54"/>
    <w:rsid w:val="00AC462E"/>
    <w:rsid w:val="00AD12A7"/>
    <w:rsid w:val="00AD1E4F"/>
    <w:rsid w:val="00AD202B"/>
    <w:rsid w:val="00AD3DE3"/>
    <w:rsid w:val="00AD624A"/>
    <w:rsid w:val="00AD6AA1"/>
    <w:rsid w:val="00AE0676"/>
    <w:rsid w:val="00AE0793"/>
    <w:rsid w:val="00AE276D"/>
    <w:rsid w:val="00AE4858"/>
    <w:rsid w:val="00AE4A5C"/>
    <w:rsid w:val="00AE7EEC"/>
    <w:rsid w:val="00AF4DCB"/>
    <w:rsid w:val="00AF653F"/>
    <w:rsid w:val="00B01967"/>
    <w:rsid w:val="00B02624"/>
    <w:rsid w:val="00B05F65"/>
    <w:rsid w:val="00B07AE6"/>
    <w:rsid w:val="00B103E8"/>
    <w:rsid w:val="00B133F6"/>
    <w:rsid w:val="00B210C6"/>
    <w:rsid w:val="00B2421C"/>
    <w:rsid w:val="00B277FD"/>
    <w:rsid w:val="00B2784A"/>
    <w:rsid w:val="00B30F9C"/>
    <w:rsid w:val="00B334F4"/>
    <w:rsid w:val="00B350B4"/>
    <w:rsid w:val="00B36D16"/>
    <w:rsid w:val="00B3720C"/>
    <w:rsid w:val="00B37CF8"/>
    <w:rsid w:val="00B41592"/>
    <w:rsid w:val="00B435DD"/>
    <w:rsid w:val="00B44158"/>
    <w:rsid w:val="00B44481"/>
    <w:rsid w:val="00B50053"/>
    <w:rsid w:val="00B56E4F"/>
    <w:rsid w:val="00B60B52"/>
    <w:rsid w:val="00B6433F"/>
    <w:rsid w:val="00B64457"/>
    <w:rsid w:val="00B64959"/>
    <w:rsid w:val="00B7140F"/>
    <w:rsid w:val="00B71A6E"/>
    <w:rsid w:val="00B73DC2"/>
    <w:rsid w:val="00B93FB5"/>
    <w:rsid w:val="00B97B7C"/>
    <w:rsid w:val="00BA782C"/>
    <w:rsid w:val="00BB0805"/>
    <w:rsid w:val="00BB6827"/>
    <w:rsid w:val="00BB7A0E"/>
    <w:rsid w:val="00BC5F33"/>
    <w:rsid w:val="00BD18B3"/>
    <w:rsid w:val="00BD337C"/>
    <w:rsid w:val="00BD57B3"/>
    <w:rsid w:val="00BD6DC2"/>
    <w:rsid w:val="00BE2A58"/>
    <w:rsid w:val="00BE4FB7"/>
    <w:rsid w:val="00BF0722"/>
    <w:rsid w:val="00BF1301"/>
    <w:rsid w:val="00BF3CC5"/>
    <w:rsid w:val="00BF3CF1"/>
    <w:rsid w:val="00BF4FE8"/>
    <w:rsid w:val="00BF6980"/>
    <w:rsid w:val="00C0351C"/>
    <w:rsid w:val="00C10098"/>
    <w:rsid w:val="00C106C0"/>
    <w:rsid w:val="00C13B3E"/>
    <w:rsid w:val="00C1417D"/>
    <w:rsid w:val="00C24B72"/>
    <w:rsid w:val="00C25F53"/>
    <w:rsid w:val="00C4059F"/>
    <w:rsid w:val="00C410B1"/>
    <w:rsid w:val="00C4641A"/>
    <w:rsid w:val="00C472F6"/>
    <w:rsid w:val="00C478EA"/>
    <w:rsid w:val="00C50D1C"/>
    <w:rsid w:val="00C51667"/>
    <w:rsid w:val="00C51AB3"/>
    <w:rsid w:val="00C665D3"/>
    <w:rsid w:val="00C70FBB"/>
    <w:rsid w:val="00C905DA"/>
    <w:rsid w:val="00C92473"/>
    <w:rsid w:val="00CA4AF1"/>
    <w:rsid w:val="00CA6419"/>
    <w:rsid w:val="00CA72AA"/>
    <w:rsid w:val="00CA7CDE"/>
    <w:rsid w:val="00CB06BB"/>
    <w:rsid w:val="00CB111F"/>
    <w:rsid w:val="00CB33C3"/>
    <w:rsid w:val="00CC00E1"/>
    <w:rsid w:val="00CD27BC"/>
    <w:rsid w:val="00CE5204"/>
    <w:rsid w:val="00CF15D2"/>
    <w:rsid w:val="00CF34DF"/>
    <w:rsid w:val="00CF4810"/>
    <w:rsid w:val="00D01745"/>
    <w:rsid w:val="00D04C1C"/>
    <w:rsid w:val="00D123BD"/>
    <w:rsid w:val="00D17104"/>
    <w:rsid w:val="00D23131"/>
    <w:rsid w:val="00D25371"/>
    <w:rsid w:val="00D35267"/>
    <w:rsid w:val="00D4032F"/>
    <w:rsid w:val="00D42739"/>
    <w:rsid w:val="00D43C56"/>
    <w:rsid w:val="00D43D65"/>
    <w:rsid w:val="00D46044"/>
    <w:rsid w:val="00D477A3"/>
    <w:rsid w:val="00D5213B"/>
    <w:rsid w:val="00D54153"/>
    <w:rsid w:val="00D56622"/>
    <w:rsid w:val="00D57440"/>
    <w:rsid w:val="00D621F1"/>
    <w:rsid w:val="00D644BB"/>
    <w:rsid w:val="00D65C2D"/>
    <w:rsid w:val="00D67D88"/>
    <w:rsid w:val="00D84BDC"/>
    <w:rsid w:val="00D9510B"/>
    <w:rsid w:val="00D969EB"/>
    <w:rsid w:val="00DA35C7"/>
    <w:rsid w:val="00DA3711"/>
    <w:rsid w:val="00DA5107"/>
    <w:rsid w:val="00DA623D"/>
    <w:rsid w:val="00DA782C"/>
    <w:rsid w:val="00DC3E36"/>
    <w:rsid w:val="00DC446A"/>
    <w:rsid w:val="00DC6BD7"/>
    <w:rsid w:val="00DD2B86"/>
    <w:rsid w:val="00DD6458"/>
    <w:rsid w:val="00DE5FD2"/>
    <w:rsid w:val="00DF4094"/>
    <w:rsid w:val="00DF5B59"/>
    <w:rsid w:val="00E0030C"/>
    <w:rsid w:val="00E03496"/>
    <w:rsid w:val="00E128D4"/>
    <w:rsid w:val="00E15251"/>
    <w:rsid w:val="00E161B4"/>
    <w:rsid w:val="00E16666"/>
    <w:rsid w:val="00E34619"/>
    <w:rsid w:val="00E34D2C"/>
    <w:rsid w:val="00E35753"/>
    <w:rsid w:val="00E418B7"/>
    <w:rsid w:val="00E45062"/>
    <w:rsid w:val="00E45FB6"/>
    <w:rsid w:val="00E465F8"/>
    <w:rsid w:val="00E46A59"/>
    <w:rsid w:val="00E51FB2"/>
    <w:rsid w:val="00E520DF"/>
    <w:rsid w:val="00E55BF9"/>
    <w:rsid w:val="00E565E3"/>
    <w:rsid w:val="00E612A4"/>
    <w:rsid w:val="00E73DB9"/>
    <w:rsid w:val="00E93290"/>
    <w:rsid w:val="00E93590"/>
    <w:rsid w:val="00E94327"/>
    <w:rsid w:val="00E9682D"/>
    <w:rsid w:val="00E97B20"/>
    <w:rsid w:val="00EA017A"/>
    <w:rsid w:val="00EB1BFD"/>
    <w:rsid w:val="00EB3914"/>
    <w:rsid w:val="00EB3BE9"/>
    <w:rsid w:val="00EB40CA"/>
    <w:rsid w:val="00EC03E6"/>
    <w:rsid w:val="00EC20CF"/>
    <w:rsid w:val="00ED0103"/>
    <w:rsid w:val="00ED6043"/>
    <w:rsid w:val="00ED741A"/>
    <w:rsid w:val="00EE564C"/>
    <w:rsid w:val="00EE5F54"/>
    <w:rsid w:val="00EF1B48"/>
    <w:rsid w:val="00EF4434"/>
    <w:rsid w:val="00EF67F9"/>
    <w:rsid w:val="00F00B8E"/>
    <w:rsid w:val="00F0315D"/>
    <w:rsid w:val="00F03954"/>
    <w:rsid w:val="00F05695"/>
    <w:rsid w:val="00F15A36"/>
    <w:rsid w:val="00F163C2"/>
    <w:rsid w:val="00F16C4A"/>
    <w:rsid w:val="00F236A1"/>
    <w:rsid w:val="00F30A47"/>
    <w:rsid w:val="00F35B5B"/>
    <w:rsid w:val="00F4244A"/>
    <w:rsid w:val="00F45670"/>
    <w:rsid w:val="00F45C9F"/>
    <w:rsid w:val="00F46A20"/>
    <w:rsid w:val="00F47F46"/>
    <w:rsid w:val="00F503DC"/>
    <w:rsid w:val="00F50603"/>
    <w:rsid w:val="00F50832"/>
    <w:rsid w:val="00F51AAC"/>
    <w:rsid w:val="00F5370A"/>
    <w:rsid w:val="00F53CAB"/>
    <w:rsid w:val="00F61F68"/>
    <w:rsid w:val="00F623EF"/>
    <w:rsid w:val="00F64EAF"/>
    <w:rsid w:val="00F64F71"/>
    <w:rsid w:val="00F703EF"/>
    <w:rsid w:val="00F75D17"/>
    <w:rsid w:val="00F76694"/>
    <w:rsid w:val="00F81F1D"/>
    <w:rsid w:val="00F9290C"/>
    <w:rsid w:val="00F97FF1"/>
    <w:rsid w:val="00FA3205"/>
    <w:rsid w:val="00FB0193"/>
    <w:rsid w:val="00FB0B07"/>
    <w:rsid w:val="00FB4118"/>
    <w:rsid w:val="00FB48BA"/>
    <w:rsid w:val="00FC72F0"/>
    <w:rsid w:val="00FD2EB2"/>
    <w:rsid w:val="00FD34C0"/>
    <w:rsid w:val="00FD680D"/>
    <w:rsid w:val="00FE005F"/>
    <w:rsid w:val="00FE1387"/>
    <w:rsid w:val="00FE3F74"/>
    <w:rsid w:val="00FE4957"/>
    <w:rsid w:val="00FE6803"/>
    <w:rsid w:val="00FE6BA1"/>
    <w:rsid w:val="00FF5AE9"/>
    <w:rsid w:val="00FF5E15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A1FD5"/>
  <w15:chartTrackingRefBased/>
  <w15:docId w15:val="{A185C9FA-7FBE-4590-9915-6B5C62D6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51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1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51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1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11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1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51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51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51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505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C45"/>
  </w:style>
  <w:style w:type="paragraph" w:styleId="Footer">
    <w:name w:val="footer"/>
    <w:basedOn w:val="Normal"/>
    <w:link w:val="FooterChar"/>
    <w:uiPriority w:val="99"/>
    <w:unhideWhenUsed/>
    <w:rsid w:val="004E6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C45"/>
  </w:style>
  <w:style w:type="table" w:styleId="TableGrid">
    <w:name w:val="Table Grid"/>
    <w:basedOn w:val="TableNormal"/>
    <w:uiPriority w:val="39"/>
    <w:rsid w:val="00D9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829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CB111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4463D-E17D-49CA-97E5-3E14BF7F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</TotalTime>
  <Pages>11</Pages>
  <Words>5045</Words>
  <Characters>28760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Richards</dc:creator>
  <cp:keywords/>
  <dc:description/>
  <cp:lastModifiedBy>Ben Richards</cp:lastModifiedBy>
  <cp:revision>26</cp:revision>
  <cp:lastPrinted>2014-12-15T15:48:00Z</cp:lastPrinted>
  <dcterms:created xsi:type="dcterms:W3CDTF">2015-03-16T11:56:00Z</dcterms:created>
  <dcterms:modified xsi:type="dcterms:W3CDTF">2015-05-11T19:23:00Z</dcterms:modified>
</cp:coreProperties>
</file>