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7DA6" w14:textId="4EF52754" w:rsidR="00245824" w:rsidRPr="00505123" w:rsidRDefault="00E86000" w:rsidP="00D969EB">
      <w:pPr>
        <w:pStyle w:val="Heading3"/>
        <w:spacing w:before="0"/>
        <w:jc w:val="center"/>
      </w:pPr>
      <w:bookmarkStart w:id="0" w:name="_GoBack"/>
      <w:r>
        <w:t>Legislation &amp; Regulation</w:t>
      </w:r>
    </w:p>
    <w:bookmarkEnd w:id="0"/>
    <w:p w14:paraId="51D320D2" w14:textId="1214B485" w:rsidR="00743437" w:rsidRPr="00743437" w:rsidRDefault="00E86000" w:rsidP="00743437">
      <w:pPr>
        <w:pStyle w:val="Heading3"/>
        <w:spacing w:before="0"/>
        <w:rPr>
          <w:sz w:val="22"/>
        </w:rPr>
      </w:pPr>
      <w:r>
        <w:rPr>
          <w:sz w:val="22"/>
        </w:rPr>
        <w:t>Statutory Interpretation</w:t>
      </w:r>
    </w:p>
    <w:p w14:paraId="0A253319" w14:textId="2B9F0B28" w:rsidR="00505123" w:rsidRPr="00F50603" w:rsidRDefault="00E86000" w:rsidP="00D969EB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Textualism</w:t>
      </w:r>
    </w:p>
    <w:p w14:paraId="2FC7514E" w14:textId="5A5E66D0" w:rsidR="00743437" w:rsidRPr="00743437" w:rsidRDefault="00743437" w:rsidP="0074343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There are three sources of textualism – the first two, intuition and dictionaries, are admissible under judicial notice. The third is evidence</w:t>
      </w:r>
    </w:p>
    <w:p w14:paraId="39622F88" w14:textId="1639211A" w:rsidR="00F50603" w:rsidRPr="001D1216" w:rsidRDefault="001D1216" w:rsidP="00D969EB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 word’s</w:t>
      </w:r>
      <w:r w:rsidR="008A586C">
        <w:rPr>
          <w:sz w:val="20"/>
          <w:szCs w:val="20"/>
        </w:rPr>
        <w:t xml:space="preserve"> ordinary meaning is preferred in</w:t>
      </w:r>
      <w:r>
        <w:rPr>
          <w:sz w:val="20"/>
          <w:szCs w:val="20"/>
        </w:rPr>
        <w:t xml:space="preserve"> </w:t>
      </w:r>
      <w:r w:rsidR="008A586C">
        <w:rPr>
          <w:sz w:val="20"/>
          <w:szCs w:val="20"/>
        </w:rPr>
        <w:t>statutory interpretation (</w:t>
      </w:r>
      <w:r w:rsidR="008A586C">
        <w:rPr>
          <w:i/>
          <w:sz w:val="20"/>
          <w:szCs w:val="20"/>
        </w:rPr>
        <w:t>Nix v. Hedden</w:t>
      </w:r>
      <w:r w:rsidR="008A586C">
        <w:rPr>
          <w:sz w:val="20"/>
          <w:szCs w:val="20"/>
        </w:rPr>
        <w:t xml:space="preserve"> – tomato as a fruit)</w:t>
      </w:r>
    </w:p>
    <w:p w14:paraId="2F560B12" w14:textId="6BBBA66E" w:rsidR="001D1216" w:rsidRPr="008A586C" w:rsidRDefault="001D1216" w:rsidP="001D1216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How do SCOTUS justices know what the “ordinary” meaning of a word is?</w:t>
      </w:r>
    </w:p>
    <w:p w14:paraId="712D2399" w14:textId="10825007" w:rsidR="008A586C" w:rsidRPr="00AB685F" w:rsidRDefault="008A586C" w:rsidP="008A586C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Why not use alternate solutions; i.e.; taxpayer wins unless clearly wrong, or agency can decide?</w:t>
      </w:r>
    </w:p>
    <w:p w14:paraId="549248C1" w14:textId="17FB214F" w:rsidR="00AB685F" w:rsidRPr="00743437" w:rsidRDefault="00AB685F" w:rsidP="008A586C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Is a word’s ordinary meaning the </w:t>
      </w:r>
      <w:r>
        <w:rPr>
          <w:i/>
          <w:sz w:val="20"/>
          <w:szCs w:val="20"/>
        </w:rPr>
        <w:t xml:space="preserve">exclusive </w:t>
      </w:r>
      <w:r>
        <w:rPr>
          <w:sz w:val="20"/>
          <w:szCs w:val="20"/>
        </w:rPr>
        <w:t>definition in statutory interpretation? (</w:t>
      </w:r>
      <w:r>
        <w:rPr>
          <w:i/>
          <w:sz w:val="20"/>
          <w:szCs w:val="20"/>
        </w:rPr>
        <w:t>Smith v. U.S.</w:t>
      </w:r>
      <w:r>
        <w:rPr>
          <w:sz w:val="20"/>
          <w:szCs w:val="20"/>
        </w:rPr>
        <w:t xml:space="preserve"> – “use a firearm” implies “as a weapon”, or as an instrument of trade?)</w:t>
      </w:r>
    </w:p>
    <w:p w14:paraId="77C660F3" w14:textId="7B41D58C" w:rsidR="00743437" w:rsidRPr="00AB685F" w:rsidRDefault="00743437" w:rsidP="0074343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Does anything other than textualism make sense for a multi-member legislative body?</w:t>
      </w:r>
    </w:p>
    <w:p w14:paraId="76EA76AF" w14:textId="3B262E77" w:rsidR="00AB685F" w:rsidRPr="001E25CA" w:rsidRDefault="00AB685F" w:rsidP="00AB685F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 statutory scheme that offends widely and deeply held social values can be interpreted </w:t>
      </w:r>
      <w:r w:rsidR="00100B1B">
        <w:rPr>
          <w:sz w:val="20"/>
          <w:szCs w:val="20"/>
        </w:rPr>
        <w:t xml:space="preserve">to reflect </w:t>
      </w:r>
      <w:r>
        <w:rPr>
          <w:sz w:val="20"/>
          <w:szCs w:val="20"/>
        </w:rPr>
        <w:t>legislative intent (</w:t>
      </w:r>
      <w:r>
        <w:rPr>
          <w:i/>
          <w:sz w:val="20"/>
          <w:szCs w:val="20"/>
        </w:rPr>
        <w:t xml:space="preserve">U.S. v. Kirby </w:t>
      </w:r>
      <w:r>
        <w:rPr>
          <w:sz w:val="20"/>
          <w:szCs w:val="20"/>
        </w:rPr>
        <w:t>– Sherriff charged with delaying mail carrier by arresting him)</w:t>
      </w:r>
    </w:p>
    <w:p w14:paraId="7BE0D46A" w14:textId="71506A5B" w:rsidR="001E25CA" w:rsidRPr="00E678BC" w:rsidRDefault="001E25CA" w:rsidP="00AB685F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How can textualism be squared with the absurd results doctrine? Do ordinary meanings never create absurd results? </w:t>
      </w:r>
    </w:p>
    <w:p w14:paraId="4BB647B1" w14:textId="38874168" w:rsidR="00E678BC" w:rsidRPr="00AB685F" w:rsidRDefault="00E678BC" w:rsidP="00E678BC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Is it possible to prove that the text of a statute is not what the legislature intended? (</w:t>
      </w:r>
      <w:r>
        <w:rPr>
          <w:i/>
          <w:sz w:val="20"/>
          <w:szCs w:val="20"/>
        </w:rPr>
        <w:t xml:space="preserve">Cernauskas </w:t>
      </w:r>
      <w:r>
        <w:rPr>
          <w:sz w:val="20"/>
          <w:szCs w:val="20"/>
        </w:rPr>
        <w:t>– All laws are repealed) Doesn’t this look away from the statute’s text and to the legislator’s intent?</w:t>
      </w:r>
    </w:p>
    <w:p w14:paraId="619D79A4" w14:textId="55647985" w:rsidR="00AB685F" w:rsidRPr="00AB685F" w:rsidRDefault="00AB685F" w:rsidP="00AB685F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Absurdity doctrine is for a slip of the mind; scrivener’s errors are a slip of the pen</w:t>
      </w:r>
    </w:p>
    <w:p w14:paraId="4BD21460" w14:textId="4D995674" w:rsidR="00AB685F" w:rsidRPr="00AB685F" w:rsidRDefault="00AB685F" w:rsidP="00AB685F">
      <w:pPr>
        <w:pStyle w:val="ListParagraph"/>
        <w:numPr>
          <w:ilvl w:val="2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The fact that Congress migh</w:t>
      </w:r>
      <w:r w:rsidR="00F20A56">
        <w:rPr>
          <w:sz w:val="20"/>
          <w:szCs w:val="20"/>
        </w:rPr>
        <w:t>t have</w:t>
      </w:r>
      <w:r>
        <w:rPr>
          <w:sz w:val="20"/>
          <w:szCs w:val="20"/>
        </w:rPr>
        <w:t xml:space="preserve"> </w:t>
      </w:r>
      <w:r w:rsidR="00447C0F">
        <w:rPr>
          <w:sz w:val="20"/>
          <w:szCs w:val="20"/>
        </w:rPr>
        <w:t>been clearer</w:t>
      </w:r>
      <w:r w:rsidR="00F20A56">
        <w:rPr>
          <w:sz w:val="20"/>
          <w:szCs w:val="20"/>
        </w:rPr>
        <w:t xml:space="preserve"> doesn’t</w:t>
      </w:r>
      <w:r>
        <w:rPr>
          <w:sz w:val="20"/>
          <w:szCs w:val="20"/>
        </w:rPr>
        <w:t xml:space="preserve"> permit courts to redraft statutes </w:t>
      </w:r>
      <w:r w:rsidR="00F20A56">
        <w:rPr>
          <w:sz w:val="20"/>
          <w:szCs w:val="20"/>
        </w:rPr>
        <w:t>to do what</w:t>
      </w:r>
      <w:r>
        <w:rPr>
          <w:sz w:val="20"/>
          <w:szCs w:val="20"/>
        </w:rPr>
        <w:t xml:space="preserve"> Congress </w:t>
      </w:r>
      <w:r w:rsidR="00F20A56">
        <w:rPr>
          <w:sz w:val="20"/>
          <w:szCs w:val="20"/>
        </w:rPr>
        <w:t xml:space="preserve">failed to do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U.S. v. Locke</w:t>
      </w:r>
      <w:r>
        <w:rPr>
          <w:sz w:val="20"/>
          <w:szCs w:val="20"/>
        </w:rPr>
        <w:t xml:space="preserve"> – mining claim expired on December 30)</w:t>
      </w:r>
    </w:p>
    <w:p w14:paraId="475E19BD" w14:textId="541B5382" w:rsidR="00AB685F" w:rsidRPr="00E91CB3" w:rsidRDefault="00AB685F" w:rsidP="00AB685F">
      <w:pPr>
        <w:pStyle w:val="ListParagraph"/>
        <w:numPr>
          <w:ilvl w:val="3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Legislative supremacy limits courts’ ability to correct absurd</w:t>
      </w:r>
      <w:r w:rsidR="00854B5F">
        <w:rPr>
          <w:sz w:val="20"/>
          <w:szCs w:val="20"/>
        </w:rPr>
        <w:t>ity</w:t>
      </w:r>
      <w:r>
        <w:rPr>
          <w:sz w:val="20"/>
          <w:szCs w:val="20"/>
        </w:rPr>
        <w:t xml:space="preserve"> </w:t>
      </w:r>
      <w:r w:rsidR="00854B5F">
        <w:rPr>
          <w:sz w:val="20"/>
          <w:szCs w:val="20"/>
        </w:rPr>
        <w:t xml:space="preserve">and/or </w:t>
      </w:r>
      <w:r>
        <w:rPr>
          <w:sz w:val="20"/>
          <w:szCs w:val="20"/>
        </w:rPr>
        <w:t>errors</w:t>
      </w:r>
    </w:p>
    <w:p w14:paraId="12840E30" w14:textId="6DE1A71C" w:rsidR="001A5C3C" w:rsidRPr="001A5C3C" w:rsidRDefault="00E91CB3" w:rsidP="001A5C3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Textualism increases rel</w:t>
      </w:r>
      <w:r w:rsidR="001A5C3C">
        <w:rPr>
          <w:sz w:val="20"/>
          <w:szCs w:val="20"/>
        </w:rPr>
        <w:t>iance on canons of construction</w:t>
      </w:r>
    </w:p>
    <w:p w14:paraId="3B7FFBA4" w14:textId="5CFFDEA4" w:rsidR="00505123" w:rsidRDefault="00E86000" w:rsidP="00D969EB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Purposivism</w:t>
      </w:r>
    </w:p>
    <w:p w14:paraId="222AC5E5" w14:textId="439478F5" w:rsidR="001E691B" w:rsidRDefault="00743437" w:rsidP="008A586C">
      <w:pPr>
        <w:pStyle w:val="ListParagraph"/>
        <w:numPr>
          <w:ilvl w:val="0"/>
          <w:numId w:val="30"/>
        </w:numPr>
        <w:rPr>
          <w:sz w:val="20"/>
        </w:rPr>
      </w:pPr>
      <w:r>
        <w:rPr>
          <w:sz w:val="20"/>
        </w:rPr>
        <w:t>Purposivism reflects the ultimate goal of the legislature in passing a statute</w:t>
      </w:r>
    </w:p>
    <w:p w14:paraId="729B1C2A" w14:textId="79B67E68" w:rsidR="00743437" w:rsidRDefault="00743437" w:rsidP="00743437">
      <w:pPr>
        <w:pStyle w:val="ListParagraph"/>
        <w:numPr>
          <w:ilvl w:val="1"/>
          <w:numId w:val="30"/>
        </w:numPr>
        <w:rPr>
          <w:sz w:val="20"/>
        </w:rPr>
      </w:pPr>
      <w:r>
        <w:rPr>
          <w:sz w:val="20"/>
        </w:rPr>
        <w:t>Intentionalism stops short of purposivism, in that it implements the legislature’s proximate intent</w:t>
      </w:r>
    </w:p>
    <w:p w14:paraId="37E4F47F" w14:textId="18B91784" w:rsidR="00E678BC" w:rsidRDefault="001E25CA" w:rsidP="00E678BC">
      <w:pPr>
        <w:pStyle w:val="ListParagraph"/>
        <w:numPr>
          <w:ilvl w:val="0"/>
          <w:numId w:val="30"/>
        </w:numPr>
        <w:rPr>
          <w:sz w:val="20"/>
        </w:rPr>
      </w:pPr>
      <w:r>
        <w:rPr>
          <w:sz w:val="20"/>
        </w:rPr>
        <w:t xml:space="preserve">General argument for </w:t>
      </w:r>
      <w:r w:rsidR="00F20A56">
        <w:rPr>
          <w:sz w:val="20"/>
        </w:rPr>
        <w:t>i</w:t>
      </w:r>
      <w:r>
        <w:rPr>
          <w:sz w:val="20"/>
        </w:rPr>
        <w:t>ntentionalism is the because a word’s ordinary meaning can be ambiguous, the speaker’s intent is the only way to affirmatively determine meaning</w:t>
      </w:r>
    </w:p>
    <w:p w14:paraId="0275376E" w14:textId="6248EA2C" w:rsidR="00E678BC" w:rsidRDefault="00E678BC" w:rsidP="00E678BC">
      <w:pPr>
        <w:pStyle w:val="Heading4"/>
        <w:rPr>
          <w:sz w:val="20"/>
        </w:rPr>
      </w:pPr>
      <w:r>
        <w:rPr>
          <w:sz w:val="20"/>
        </w:rPr>
        <w:t xml:space="preserve">Legislative History </w:t>
      </w:r>
    </w:p>
    <w:p w14:paraId="3C213DB4" w14:textId="3BBAD050" w:rsidR="00E678BC" w:rsidRDefault="00A47256" w:rsidP="00E678BC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>The pla</w:t>
      </w:r>
      <w:r w:rsidRPr="00A47256">
        <w:rPr>
          <w:sz w:val="20"/>
        </w:rPr>
        <w:t>in meaning trumps absent ambiguity or an absurd result</w:t>
      </w:r>
      <w:r>
        <w:rPr>
          <w:sz w:val="20"/>
        </w:rPr>
        <w:t xml:space="preserve"> (</w:t>
      </w:r>
      <w:r>
        <w:rPr>
          <w:i/>
          <w:sz w:val="20"/>
        </w:rPr>
        <w:t>Caminetti</w:t>
      </w:r>
      <w:r>
        <w:rPr>
          <w:sz w:val="20"/>
        </w:rPr>
        <w:t>)</w:t>
      </w:r>
    </w:p>
    <w:p w14:paraId="5FC6F328" w14:textId="5969AC3D" w:rsidR="00A47256" w:rsidRDefault="00A47256" w:rsidP="00A4725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Largely represents current SCOTUS jurisprudence; can be considered presumptive textualism</w:t>
      </w:r>
    </w:p>
    <w:p w14:paraId="08D65AEB" w14:textId="3FBD05C0" w:rsidR="00A47256" w:rsidRDefault="00A47256" w:rsidP="00A47256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 xml:space="preserve">Court reversed course in </w:t>
      </w:r>
      <w:r>
        <w:rPr>
          <w:i/>
          <w:sz w:val="20"/>
        </w:rPr>
        <w:t>American Trucking</w:t>
      </w:r>
      <w:r>
        <w:rPr>
          <w:sz w:val="20"/>
        </w:rPr>
        <w:t>, saying it will not exclude any aid to interpret statues</w:t>
      </w:r>
    </w:p>
    <w:p w14:paraId="678DA342" w14:textId="0FEC0A95" w:rsidR="00A47256" w:rsidRDefault="00A47256" w:rsidP="00A47256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 xml:space="preserve">Hierarchy of legislative history is: </w:t>
      </w:r>
    </w:p>
    <w:p w14:paraId="2DA43759" w14:textId="258380BF" w:rsidR="00A47256" w:rsidRDefault="00A47256" w:rsidP="00A4725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Committee Reports</w:t>
      </w:r>
    </w:p>
    <w:p w14:paraId="2D440513" w14:textId="7D730700" w:rsidR="00A47256" w:rsidRDefault="00A47256" w:rsidP="00A47256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Does this create a perverse incentive to leave a statute ambiguous but clarify in reports?</w:t>
      </w:r>
    </w:p>
    <w:p w14:paraId="15EE9912" w14:textId="393F4171" w:rsidR="00A47256" w:rsidRDefault="00A47256" w:rsidP="00A47256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What if the committee’s rationale isn’t shared by legislature?</w:t>
      </w:r>
    </w:p>
    <w:p w14:paraId="6494BDB9" w14:textId="0CFB48C5" w:rsidR="00A47256" w:rsidRDefault="00A47256" w:rsidP="00A4725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Floor/sponsor statements</w:t>
      </w:r>
    </w:p>
    <w:p w14:paraId="77C64969" w14:textId="1834ECF9" w:rsidR="00A47256" w:rsidRDefault="00A47256" w:rsidP="00A47256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Bulleted statements were not actually made on the floor</w:t>
      </w:r>
    </w:p>
    <w:p w14:paraId="4FD8BD08" w14:textId="63B7777A" w:rsidR="00906B31" w:rsidRDefault="00906B31" w:rsidP="00A47256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A sponsor’s private meaning, expressed in a bulleted statement, do not influence the readers’ beliefs, and therefore cannot be considered valid history (</w:t>
      </w:r>
      <w:r>
        <w:rPr>
          <w:i/>
          <w:sz w:val="20"/>
        </w:rPr>
        <w:t xml:space="preserve">Continental Can </w:t>
      </w:r>
      <w:r>
        <w:rPr>
          <w:sz w:val="20"/>
        </w:rPr>
        <w:t>– definition of “substantially all”)</w:t>
      </w:r>
    </w:p>
    <w:p w14:paraId="5E70608D" w14:textId="1E0133A7" w:rsidR="00A47256" w:rsidRDefault="00A47256" w:rsidP="00A4725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Hearings</w:t>
      </w:r>
    </w:p>
    <w:p w14:paraId="2E0F5A1F" w14:textId="251C58E9" w:rsidR="00A47256" w:rsidRDefault="00A47256" w:rsidP="00A4725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Post-enactment history</w:t>
      </w:r>
    </w:p>
    <w:p w14:paraId="60E3595B" w14:textId="16DB0366" w:rsidR="00D10B3A" w:rsidRDefault="00D10B3A" w:rsidP="00D10B3A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t>Falling out of favor, since the legislative process may restrict alteration, even though the court’s interpretation is incorrect</w:t>
      </w:r>
    </w:p>
    <w:p w14:paraId="1BC664F9" w14:textId="6EDE651A" w:rsidR="00A47256" w:rsidRDefault="00A47256" w:rsidP="00A47256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 xml:space="preserve">Critiques of legislative history include: </w:t>
      </w:r>
    </w:p>
    <w:p w14:paraId="375CD0C2" w14:textId="0D109F17" w:rsidR="00A47256" w:rsidRDefault="00A47256" w:rsidP="00A4725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Reliability – Does the legislative history actually reflect legislators’ understanding?</w:t>
      </w:r>
    </w:p>
    <w:p w14:paraId="0A98D40E" w14:textId="4D4BA459" w:rsidR="00906B31" w:rsidRDefault="00906B31" w:rsidP="00906B31">
      <w:pPr>
        <w:pStyle w:val="ListParagraph"/>
        <w:numPr>
          <w:ilvl w:val="2"/>
          <w:numId w:val="38"/>
        </w:numPr>
        <w:rPr>
          <w:sz w:val="20"/>
        </w:rPr>
      </w:pPr>
      <w:r>
        <w:rPr>
          <w:sz w:val="20"/>
        </w:rPr>
        <w:lastRenderedPageBreak/>
        <w:t>Is it reasonable to expect legislators to understand all bills voted on? (</w:t>
      </w:r>
      <w:r>
        <w:rPr>
          <w:i/>
          <w:sz w:val="20"/>
        </w:rPr>
        <w:t xml:space="preserve">Blanchard v. Bergeron </w:t>
      </w:r>
      <w:r>
        <w:rPr>
          <w:sz w:val="20"/>
        </w:rPr>
        <w:t xml:space="preserve">– committee report embraced one aspect of a precedent, but not another) </w:t>
      </w:r>
    </w:p>
    <w:p w14:paraId="64A445A4" w14:textId="0C1276C0" w:rsidR="00A47256" w:rsidRPr="00A47256" w:rsidRDefault="00A47256" w:rsidP="00A47256">
      <w:pPr>
        <w:pStyle w:val="ListParagraph"/>
        <w:numPr>
          <w:ilvl w:val="1"/>
          <w:numId w:val="38"/>
        </w:numPr>
        <w:rPr>
          <w:sz w:val="20"/>
        </w:rPr>
      </w:pPr>
      <w:r>
        <w:rPr>
          <w:sz w:val="20"/>
        </w:rPr>
        <w:t>Formality – Legislative history is not procedurally significant</w:t>
      </w:r>
    </w:p>
    <w:p w14:paraId="322710E4" w14:textId="60450FD7" w:rsidR="00E91CB3" w:rsidRPr="00E91CB3" w:rsidRDefault="00425155" w:rsidP="00E91CB3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C</w:t>
      </w:r>
      <w:r w:rsidR="00E86000">
        <w:rPr>
          <w:sz w:val="20"/>
          <w:szCs w:val="20"/>
        </w:rPr>
        <w:t>anons of Constructio</w:t>
      </w:r>
      <w:r w:rsidR="00E91CB3">
        <w:rPr>
          <w:sz w:val="20"/>
          <w:szCs w:val="20"/>
        </w:rPr>
        <w:t>n</w:t>
      </w:r>
    </w:p>
    <w:p w14:paraId="4EC83179" w14:textId="7BD883FF" w:rsidR="00E565E3" w:rsidRPr="00234984" w:rsidRDefault="001E25CA" w:rsidP="008A586C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The order in which canons of construction are applied matters (</w:t>
      </w:r>
      <w:r>
        <w:rPr>
          <w:i/>
          <w:sz w:val="20"/>
        </w:rPr>
        <w:t xml:space="preserve">Smith v. </w:t>
      </w:r>
      <w:r w:rsidR="00AB685F">
        <w:rPr>
          <w:i/>
          <w:sz w:val="20"/>
        </w:rPr>
        <w:t>U.S.</w:t>
      </w:r>
      <w:r w:rsidRPr="001E25CA">
        <w:rPr>
          <w:sz w:val="20"/>
          <w:szCs w:val="20"/>
        </w:rPr>
        <w:t xml:space="preserve"> – gun for drugs trade, where rule of lenity was invoked </w:t>
      </w:r>
      <w:r>
        <w:rPr>
          <w:sz w:val="20"/>
          <w:szCs w:val="20"/>
        </w:rPr>
        <w:t>last, therefore ineffectual)</w:t>
      </w:r>
    </w:p>
    <w:p w14:paraId="6E8B9C04" w14:textId="30E765C8" w:rsidR="007B59FB" w:rsidRDefault="007B59FB" w:rsidP="00234984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Semantic Canons:</w:t>
      </w:r>
    </w:p>
    <w:p w14:paraId="445ACEDD" w14:textId="7CED2668" w:rsidR="007B59FB" w:rsidRDefault="00234984" w:rsidP="007B59FB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Ejusdem Generis – A catchall term at the end of a list has a definition similar to previous listed terms (</w:t>
      </w:r>
      <w:r>
        <w:rPr>
          <w:i/>
          <w:sz w:val="20"/>
        </w:rPr>
        <w:t xml:space="preserve">McBoyle v. U.S. </w:t>
      </w:r>
      <w:r>
        <w:rPr>
          <w:sz w:val="20"/>
        </w:rPr>
        <w:t xml:space="preserve">– </w:t>
      </w:r>
      <w:r w:rsidRPr="00234984">
        <w:rPr>
          <w:sz w:val="20"/>
        </w:rPr>
        <w:t>“Vehicle” does not include airplane</w:t>
      </w:r>
      <w:r>
        <w:rPr>
          <w:sz w:val="20"/>
        </w:rPr>
        <w:t>)</w:t>
      </w:r>
    </w:p>
    <w:p w14:paraId="798BABF9" w14:textId="1BE9AC81" w:rsidR="007B59FB" w:rsidRDefault="007B59FB" w:rsidP="007B59FB">
      <w:pPr>
        <w:pStyle w:val="ListParagraph"/>
        <w:numPr>
          <w:ilvl w:val="2"/>
          <w:numId w:val="9"/>
        </w:numPr>
        <w:spacing w:after="0"/>
        <w:rPr>
          <w:sz w:val="20"/>
        </w:rPr>
      </w:pPr>
      <w:r>
        <w:rPr>
          <w:sz w:val="20"/>
        </w:rPr>
        <w:t xml:space="preserve">What shared characteristic of the listed terms limits the catchall term? </w:t>
      </w:r>
    </w:p>
    <w:p w14:paraId="34BCF5E2" w14:textId="272F6548" w:rsidR="007B59FB" w:rsidRDefault="007B59FB" w:rsidP="007B59FB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Expresio Unius – When a statute explicitly expresses something, others are implicitly excluded</w:t>
      </w:r>
    </w:p>
    <w:p w14:paraId="61230E80" w14:textId="60ECDA9D" w:rsidR="007B59FB" w:rsidRDefault="007B59FB" w:rsidP="007B59FB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Noscitur A Sociis – A word is known by its “friends”, or those surrounding it in context</w:t>
      </w:r>
    </w:p>
    <w:p w14:paraId="3F9BADEC" w14:textId="16548E1F" w:rsidR="00E91CB3" w:rsidRDefault="00E91CB3" w:rsidP="00234984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Substantive Canons:</w:t>
      </w:r>
    </w:p>
    <w:p w14:paraId="5DE000CB" w14:textId="19CB4BA5" w:rsidR="007B59FB" w:rsidRDefault="007B59FB" w:rsidP="00E91CB3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Rule of Lenity – Criminal law should be clear (</w:t>
      </w:r>
      <w:r>
        <w:rPr>
          <w:i/>
          <w:sz w:val="20"/>
        </w:rPr>
        <w:t>McBoyle v. U.S.</w:t>
      </w:r>
      <w:r>
        <w:rPr>
          <w:sz w:val="20"/>
        </w:rPr>
        <w:t xml:space="preserve">, </w:t>
      </w:r>
      <w:r>
        <w:rPr>
          <w:i/>
          <w:sz w:val="20"/>
        </w:rPr>
        <w:t>People v. Smith</w:t>
      </w:r>
      <w:r>
        <w:rPr>
          <w:sz w:val="20"/>
        </w:rPr>
        <w:t xml:space="preserve"> – concealed weapons law did not address </w:t>
      </w:r>
    </w:p>
    <w:p w14:paraId="7A69A3A1" w14:textId="4BF136C2" w:rsidR="007B59FB" w:rsidRDefault="007B59FB" w:rsidP="00E91CB3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Canon Against Surplusage</w:t>
      </w:r>
      <w:r w:rsidR="00E91CB3">
        <w:rPr>
          <w:sz w:val="20"/>
        </w:rPr>
        <w:t xml:space="preserve"> – All terms in a statute contribute meaning</w:t>
      </w:r>
    </w:p>
    <w:p w14:paraId="5B078E76" w14:textId="7FCE8DE9" w:rsidR="00E91CB3" w:rsidRDefault="00E91CB3" w:rsidP="00E91CB3">
      <w:pPr>
        <w:pStyle w:val="ListParagraph"/>
        <w:numPr>
          <w:ilvl w:val="2"/>
          <w:numId w:val="9"/>
        </w:numPr>
        <w:spacing w:after="0"/>
        <w:rPr>
          <w:sz w:val="20"/>
        </w:rPr>
      </w:pPr>
      <w:r>
        <w:rPr>
          <w:sz w:val="20"/>
        </w:rPr>
        <w:t>Is this a realistic expectation for Congress?</w:t>
      </w:r>
    </w:p>
    <w:p w14:paraId="49339FFA" w14:textId="3B43170B" w:rsidR="00234984" w:rsidRPr="00234984" w:rsidRDefault="007B59FB" w:rsidP="00E91CB3">
      <w:pPr>
        <w:pStyle w:val="ListParagraph"/>
        <w:numPr>
          <w:ilvl w:val="1"/>
          <w:numId w:val="9"/>
        </w:numPr>
        <w:spacing w:after="0"/>
        <w:rPr>
          <w:sz w:val="20"/>
        </w:rPr>
      </w:pPr>
      <w:r>
        <w:rPr>
          <w:sz w:val="20"/>
        </w:rPr>
        <w:t>Constitutional Avoidance</w:t>
      </w:r>
      <w:r w:rsidR="00234984" w:rsidRPr="00234984">
        <w:rPr>
          <w:sz w:val="20"/>
        </w:rPr>
        <w:t xml:space="preserve"> </w:t>
      </w:r>
      <w:r w:rsidR="00E91CB3">
        <w:rPr>
          <w:sz w:val="20"/>
        </w:rPr>
        <w:t>– Courts should, if possible, avoid passing on constitutional questions</w:t>
      </w:r>
    </w:p>
    <w:p w14:paraId="13397AC7" w14:textId="7EDCB7E7" w:rsidR="00505123" w:rsidRPr="00F50603" w:rsidRDefault="00EA69C7" w:rsidP="00D969EB">
      <w:pPr>
        <w:pStyle w:val="Heading3"/>
        <w:spacing w:before="0"/>
        <w:rPr>
          <w:sz w:val="22"/>
          <w:szCs w:val="20"/>
        </w:rPr>
      </w:pPr>
      <w:r>
        <w:rPr>
          <w:sz w:val="22"/>
          <w:szCs w:val="20"/>
        </w:rPr>
        <w:t>Constitutional Background</w:t>
      </w:r>
    </w:p>
    <w:p w14:paraId="1F27EBC7" w14:textId="2B7E3198" w:rsidR="00505123" w:rsidRDefault="00A911AC" w:rsidP="00D969EB">
      <w:pPr>
        <w:pStyle w:val="Heading4"/>
        <w:spacing w:before="0"/>
        <w:rPr>
          <w:sz w:val="20"/>
          <w:szCs w:val="20"/>
        </w:rPr>
      </w:pPr>
      <w:r>
        <w:rPr>
          <w:sz w:val="20"/>
          <w:szCs w:val="20"/>
        </w:rPr>
        <w:t>The Non-</w:t>
      </w:r>
      <w:r w:rsidR="00E86000">
        <w:rPr>
          <w:sz w:val="20"/>
          <w:szCs w:val="20"/>
        </w:rPr>
        <w:t>Delegation</w:t>
      </w:r>
      <w:r>
        <w:rPr>
          <w:sz w:val="20"/>
          <w:szCs w:val="20"/>
        </w:rPr>
        <w:t xml:space="preserve"> Doctrine</w:t>
      </w:r>
    </w:p>
    <w:p w14:paraId="5E02962E" w14:textId="0DC1CB4B" w:rsidR="00E2618A" w:rsidRPr="005366B5" w:rsidRDefault="007264C5" w:rsidP="005366B5">
      <w:pPr>
        <w:pStyle w:val="ListParagraph"/>
        <w:numPr>
          <w:ilvl w:val="0"/>
          <w:numId w:val="35"/>
        </w:numPr>
      </w:pPr>
      <w:r>
        <w:rPr>
          <w:sz w:val="20"/>
        </w:rPr>
        <w:t>The Constitution’s non-delegation provision addr</w:t>
      </w:r>
      <w:r w:rsidR="00E2618A">
        <w:rPr>
          <w:sz w:val="20"/>
        </w:rPr>
        <w:t>esses problems with extra-legislative law-making:</w:t>
      </w:r>
      <w:r w:rsidR="005366B5">
        <w:rPr>
          <w:sz w:val="20"/>
        </w:rPr>
        <w:t xml:space="preserve"> </w:t>
      </w:r>
      <w:r w:rsidR="00E2618A" w:rsidRPr="005366B5">
        <w:rPr>
          <w:sz w:val="20"/>
        </w:rPr>
        <w:t>1) Accountability, 2) Transparency and 3) Democratic Deliberation</w:t>
      </w:r>
    </w:p>
    <w:p w14:paraId="29047C61" w14:textId="45D6B6A9" w:rsidR="00BE414C" w:rsidRPr="005366B5" w:rsidRDefault="005366B5" w:rsidP="00BE414C">
      <w:pPr>
        <w:pStyle w:val="ListParagraph"/>
        <w:numPr>
          <w:ilvl w:val="1"/>
          <w:numId w:val="35"/>
        </w:numPr>
      </w:pPr>
      <w:r>
        <w:rPr>
          <w:sz w:val="20"/>
        </w:rPr>
        <w:t xml:space="preserve">Is it possible for Congress to delegate such that the delegation </w:t>
      </w:r>
      <w:r>
        <w:rPr>
          <w:i/>
          <w:sz w:val="20"/>
        </w:rPr>
        <w:t xml:space="preserve">amounts </w:t>
      </w:r>
      <w:r>
        <w:rPr>
          <w:sz w:val="20"/>
        </w:rPr>
        <w:t>to a grant of legislative authority? Vermeule says no</w:t>
      </w:r>
    </w:p>
    <w:p w14:paraId="6E2BA0E0" w14:textId="6BD97763" w:rsidR="005366B5" w:rsidRPr="005366B5" w:rsidRDefault="005366B5" w:rsidP="005366B5">
      <w:pPr>
        <w:pStyle w:val="ListParagraph"/>
        <w:numPr>
          <w:ilvl w:val="2"/>
          <w:numId w:val="35"/>
        </w:numPr>
      </w:pPr>
      <w:r>
        <w:rPr>
          <w:i/>
          <w:sz w:val="20"/>
        </w:rPr>
        <w:t xml:space="preserve">Marshall Field v. Clark </w:t>
      </w:r>
      <w:r>
        <w:rPr>
          <w:sz w:val="20"/>
        </w:rPr>
        <w:t xml:space="preserve">dictum </w:t>
      </w:r>
      <w:r w:rsidR="003837C6">
        <w:rPr>
          <w:sz w:val="20"/>
        </w:rPr>
        <w:t xml:space="preserve">says yes, but only </w:t>
      </w:r>
      <w:r>
        <w:rPr>
          <w:sz w:val="20"/>
        </w:rPr>
        <w:t>if the grant is too broad</w:t>
      </w:r>
    </w:p>
    <w:p w14:paraId="3335E070" w14:textId="77777777" w:rsidR="005366B5" w:rsidRPr="005366B5" w:rsidRDefault="005366B5" w:rsidP="005366B5">
      <w:pPr>
        <w:pStyle w:val="ListParagraph"/>
        <w:numPr>
          <w:ilvl w:val="1"/>
          <w:numId w:val="35"/>
        </w:numPr>
      </w:pPr>
      <w:r>
        <w:rPr>
          <w:i/>
          <w:sz w:val="20"/>
        </w:rPr>
        <w:t xml:space="preserve">J.W. Hampton </w:t>
      </w:r>
      <w:r>
        <w:rPr>
          <w:sz w:val="20"/>
        </w:rPr>
        <w:t>argues that if Congress lays down an intelligible principle to which an agency must adhere, there is no violation of the non-delegation doctrine</w:t>
      </w:r>
    </w:p>
    <w:p w14:paraId="592A5ABE" w14:textId="77777777" w:rsidR="00BE414C" w:rsidRPr="00BE414C" w:rsidRDefault="005366B5" w:rsidP="005366B5">
      <w:pPr>
        <w:pStyle w:val="ListParagraph"/>
        <w:numPr>
          <w:ilvl w:val="2"/>
          <w:numId w:val="35"/>
        </w:numPr>
      </w:pPr>
      <w:r>
        <w:rPr>
          <w:sz w:val="20"/>
        </w:rPr>
        <w:t>Effect is to ensure that Congress makes big, difficult value decisions</w:t>
      </w:r>
    </w:p>
    <w:p w14:paraId="7141FB9C" w14:textId="69DE0F5C" w:rsidR="005366B5" w:rsidRPr="00BE414C" w:rsidRDefault="00BE414C" w:rsidP="00BE414C">
      <w:pPr>
        <w:pStyle w:val="ListParagraph"/>
        <w:numPr>
          <w:ilvl w:val="3"/>
          <w:numId w:val="35"/>
        </w:numPr>
      </w:pPr>
      <w:r>
        <w:rPr>
          <w:sz w:val="20"/>
        </w:rPr>
        <w:t>Congress</w:t>
      </w:r>
      <w:r w:rsidR="005366B5">
        <w:rPr>
          <w:sz w:val="20"/>
        </w:rPr>
        <w:t xml:space="preserve"> </w:t>
      </w:r>
      <w:r>
        <w:rPr>
          <w:sz w:val="20"/>
        </w:rPr>
        <w:t>made the initial decision to delegate decision-making authority – can there ever be a non-delegation problem?</w:t>
      </w:r>
    </w:p>
    <w:p w14:paraId="4F8A9669" w14:textId="77777777" w:rsidR="00BE414C" w:rsidRPr="00BE414C" w:rsidRDefault="00BE414C" w:rsidP="005366B5">
      <w:pPr>
        <w:pStyle w:val="ListParagraph"/>
        <w:numPr>
          <w:ilvl w:val="2"/>
          <w:numId w:val="35"/>
        </w:numPr>
        <w:rPr>
          <w:sz w:val="20"/>
        </w:rPr>
      </w:pPr>
      <w:r w:rsidRPr="00BE414C">
        <w:rPr>
          <w:sz w:val="20"/>
        </w:rPr>
        <w:t>Intelligible principle</w:t>
      </w:r>
      <w:r>
        <w:rPr>
          <w:sz w:val="20"/>
        </w:rPr>
        <w:t xml:space="preserve"> can be quite vague; “requisite” is enough in </w:t>
      </w:r>
      <w:r>
        <w:rPr>
          <w:i/>
          <w:sz w:val="20"/>
        </w:rPr>
        <w:t>American Trucking</w:t>
      </w:r>
    </w:p>
    <w:p w14:paraId="07002D91" w14:textId="018F0CF0" w:rsidR="00BE414C" w:rsidRDefault="00BE414C" w:rsidP="00BE414C">
      <w:pPr>
        <w:pStyle w:val="ListParagraph"/>
        <w:numPr>
          <w:ilvl w:val="3"/>
          <w:numId w:val="35"/>
        </w:numPr>
        <w:rPr>
          <w:sz w:val="20"/>
        </w:rPr>
      </w:pPr>
      <w:r>
        <w:rPr>
          <w:sz w:val="20"/>
        </w:rPr>
        <w:t>Is this really an intelligible principle, or is the court reserving the power to invalidate a truly over-broad statute later?</w:t>
      </w:r>
    </w:p>
    <w:p w14:paraId="71272018" w14:textId="77777777" w:rsidR="00BE414C" w:rsidRDefault="00BE414C" w:rsidP="00BE414C">
      <w:pPr>
        <w:pStyle w:val="ListParagraph"/>
        <w:numPr>
          <w:ilvl w:val="3"/>
          <w:numId w:val="35"/>
        </w:numPr>
        <w:rPr>
          <w:sz w:val="20"/>
        </w:rPr>
      </w:pPr>
      <w:r>
        <w:rPr>
          <w:sz w:val="20"/>
        </w:rPr>
        <w:t>Courts generally shouldn’t second-guess Congress regarding how much policy judgment agencies should be able to exercise</w:t>
      </w:r>
    </w:p>
    <w:p w14:paraId="7BBE466D" w14:textId="1FF58538" w:rsidR="00BE414C" w:rsidRPr="00BE414C" w:rsidRDefault="00BE414C" w:rsidP="00BE414C">
      <w:pPr>
        <w:pStyle w:val="ListParagraph"/>
        <w:numPr>
          <w:ilvl w:val="3"/>
          <w:numId w:val="35"/>
        </w:numPr>
        <w:rPr>
          <w:sz w:val="20"/>
        </w:rPr>
      </w:pPr>
      <w:r>
        <w:rPr>
          <w:sz w:val="20"/>
        </w:rPr>
        <w:t>This doctrine and scope of the grant of authority are on a sliding scale; the broader the scope, the more scrutiny will be given to the intelligible principle</w:t>
      </w:r>
      <w:r w:rsidRPr="00BE414C">
        <w:rPr>
          <w:sz w:val="20"/>
        </w:rPr>
        <w:t xml:space="preserve"> </w:t>
      </w:r>
    </w:p>
    <w:p w14:paraId="7B264102" w14:textId="57DF8831" w:rsidR="005366B5" w:rsidRDefault="00CC46DF" w:rsidP="005366B5">
      <w:pPr>
        <w:pStyle w:val="ListParagraph"/>
        <w:numPr>
          <w:ilvl w:val="1"/>
          <w:numId w:val="35"/>
        </w:numPr>
        <w:rPr>
          <w:sz w:val="20"/>
        </w:rPr>
      </w:pPr>
      <w:r w:rsidRPr="00CC46DF">
        <w:rPr>
          <w:sz w:val="20"/>
        </w:rPr>
        <w:t>The Court strikes</w:t>
      </w:r>
      <w:r>
        <w:rPr>
          <w:sz w:val="20"/>
        </w:rPr>
        <w:t xml:space="preserve"> down a delegation to a consortium of private groups because the delegation was overly-broad, and the delegation was to a private party</w:t>
      </w:r>
      <w:r w:rsidR="00C408C4">
        <w:rPr>
          <w:sz w:val="20"/>
        </w:rPr>
        <w:t xml:space="preserve"> (</w:t>
      </w:r>
      <w:r w:rsidR="00C408C4">
        <w:rPr>
          <w:i/>
          <w:sz w:val="20"/>
        </w:rPr>
        <w:t>Schechter Poultry</w:t>
      </w:r>
      <w:r w:rsidR="00C408C4">
        <w:rPr>
          <w:sz w:val="20"/>
        </w:rPr>
        <w:t>)</w:t>
      </w:r>
    </w:p>
    <w:p w14:paraId="507D89F2" w14:textId="2A41501F" w:rsidR="00CC46DF" w:rsidRDefault="00CC46DF" w:rsidP="00CC46DF">
      <w:pPr>
        <w:pStyle w:val="ListParagraph"/>
        <w:numPr>
          <w:ilvl w:val="2"/>
          <w:numId w:val="35"/>
        </w:numPr>
        <w:rPr>
          <w:sz w:val="20"/>
        </w:rPr>
      </w:pPr>
      <w:r>
        <w:rPr>
          <w:sz w:val="20"/>
        </w:rPr>
        <w:t>The private party issue is one of due process, not non-delegation</w:t>
      </w:r>
    </w:p>
    <w:p w14:paraId="32CAD45A" w14:textId="5E9A3C32" w:rsidR="00BE414C" w:rsidRDefault="00B62626" w:rsidP="00B62626">
      <w:pPr>
        <w:pStyle w:val="Heading4"/>
        <w:rPr>
          <w:sz w:val="20"/>
        </w:rPr>
      </w:pPr>
      <w:r>
        <w:rPr>
          <w:sz w:val="20"/>
        </w:rPr>
        <w:t>Appointment</w:t>
      </w:r>
    </w:p>
    <w:p w14:paraId="74764F6E" w14:textId="7C3E1583" w:rsidR="00B62626" w:rsidRDefault="00B62626" w:rsidP="00B62626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>Anyone with “</w:t>
      </w:r>
      <w:r w:rsidRPr="00B62626">
        <w:rPr>
          <w:sz w:val="20"/>
        </w:rPr>
        <w:t>significant authority</w:t>
      </w:r>
      <w:r>
        <w:rPr>
          <w:sz w:val="20"/>
        </w:rPr>
        <w:t xml:space="preserve">” </w:t>
      </w:r>
      <w:r w:rsidRPr="00B62626">
        <w:rPr>
          <w:sz w:val="20"/>
        </w:rPr>
        <w:t>is an Officer that m</w:t>
      </w:r>
      <w:r>
        <w:rPr>
          <w:sz w:val="20"/>
        </w:rPr>
        <w:t>ust</w:t>
      </w:r>
      <w:r w:rsidRPr="00B62626">
        <w:rPr>
          <w:sz w:val="20"/>
        </w:rPr>
        <w:t xml:space="preserve"> President</w:t>
      </w:r>
      <w:r>
        <w:rPr>
          <w:sz w:val="20"/>
        </w:rPr>
        <w:t>ially appointed (</w:t>
      </w:r>
      <w:r>
        <w:rPr>
          <w:i/>
          <w:sz w:val="20"/>
        </w:rPr>
        <w:t>Buckley v. Valeo</w:t>
      </w:r>
      <w:r>
        <w:rPr>
          <w:sz w:val="20"/>
        </w:rPr>
        <w:t>)</w:t>
      </w:r>
    </w:p>
    <w:p w14:paraId="64AE8C73" w14:textId="5CCB2FED" w:rsidR="004A762D" w:rsidRDefault="004A762D" w:rsidP="004A762D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Reflects reality of separation of powers by restricting Congress’ ability to appoint officers</w:t>
      </w:r>
    </w:p>
    <w:p w14:paraId="79FA756E" w14:textId="63DCA7A2" w:rsidR="004A762D" w:rsidRDefault="004A762D" w:rsidP="004A762D">
      <w:pPr>
        <w:pStyle w:val="ListParagraph"/>
        <w:numPr>
          <w:ilvl w:val="1"/>
          <w:numId w:val="39"/>
        </w:numPr>
        <w:rPr>
          <w:sz w:val="20"/>
        </w:rPr>
      </w:pPr>
      <w:r>
        <w:rPr>
          <w:sz w:val="20"/>
        </w:rPr>
        <w:t>However, inferior officers may be appointed by Congress, bypassing Senate approval</w:t>
      </w:r>
    </w:p>
    <w:p w14:paraId="765667CE" w14:textId="7E6438C4" w:rsidR="004A762D" w:rsidRDefault="004A762D" w:rsidP="004A762D">
      <w:pPr>
        <w:pStyle w:val="ListParagraph"/>
        <w:numPr>
          <w:ilvl w:val="2"/>
          <w:numId w:val="39"/>
        </w:numPr>
        <w:rPr>
          <w:sz w:val="20"/>
        </w:rPr>
      </w:pPr>
      <w:r>
        <w:rPr>
          <w:sz w:val="20"/>
        </w:rPr>
        <w:t xml:space="preserve">In </w:t>
      </w:r>
      <w:r>
        <w:rPr>
          <w:i/>
          <w:sz w:val="20"/>
        </w:rPr>
        <w:t>Morrison v. Olson</w:t>
      </w:r>
      <w:r>
        <w:rPr>
          <w:sz w:val="20"/>
        </w:rPr>
        <w:t>, court focused on these factors to determine</w:t>
      </w:r>
      <w:r w:rsidR="003837C6">
        <w:rPr>
          <w:sz w:val="20"/>
        </w:rPr>
        <w:t xml:space="preserve"> if an officer is inferior</w:t>
      </w:r>
      <w:r>
        <w:rPr>
          <w:sz w:val="20"/>
        </w:rPr>
        <w:t>: 1) Subject to removal, 2) Limited in function, jurisdiction, and duration</w:t>
      </w:r>
    </w:p>
    <w:p w14:paraId="04E78AC5" w14:textId="71D55C05" w:rsidR="004A762D" w:rsidRPr="004A762D" w:rsidRDefault="004A762D" w:rsidP="004A762D">
      <w:pPr>
        <w:pStyle w:val="ListParagraph"/>
        <w:numPr>
          <w:ilvl w:val="3"/>
          <w:numId w:val="39"/>
        </w:numPr>
        <w:rPr>
          <w:sz w:val="20"/>
        </w:rPr>
      </w:pPr>
      <w:r>
        <w:rPr>
          <w:sz w:val="20"/>
        </w:rPr>
        <w:lastRenderedPageBreak/>
        <w:t xml:space="preserve">Scalia argues that being subordinate to another officer is the most critical inquiry; to be an inferior officer, one’s work must be directed at some level by a principal, Presidentially-appointed officer (wins in </w:t>
      </w:r>
      <w:r>
        <w:rPr>
          <w:i/>
          <w:sz w:val="20"/>
        </w:rPr>
        <w:t>Edmond v. U.S.</w:t>
      </w:r>
      <w:r>
        <w:rPr>
          <w:sz w:val="20"/>
        </w:rPr>
        <w:t>)</w:t>
      </w:r>
    </w:p>
    <w:p w14:paraId="22ACEA03" w14:textId="56CFEA2A" w:rsidR="00B62626" w:rsidRDefault="00B62626" w:rsidP="00B62626">
      <w:pPr>
        <w:pStyle w:val="Heading4"/>
        <w:rPr>
          <w:sz w:val="20"/>
        </w:rPr>
      </w:pPr>
      <w:r w:rsidRPr="00B62626">
        <w:rPr>
          <w:sz w:val="20"/>
        </w:rPr>
        <w:t>Removal</w:t>
      </w:r>
    </w:p>
    <w:p w14:paraId="06BB343E" w14:textId="2582CC23" w:rsidR="004A762D" w:rsidRDefault="00A911AC" w:rsidP="004A762D">
      <w:pPr>
        <w:pStyle w:val="ListParagraph"/>
        <w:numPr>
          <w:ilvl w:val="0"/>
          <w:numId w:val="40"/>
        </w:numPr>
        <w:rPr>
          <w:sz w:val="20"/>
        </w:rPr>
      </w:pPr>
      <w:r w:rsidRPr="00A911AC">
        <w:rPr>
          <w:i/>
          <w:sz w:val="20"/>
        </w:rPr>
        <w:t xml:space="preserve">Myers </w:t>
      </w:r>
      <w:r w:rsidRPr="00A911AC">
        <w:rPr>
          <w:sz w:val="20"/>
        </w:rPr>
        <w:t xml:space="preserve">implemented the </w:t>
      </w:r>
      <w:r>
        <w:rPr>
          <w:sz w:val="20"/>
        </w:rPr>
        <w:t>unitary executive model;</w:t>
      </w:r>
      <w:r w:rsidRPr="00A911AC">
        <w:rPr>
          <w:sz w:val="20"/>
        </w:rPr>
        <w:t xml:space="preserve"> </w:t>
      </w:r>
      <w:r>
        <w:rPr>
          <w:sz w:val="20"/>
        </w:rPr>
        <w:t>President may</w:t>
      </w:r>
      <w:r w:rsidRPr="00A911AC">
        <w:rPr>
          <w:sz w:val="20"/>
        </w:rPr>
        <w:t xml:space="preserve"> remove Officers at his discretion</w:t>
      </w:r>
    </w:p>
    <w:p w14:paraId="725E44D0" w14:textId="1788FB03" w:rsidR="00A911AC" w:rsidRDefault="00A911AC" w:rsidP="00A911AC">
      <w:pPr>
        <w:pStyle w:val="ListParagraph"/>
        <w:numPr>
          <w:ilvl w:val="1"/>
          <w:numId w:val="40"/>
        </w:numPr>
        <w:rPr>
          <w:sz w:val="20"/>
        </w:rPr>
      </w:pPr>
      <w:r>
        <w:rPr>
          <w:sz w:val="20"/>
        </w:rPr>
        <w:t>Limited in cases of officers with quasi-judicial functions to limit interference in individual cases</w:t>
      </w:r>
    </w:p>
    <w:p w14:paraId="5BE5BCCD" w14:textId="235E68E4" w:rsidR="00A911AC" w:rsidRDefault="00A911AC" w:rsidP="00A911AC">
      <w:pPr>
        <w:pStyle w:val="ListParagraph"/>
        <w:numPr>
          <w:ilvl w:val="1"/>
          <w:numId w:val="40"/>
        </w:numPr>
        <w:rPr>
          <w:sz w:val="20"/>
        </w:rPr>
      </w:pPr>
      <w:r>
        <w:rPr>
          <w:sz w:val="20"/>
        </w:rPr>
        <w:t>Also creates an exception for career employees, but not political appointees</w:t>
      </w:r>
    </w:p>
    <w:p w14:paraId="4F084A36" w14:textId="72FD4FEE" w:rsidR="00A911AC" w:rsidRDefault="00A911AC" w:rsidP="00A911AC">
      <w:pPr>
        <w:pStyle w:val="ListParagraph"/>
        <w:numPr>
          <w:ilvl w:val="0"/>
          <w:numId w:val="40"/>
        </w:numPr>
        <w:rPr>
          <w:sz w:val="20"/>
        </w:rPr>
      </w:pPr>
      <w:r>
        <w:rPr>
          <w:i/>
          <w:sz w:val="20"/>
        </w:rPr>
        <w:t xml:space="preserve">Humphrey’s Executor </w:t>
      </w:r>
      <w:r>
        <w:rPr>
          <w:sz w:val="20"/>
        </w:rPr>
        <w:t xml:space="preserve">abandons </w:t>
      </w:r>
      <w:r>
        <w:rPr>
          <w:i/>
          <w:sz w:val="20"/>
        </w:rPr>
        <w:t xml:space="preserve">Myers </w:t>
      </w:r>
      <w:r>
        <w:rPr>
          <w:sz w:val="20"/>
        </w:rPr>
        <w:t xml:space="preserve">in favor of the civil service model, where officers have for-cause tenure protection; limits </w:t>
      </w:r>
      <w:r>
        <w:rPr>
          <w:i/>
          <w:sz w:val="20"/>
        </w:rPr>
        <w:t xml:space="preserve">Myers </w:t>
      </w:r>
      <w:r>
        <w:rPr>
          <w:sz w:val="20"/>
        </w:rPr>
        <w:t>to purely executive officers</w:t>
      </w:r>
    </w:p>
    <w:p w14:paraId="6E02432B" w14:textId="1CE63B49" w:rsidR="00364BFC" w:rsidRDefault="00364BFC" w:rsidP="00364BFC">
      <w:pPr>
        <w:pStyle w:val="ListParagraph"/>
        <w:numPr>
          <w:ilvl w:val="1"/>
          <w:numId w:val="40"/>
        </w:numPr>
        <w:rPr>
          <w:sz w:val="20"/>
        </w:rPr>
      </w:pPr>
      <w:r>
        <w:rPr>
          <w:i/>
          <w:sz w:val="20"/>
        </w:rPr>
        <w:t xml:space="preserve">Morrison v. Olson, </w:t>
      </w:r>
      <w:r>
        <w:rPr>
          <w:sz w:val="20"/>
        </w:rPr>
        <w:t>however, holds that as long as the President’s ability to faithfully execute the laws is not impeded, executive officers can be independent from the President</w:t>
      </w:r>
    </w:p>
    <w:p w14:paraId="62F8ECCB" w14:textId="7720CC47" w:rsidR="00364BFC" w:rsidRDefault="00364BFC" w:rsidP="00364BFC">
      <w:pPr>
        <w:pStyle w:val="ListParagraph"/>
        <w:numPr>
          <w:ilvl w:val="2"/>
          <w:numId w:val="40"/>
        </w:numPr>
        <w:rPr>
          <w:sz w:val="20"/>
        </w:rPr>
      </w:pPr>
      <w:r>
        <w:rPr>
          <w:sz w:val="20"/>
        </w:rPr>
        <w:t xml:space="preserve">Opposite holding of </w:t>
      </w:r>
      <w:r w:rsidR="00A56798">
        <w:rPr>
          <w:i/>
          <w:sz w:val="20"/>
        </w:rPr>
        <w:t>Humphrey’s</w:t>
      </w:r>
      <w:r>
        <w:rPr>
          <w:sz w:val="20"/>
        </w:rPr>
        <w:t>, finding that for cause removal does not infringe on President’s removal powers</w:t>
      </w:r>
    </w:p>
    <w:p w14:paraId="52933883" w14:textId="1D53FD52" w:rsidR="007D4749" w:rsidRDefault="007D4749" w:rsidP="007D4749">
      <w:pPr>
        <w:pStyle w:val="ListParagraph"/>
        <w:numPr>
          <w:ilvl w:val="3"/>
          <w:numId w:val="40"/>
        </w:numPr>
        <w:rPr>
          <w:sz w:val="20"/>
        </w:rPr>
      </w:pPr>
      <w:r>
        <w:rPr>
          <w:sz w:val="20"/>
        </w:rPr>
        <w:t>Double for-cause removal does infringe on the President’s removal powers (</w:t>
      </w:r>
      <w:r>
        <w:rPr>
          <w:i/>
          <w:sz w:val="20"/>
        </w:rPr>
        <w:t>PCAOB</w:t>
      </w:r>
      <w:r>
        <w:rPr>
          <w:sz w:val="20"/>
        </w:rPr>
        <w:t>)</w:t>
      </w:r>
    </w:p>
    <w:p w14:paraId="400BBCBA" w14:textId="146F011D" w:rsidR="007D4749" w:rsidRDefault="007D4749" w:rsidP="007D4749">
      <w:pPr>
        <w:pStyle w:val="ListParagraph"/>
        <w:numPr>
          <w:ilvl w:val="4"/>
          <w:numId w:val="40"/>
        </w:numPr>
        <w:rPr>
          <w:sz w:val="20"/>
        </w:rPr>
      </w:pPr>
      <w:r>
        <w:rPr>
          <w:sz w:val="20"/>
        </w:rPr>
        <w:t>Dissent points out that the President’s inability to remove the first layer of officers makes the second layer’s existence irrelevant</w:t>
      </w:r>
    </w:p>
    <w:p w14:paraId="13AADCD3" w14:textId="706403B0" w:rsidR="00364BFC" w:rsidRPr="00A911AC" w:rsidRDefault="00364BFC" w:rsidP="00364BFC">
      <w:pPr>
        <w:pStyle w:val="ListParagraph"/>
        <w:numPr>
          <w:ilvl w:val="2"/>
          <w:numId w:val="40"/>
        </w:numPr>
        <w:rPr>
          <w:sz w:val="20"/>
        </w:rPr>
      </w:pPr>
      <w:r>
        <w:rPr>
          <w:sz w:val="20"/>
        </w:rPr>
        <w:t>Scalia argues that because there is purely executive power being vested in an individual who is not the President, it is necessarily unconstitutional</w:t>
      </w:r>
    </w:p>
    <w:p w14:paraId="6D1A4950" w14:textId="401ADE68" w:rsidR="00A911AC" w:rsidRDefault="00A911AC" w:rsidP="00A911AC">
      <w:pPr>
        <w:pStyle w:val="ListParagraph"/>
        <w:numPr>
          <w:ilvl w:val="1"/>
          <w:numId w:val="40"/>
        </w:numPr>
        <w:rPr>
          <w:sz w:val="20"/>
        </w:rPr>
      </w:pPr>
      <w:r>
        <w:rPr>
          <w:sz w:val="20"/>
        </w:rPr>
        <w:t>Creates modern independent agencies that perform quasi-legislative and quasi-judicial functions</w:t>
      </w:r>
    </w:p>
    <w:p w14:paraId="26705FE0" w14:textId="3F984127" w:rsidR="00A911AC" w:rsidRPr="00A911AC" w:rsidRDefault="00A911AC" w:rsidP="00A911AC">
      <w:pPr>
        <w:pStyle w:val="ListParagraph"/>
        <w:numPr>
          <w:ilvl w:val="1"/>
          <w:numId w:val="40"/>
        </w:numPr>
        <w:rPr>
          <w:sz w:val="20"/>
        </w:rPr>
      </w:pPr>
      <w:r>
        <w:rPr>
          <w:sz w:val="20"/>
        </w:rPr>
        <w:t>Might infringe on non-delegation doctrine, where modern agencies have rulemaking power</w:t>
      </w:r>
    </w:p>
    <w:p w14:paraId="598CEFB5" w14:textId="753DEAAD" w:rsidR="00505123" w:rsidRDefault="00E86000" w:rsidP="00EA69C7">
      <w:pPr>
        <w:pStyle w:val="Heading3"/>
      </w:pPr>
      <w:r>
        <w:t>Rulemaking &amp; Adjudication</w:t>
      </w:r>
    </w:p>
    <w:p w14:paraId="542B5A58" w14:textId="22606D91" w:rsidR="00F61AA5" w:rsidRDefault="00F61AA5" w:rsidP="00AC7655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Rules have advantages over adjudicatory decisions</w:t>
      </w:r>
    </w:p>
    <w:p w14:paraId="6057C654" w14:textId="0728BD19" w:rsidR="00F61AA5" w:rsidRDefault="00F61AA5" w:rsidP="00F61AA5">
      <w:pPr>
        <w:pStyle w:val="ListParagraph"/>
        <w:numPr>
          <w:ilvl w:val="1"/>
          <w:numId w:val="17"/>
        </w:numPr>
        <w:spacing w:after="0"/>
        <w:rPr>
          <w:sz w:val="20"/>
        </w:rPr>
      </w:pPr>
      <w:r>
        <w:rPr>
          <w:sz w:val="20"/>
        </w:rPr>
        <w:t>Better notice to potential violators</w:t>
      </w:r>
    </w:p>
    <w:p w14:paraId="0B70F30C" w14:textId="18AEB6F6" w:rsidR="00F61AA5" w:rsidRDefault="00F61AA5" w:rsidP="00F61AA5">
      <w:pPr>
        <w:pStyle w:val="ListParagraph"/>
        <w:numPr>
          <w:ilvl w:val="1"/>
          <w:numId w:val="17"/>
        </w:numPr>
        <w:spacing w:after="0"/>
        <w:rPr>
          <w:sz w:val="20"/>
        </w:rPr>
      </w:pPr>
      <w:r>
        <w:rPr>
          <w:sz w:val="20"/>
        </w:rPr>
        <w:t>Eliminates the problem of strategic delay of compliance</w:t>
      </w:r>
    </w:p>
    <w:p w14:paraId="5500BF10" w14:textId="173400D9" w:rsidR="00F61AA5" w:rsidRDefault="00F61AA5" w:rsidP="00F61AA5">
      <w:pPr>
        <w:pStyle w:val="ListParagraph"/>
        <w:numPr>
          <w:ilvl w:val="1"/>
          <w:numId w:val="17"/>
        </w:numPr>
        <w:spacing w:after="0"/>
        <w:rPr>
          <w:sz w:val="20"/>
        </w:rPr>
      </w:pPr>
      <w:r>
        <w:rPr>
          <w:sz w:val="20"/>
        </w:rPr>
        <w:t>Prevents litigation on the correctness of precedent</w:t>
      </w:r>
    </w:p>
    <w:p w14:paraId="12B0798E" w14:textId="743DD2C6" w:rsidR="00F61AA5" w:rsidRDefault="00F61AA5" w:rsidP="00F61AA5">
      <w:pPr>
        <w:pStyle w:val="ListParagraph"/>
        <w:numPr>
          <w:ilvl w:val="2"/>
          <w:numId w:val="17"/>
        </w:numPr>
        <w:spacing w:after="0"/>
        <w:rPr>
          <w:sz w:val="20"/>
        </w:rPr>
      </w:pPr>
      <w:r>
        <w:rPr>
          <w:sz w:val="20"/>
        </w:rPr>
        <w:t xml:space="preserve">Rules bind the </w:t>
      </w:r>
      <w:r>
        <w:rPr>
          <w:i/>
          <w:sz w:val="20"/>
        </w:rPr>
        <w:t xml:space="preserve">agency </w:t>
      </w:r>
      <w:r>
        <w:rPr>
          <w:sz w:val="20"/>
        </w:rPr>
        <w:t>unless changed by the rule</w:t>
      </w:r>
    </w:p>
    <w:p w14:paraId="6310F1CB" w14:textId="77777777" w:rsidR="00AC7655" w:rsidRDefault="00AC7655" w:rsidP="00AC7655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There are matters of public right that do not need to be adjudicated by Article III courts (</w:t>
      </w:r>
      <w:r>
        <w:rPr>
          <w:i/>
          <w:sz w:val="20"/>
        </w:rPr>
        <w:t xml:space="preserve">Crowell v. Benson </w:t>
      </w:r>
      <w:r>
        <w:rPr>
          <w:sz w:val="20"/>
        </w:rPr>
        <w:t>– Fisherman’s Worker’s Compensation adjudicated by a commissioner)</w:t>
      </w:r>
    </w:p>
    <w:p w14:paraId="0BE61DC7" w14:textId="5B856233" w:rsidR="00505123" w:rsidRDefault="00AC7655" w:rsidP="00AC7655">
      <w:pPr>
        <w:pStyle w:val="ListParagraph"/>
        <w:numPr>
          <w:ilvl w:val="1"/>
          <w:numId w:val="17"/>
        </w:numPr>
        <w:spacing w:after="0"/>
        <w:rPr>
          <w:sz w:val="20"/>
        </w:rPr>
      </w:pPr>
      <w:r>
        <w:rPr>
          <w:sz w:val="20"/>
        </w:rPr>
        <w:t>Fundamental and “jurisdictional” facts (facts that determine whether a statute is applicable) are different. If jurisdictional facts are at issue, an Article III court is the proper forum</w:t>
      </w:r>
    </w:p>
    <w:p w14:paraId="58E94DB5" w14:textId="72C15860" w:rsidR="00AC7655" w:rsidRDefault="00AC7655" w:rsidP="00AC7655">
      <w:pPr>
        <w:pStyle w:val="ListParagraph"/>
        <w:numPr>
          <w:ilvl w:val="2"/>
          <w:numId w:val="17"/>
        </w:numPr>
        <w:spacing w:after="0"/>
        <w:rPr>
          <w:sz w:val="20"/>
        </w:rPr>
      </w:pPr>
      <w:r>
        <w:rPr>
          <w:sz w:val="20"/>
        </w:rPr>
        <w:t>Tries to lay a boundary line between administrative state and Constitutional structures</w:t>
      </w:r>
    </w:p>
    <w:p w14:paraId="27152F39" w14:textId="66D07CB9" w:rsidR="00AC7655" w:rsidRDefault="00AC7655" w:rsidP="00AC7655">
      <w:pPr>
        <w:pStyle w:val="ListParagraph"/>
        <w:numPr>
          <w:ilvl w:val="2"/>
          <w:numId w:val="17"/>
        </w:numPr>
        <w:spacing w:after="0"/>
        <w:rPr>
          <w:sz w:val="20"/>
        </w:rPr>
      </w:pPr>
      <w:r>
        <w:rPr>
          <w:sz w:val="20"/>
        </w:rPr>
        <w:t>Emphasis is placed on the fact that judicial review was permissible</w:t>
      </w:r>
    </w:p>
    <w:p w14:paraId="4E81DB8D" w14:textId="3ACF3510" w:rsidR="00AC7655" w:rsidRDefault="00AC7655" w:rsidP="00AC7655">
      <w:pPr>
        <w:pStyle w:val="ListParagraph"/>
        <w:numPr>
          <w:ilvl w:val="3"/>
          <w:numId w:val="17"/>
        </w:numPr>
        <w:spacing w:after="0"/>
        <w:rPr>
          <w:sz w:val="20"/>
        </w:rPr>
      </w:pPr>
      <w:r>
        <w:rPr>
          <w:sz w:val="20"/>
        </w:rPr>
        <w:t xml:space="preserve">Agency determinations allow </w:t>
      </w:r>
      <w:r w:rsidR="00BE1AE9">
        <w:rPr>
          <w:sz w:val="20"/>
        </w:rPr>
        <w:t>more effective shaping of policie</w:t>
      </w:r>
      <w:r>
        <w:rPr>
          <w:sz w:val="20"/>
        </w:rPr>
        <w:t xml:space="preserve">s </w:t>
      </w:r>
    </w:p>
    <w:p w14:paraId="4A947008" w14:textId="6553FF7C" w:rsidR="00AC7655" w:rsidRDefault="00AC7655" w:rsidP="00AC7655">
      <w:pPr>
        <w:pStyle w:val="ListParagraph"/>
        <w:numPr>
          <w:ilvl w:val="3"/>
          <w:numId w:val="17"/>
        </w:numPr>
        <w:spacing w:after="0"/>
        <w:rPr>
          <w:sz w:val="20"/>
        </w:rPr>
      </w:pPr>
      <w:r>
        <w:rPr>
          <w:sz w:val="20"/>
        </w:rPr>
        <w:t xml:space="preserve">Does judicial review matter? </w:t>
      </w:r>
    </w:p>
    <w:p w14:paraId="1D6275F5" w14:textId="2353D848" w:rsidR="00AC7655" w:rsidRDefault="00AC7655" w:rsidP="00AC7655">
      <w:pPr>
        <w:pStyle w:val="ListParagraph"/>
        <w:numPr>
          <w:ilvl w:val="4"/>
          <w:numId w:val="17"/>
        </w:numPr>
        <w:spacing w:after="0"/>
        <w:rPr>
          <w:sz w:val="20"/>
        </w:rPr>
      </w:pPr>
      <w:r>
        <w:rPr>
          <w:sz w:val="20"/>
        </w:rPr>
        <w:t xml:space="preserve">Is there a rubber stamp problem, especially if deference is paid to the agency’s decision? </w:t>
      </w:r>
    </w:p>
    <w:p w14:paraId="4C4C7979" w14:textId="5B4E0C2E" w:rsidR="00AC7655" w:rsidRPr="00EA69C7" w:rsidRDefault="00AC7655" w:rsidP="00EA69C7">
      <w:pPr>
        <w:pStyle w:val="ListParagraph"/>
        <w:numPr>
          <w:ilvl w:val="4"/>
          <w:numId w:val="17"/>
        </w:numPr>
        <w:spacing w:after="0"/>
        <w:rPr>
          <w:sz w:val="20"/>
        </w:rPr>
      </w:pPr>
      <w:r>
        <w:rPr>
          <w:sz w:val="20"/>
        </w:rPr>
        <w:t>The legislature can delegate authority to others</w:t>
      </w:r>
      <w:r w:rsidR="00EA69C7">
        <w:rPr>
          <w:sz w:val="20"/>
        </w:rPr>
        <w:t xml:space="preserve"> – </w:t>
      </w:r>
      <w:r w:rsidRPr="00EA69C7">
        <w:rPr>
          <w:sz w:val="20"/>
        </w:rPr>
        <w:t>Efficiency</w:t>
      </w:r>
    </w:p>
    <w:p w14:paraId="0C240BCB" w14:textId="77A56A82" w:rsidR="00AC7655" w:rsidRDefault="00AC7655" w:rsidP="00AC7655">
      <w:pPr>
        <w:pStyle w:val="ListParagraph"/>
        <w:numPr>
          <w:ilvl w:val="4"/>
          <w:numId w:val="17"/>
        </w:numPr>
        <w:spacing w:after="0"/>
        <w:rPr>
          <w:sz w:val="20"/>
        </w:rPr>
      </w:pPr>
      <w:r>
        <w:rPr>
          <w:sz w:val="20"/>
        </w:rPr>
        <w:t xml:space="preserve">Independent agencies are the </w:t>
      </w:r>
      <w:r>
        <w:rPr>
          <w:i/>
          <w:sz w:val="20"/>
        </w:rPr>
        <w:t xml:space="preserve">product </w:t>
      </w:r>
      <w:r>
        <w:rPr>
          <w:sz w:val="20"/>
        </w:rPr>
        <w:t>of separation of powers (all three branches cooperated to provide the agency their initial power)</w:t>
      </w:r>
    </w:p>
    <w:p w14:paraId="44F149B4" w14:textId="51D70097" w:rsidR="00AC7655" w:rsidRDefault="00AC7655" w:rsidP="00AC7655">
      <w:pPr>
        <w:pStyle w:val="ListParagraph"/>
        <w:numPr>
          <w:ilvl w:val="4"/>
          <w:numId w:val="17"/>
        </w:numPr>
        <w:spacing w:after="0"/>
        <w:rPr>
          <w:sz w:val="20"/>
        </w:rPr>
      </w:pPr>
      <w:r>
        <w:rPr>
          <w:sz w:val="20"/>
        </w:rPr>
        <w:t>Presence/lack of electoral accountability (is this an effective tool?)</w:t>
      </w:r>
    </w:p>
    <w:p w14:paraId="5C7DE436" w14:textId="75A571ED" w:rsidR="00F64EAF" w:rsidRDefault="0023576A" w:rsidP="0023576A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Agencies are allowed to perform prosecutorial and judicial decisions concomitantly, as long as the procedures used conform to both the APA and the Constitution (</w:t>
      </w:r>
      <w:r>
        <w:rPr>
          <w:i/>
          <w:sz w:val="20"/>
        </w:rPr>
        <w:t>Wong Yang Sung v. McGath</w:t>
      </w:r>
      <w:r>
        <w:rPr>
          <w:sz w:val="20"/>
        </w:rPr>
        <w:t>)</w:t>
      </w:r>
    </w:p>
    <w:p w14:paraId="4486778F" w14:textId="79260626" w:rsidR="0023576A" w:rsidRDefault="0023576A" w:rsidP="0023576A">
      <w:pPr>
        <w:pStyle w:val="ListParagraph"/>
        <w:numPr>
          <w:ilvl w:val="1"/>
          <w:numId w:val="17"/>
        </w:numPr>
        <w:spacing w:after="0"/>
        <w:rPr>
          <w:sz w:val="20"/>
        </w:rPr>
      </w:pPr>
      <w:r>
        <w:rPr>
          <w:sz w:val="20"/>
        </w:rPr>
        <w:t>§554 restricts ex parte contact, subordinates acting as a judge in a superior’s case, and having employees participate in different functions in substantially similar cases</w:t>
      </w:r>
    </w:p>
    <w:p w14:paraId="61ED1C42" w14:textId="77777777" w:rsidR="00970A17" w:rsidRPr="00970A17" w:rsidRDefault="00970A17" w:rsidP="00970A17">
      <w:pPr>
        <w:pStyle w:val="ListParagraph"/>
        <w:numPr>
          <w:ilvl w:val="0"/>
          <w:numId w:val="17"/>
        </w:numPr>
      </w:pPr>
      <w:r>
        <w:rPr>
          <w:sz w:val="20"/>
        </w:rPr>
        <w:t>The grounds upon which the agency based its decision must be found in the record (no post-hoc rationalization) (</w:t>
      </w:r>
      <w:r>
        <w:rPr>
          <w:i/>
          <w:sz w:val="20"/>
        </w:rPr>
        <w:t>SEC v. Chenery</w:t>
      </w:r>
      <w:r>
        <w:rPr>
          <w:sz w:val="20"/>
        </w:rPr>
        <w:t>)</w:t>
      </w:r>
    </w:p>
    <w:p w14:paraId="6061F8BA" w14:textId="77777777" w:rsidR="00970A17" w:rsidRPr="00181424" w:rsidRDefault="00970A17" w:rsidP="00970A17">
      <w:pPr>
        <w:pStyle w:val="ListParagraph"/>
        <w:numPr>
          <w:ilvl w:val="1"/>
          <w:numId w:val="17"/>
        </w:numPr>
      </w:pPr>
      <w:r>
        <w:rPr>
          <w:sz w:val="20"/>
        </w:rPr>
        <w:t xml:space="preserve">Adequate agency explanation is the currency with which an agency purchases </w:t>
      </w:r>
      <w:r>
        <w:rPr>
          <w:i/>
          <w:sz w:val="20"/>
        </w:rPr>
        <w:t xml:space="preserve">Chevron </w:t>
      </w:r>
      <w:r>
        <w:rPr>
          <w:sz w:val="20"/>
        </w:rPr>
        <w:t>deference</w:t>
      </w:r>
    </w:p>
    <w:p w14:paraId="298FCEDD" w14:textId="77777777" w:rsidR="00970A17" w:rsidRPr="00181424" w:rsidRDefault="00970A17" w:rsidP="00970A17">
      <w:pPr>
        <w:pStyle w:val="ListParagraph"/>
        <w:numPr>
          <w:ilvl w:val="1"/>
          <w:numId w:val="17"/>
        </w:numPr>
      </w:pPr>
      <w:r>
        <w:rPr>
          <w:sz w:val="20"/>
        </w:rPr>
        <w:t>Only holds for adjudicatory decisions, but a similar requirement will be imposed on rule-making procedures under notice-and-comment rulemaking under the APA</w:t>
      </w:r>
    </w:p>
    <w:p w14:paraId="0AF3DB24" w14:textId="13ACA68F" w:rsidR="00970A17" w:rsidRPr="00B11AC9" w:rsidRDefault="00970A17" w:rsidP="00970A17">
      <w:pPr>
        <w:pStyle w:val="ListParagraph"/>
        <w:numPr>
          <w:ilvl w:val="1"/>
          <w:numId w:val="17"/>
        </w:numPr>
      </w:pPr>
      <w:r>
        <w:rPr>
          <w:sz w:val="20"/>
        </w:rPr>
        <w:t>Agencies are presumed to have adjudicatory authority (</w:t>
      </w:r>
      <w:r>
        <w:rPr>
          <w:i/>
          <w:sz w:val="20"/>
        </w:rPr>
        <w:t>SEC v. Chenery II</w:t>
      </w:r>
      <w:r>
        <w:rPr>
          <w:sz w:val="20"/>
        </w:rPr>
        <w:t>)</w:t>
      </w:r>
    </w:p>
    <w:p w14:paraId="5F984677" w14:textId="77777777" w:rsidR="00B11AC9" w:rsidRPr="00B11AC9" w:rsidRDefault="00B11AC9" w:rsidP="00B11AC9">
      <w:pPr>
        <w:pStyle w:val="ListParagraph"/>
        <w:numPr>
          <w:ilvl w:val="2"/>
          <w:numId w:val="17"/>
        </w:numPr>
      </w:pPr>
      <w:r>
        <w:rPr>
          <w:sz w:val="20"/>
        </w:rPr>
        <w:t>Agencies are also presumed to have rule-making authority (</w:t>
      </w:r>
      <w:r>
        <w:rPr>
          <w:i/>
          <w:sz w:val="20"/>
        </w:rPr>
        <w:t xml:space="preserve">National Petroleum </w:t>
      </w:r>
      <w:r>
        <w:rPr>
          <w:sz w:val="20"/>
        </w:rPr>
        <w:t>– Octane rating on gas pumps)</w:t>
      </w:r>
    </w:p>
    <w:p w14:paraId="70A12EEE" w14:textId="1E98D3EC" w:rsidR="00B11AC9" w:rsidRPr="00970A17" w:rsidRDefault="00B11AC9" w:rsidP="00B11AC9">
      <w:pPr>
        <w:pStyle w:val="ListParagraph"/>
        <w:numPr>
          <w:ilvl w:val="2"/>
          <w:numId w:val="17"/>
        </w:numPr>
      </w:pPr>
      <w:r>
        <w:rPr>
          <w:sz w:val="20"/>
        </w:rPr>
        <w:t>This means that agencies may determine which procedural safeguards they will use; as long as the decision is reasonable and the statute is ambiguous, courts will defer to the agency’s judgment (</w:t>
      </w:r>
      <w:r>
        <w:rPr>
          <w:i/>
          <w:sz w:val="20"/>
        </w:rPr>
        <w:t>Dominion Energy</w:t>
      </w:r>
      <w:r>
        <w:rPr>
          <w:sz w:val="20"/>
        </w:rPr>
        <w:t xml:space="preserve">) </w:t>
      </w:r>
    </w:p>
    <w:p w14:paraId="5C362F61" w14:textId="393D9DDA" w:rsidR="00EA69C7" w:rsidRDefault="00EA69C7" w:rsidP="00EA69C7">
      <w:pPr>
        <w:pStyle w:val="Heading4"/>
      </w:pPr>
      <w:r>
        <w:t>Due Process</w:t>
      </w:r>
    </w:p>
    <w:p w14:paraId="61DB6850" w14:textId="1B7A00AF" w:rsidR="00EA69C7" w:rsidRPr="00EA69C7" w:rsidRDefault="00EA69C7" w:rsidP="00EA69C7">
      <w:pPr>
        <w:pStyle w:val="ListParagraph"/>
        <w:numPr>
          <w:ilvl w:val="0"/>
          <w:numId w:val="41"/>
        </w:numPr>
      </w:pPr>
      <w:r>
        <w:rPr>
          <w:sz w:val="20"/>
        </w:rPr>
        <w:t>Oral argument is a procedural protection that must be granted before a taking is justified (</w:t>
      </w:r>
      <w:r>
        <w:rPr>
          <w:i/>
          <w:sz w:val="20"/>
        </w:rPr>
        <w:t>Londoner v. Denver</w:t>
      </w:r>
      <w:r>
        <w:rPr>
          <w:sz w:val="20"/>
        </w:rPr>
        <w:t xml:space="preserve">) </w:t>
      </w:r>
    </w:p>
    <w:p w14:paraId="5A6979FF" w14:textId="044C857E" w:rsidR="00EA69C7" w:rsidRPr="00EA69C7" w:rsidRDefault="00EA69C7" w:rsidP="00EA69C7">
      <w:pPr>
        <w:pStyle w:val="ListParagraph"/>
        <w:numPr>
          <w:ilvl w:val="1"/>
          <w:numId w:val="41"/>
        </w:numPr>
      </w:pPr>
      <w:r>
        <w:rPr>
          <w:sz w:val="20"/>
        </w:rPr>
        <w:t>Why is oral argument necessary? – It’s harder to ignore and promotes accountability</w:t>
      </w:r>
    </w:p>
    <w:p w14:paraId="6B67B30A" w14:textId="77700CF4" w:rsidR="00EA69C7" w:rsidRPr="009C7DCE" w:rsidRDefault="00EA69C7" w:rsidP="00EA69C7">
      <w:pPr>
        <w:pStyle w:val="ListParagraph"/>
        <w:numPr>
          <w:ilvl w:val="1"/>
          <w:numId w:val="41"/>
        </w:numPr>
      </w:pPr>
      <w:r>
        <w:rPr>
          <w:sz w:val="20"/>
        </w:rPr>
        <w:t xml:space="preserve">Limited in </w:t>
      </w:r>
      <w:r>
        <w:rPr>
          <w:i/>
          <w:sz w:val="20"/>
        </w:rPr>
        <w:t>Bi-Metallic</w:t>
      </w:r>
      <w:r>
        <w:rPr>
          <w:sz w:val="20"/>
        </w:rPr>
        <w:t>, where a broad statement that impacts a narrowly defined set of individuals did not require a hearing – in other words, rulemaking instead of adjudication</w:t>
      </w:r>
    </w:p>
    <w:p w14:paraId="1584EB36" w14:textId="77777777" w:rsidR="00311F6A" w:rsidRPr="00311F6A" w:rsidRDefault="009C7DCE" w:rsidP="00311F6A">
      <w:pPr>
        <w:pStyle w:val="ListParagraph"/>
        <w:numPr>
          <w:ilvl w:val="2"/>
          <w:numId w:val="41"/>
        </w:numPr>
      </w:pPr>
      <w:r>
        <w:rPr>
          <w:sz w:val="20"/>
        </w:rPr>
        <w:t xml:space="preserve">Legislative process is equivalent to due process </w:t>
      </w:r>
      <w:r w:rsidR="00311F6A">
        <w:rPr>
          <w:sz w:val="20"/>
        </w:rPr>
        <w:t>in rule-making procedures</w:t>
      </w:r>
    </w:p>
    <w:p w14:paraId="697D5D6E" w14:textId="6AC3726D" w:rsidR="00311F6A" w:rsidRPr="00EA69C7" w:rsidRDefault="00311F6A" w:rsidP="00311F6A">
      <w:pPr>
        <w:pStyle w:val="ListParagraph"/>
        <w:numPr>
          <w:ilvl w:val="3"/>
          <w:numId w:val="41"/>
        </w:numPr>
      </w:pPr>
      <w:r>
        <w:rPr>
          <w:sz w:val="20"/>
        </w:rPr>
        <w:t>Constitutional due process is a floor, not a ceiling, since statutes (in particular, the APA), can require more</w:t>
      </w:r>
      <w:r>
        <w:tab/>
      </w:r>
    </w:p>
    <w:p w14:paraId="62447602" w14:textId="0C8AE9FE" w:rsidR="00EA69C7" w:rsidRPr="009C7DCE" w:rsidRDefault="00EA69C7" w:rsidP="00EA69C7">
      <w:pPr>
        <w:pStyle w:val="ListParagraph"/>
        <w:numPr>
          <w:ilvl w:val="1"/>
          <w:numId w:val="41"/>
        </w:numPr>
      </w:pPr>
      <w:r>
        <w:rPr>
          <w:sz w:val="20"/>
        </w:rPr>
        <w:t xml:space="preserve">Confirmed in </w:t>
      </w:r>
      <w:r>
        <w:rPr>
          <w:i/>
          <w:sz w:val="20"/>
        </w:rPr>
        <w:t>Southern Railway v. Virginia</w:t>
      </w:r>
      <w:r>
        <w:rPr>
          <w:sz w:val="20"/>
        </w:rPr>
        <w:t>, which also re-states that administrators cannot perform identical tasks to legislatures</w:t>
      </w:r>
    </w:p>
    <w:p w14:paraId="2B94F515" w14:textId="1206A899" w:rsidR="009C7DCE" w:rsidRPr="009C7DCE" w:rsidRDefault="009C7DCE" w:rsidP="009C7DCE">
      <w:pPr>
        <w:pStyle w:val="ListParagraph"/>
        <w:numPr>
          <w:ilvl w:val="2"/>
          <w:numId w:val="41"/>
        </w:numPr>
      </w:pPr>
      <w:r>
        <w:rPr>
          <w:sz w:val="20"/>
        </w:rPr>
        <w:t xml:space="preserve">Concerned with creation of an evidentiary record to facilitate judicial review? </w:t>
      </w:r>
    </w:p>
    <w:p w14:paraId="73CCC74C" w14:textId="24C0D79F" w:rsidR="009C7DCE" w:rsidRDefault="009C7DCE" w:rsidP="009C7DCE">
      <w:pPr>
        <w:pStyle w:val="ListParagraph"/>
        <w:numPr>
          <w:ilvl w:val="1"/>
          <w:numId w:val="41"/>
        </w:numPr>
        <w:rPr>
          <w:sz w:val="20"/>
        </w:rPr>
      </w:pPr>
      <w:r w:rsidRPr="009C7DCE">
        <w:rPr>
          <w:sz w:val="20"/>
        </w:rPr>
        <w:t xml:space="preserve">The government may </w:t>
      </w:r>
      <w:r>
        <w:rPr>
          <w:sz w:val="20"/>
        </w:rPr>
        <w:t>perform the cost-benefit analysis in ill-defined emergency cases</w:t>
      </w:r>
    </w:p>
    <w:p w14:paraId="67723DFC" w14:textId="3532921C" w:rsidR="009C7DCE" w:rsidRDefault="009C7DCE" w:rsidP="009C7DCE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>Courts move too slowly to address time-sensitive situation</w:t>
      </w:r>
      <w:r w:rsidR="000107D3">
        <w:rPr>
          <w:sz w:val="20"/>
        </w:rPr>
        <w:t xml:space="preserve">s, so legislature may </w:t>
      </w:r>
      <w:r>
        <w:rPr>
          <w:sz w:val="20"/>
        </w:rPr>
        <w:t>act</w:t>
      </w:r>
    </w:p>
    <w:p w14:paraId="0B8F6623" w14:textId="4864259E" w:rsidR="009C7DCE" w:rsidRDefault="009C7DCE" w:rsidP="009C7DCE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>Property loss is compensable post hoc, reducing importance of pre-seizure hearing</w:t>
      </w:r>
    </w:p>
    <w:p w14:paraId="09FCF588" w14:textId="48573BCD" w:rsidR="009C7DCE" w:rsidRDefault="009C7DCE" w:rsidP="009C7DCE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 xml:space="preserve">There is a two-step process within the due process inquiry: </w:t>
      </w:r>
    </w:p>
    <w:p w14:paraId="19B1780D" w14:textId="5553168F" w:rsidR="009C7DCE" w:rsidRDefault="009C7DCE" w:rsidP="009C7DCE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>Whether due process applies at all? (impacted by whether interest is in liberty or property)</w:t>
      </w:r>
    </w:p>
    <w:p w14:paraId="3062E91F" w14:textId="77777777" w:rsidR="00311F6A" w:rsidRDefault="00311F6A" w:rsidP="00311F6A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>A property entitlement created by statute can fall into three traps</w:t>
      </w:r>
    </w:p>
    <w:p w14:paraId="5D962705" w14:textId="77777777" w:rsidR="00311F6A" w:rsidRDefault="00311F6A" w:rsidP="00311F6A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 xml:space="preserve">A statute that creates a legitimate expectation </w:t>
      </w:r>
      <w:r>
        <w:rPr>
          <w:i/>
          <w:sz w:val="20"/>
        </w:rPr>
        <w:t xml:space="preserve">can </w:t>
      </w:r>
      <w:r>
        <w:rPr>
          <w:sz w:val="20"/>
        </w:rPr>
        <w:t>limit procedural due process (</w:t>
      </w:r>
      <w:r>
        <w:rPr>
          <w:i/>
          <w:sz w:val="20"/>
        </w:rPr>
        <w:t>Arnett v. Kennedy</w:t>
      </w:r>
      <w:r>
        <w:rPr>
          <w:sz w:val="20"/>
        </w:rPr>
        <w:t xml:space="preserve"> – the substantive right granted was subject to the statute’s, and not the Constitution’s, procedural guarantees – “bitter with the sweet”)</w:t>
      </w:r>
    </w:p>
    <w:p w14:paraId="6463E612" w14:textId="77777777" w:rsidR="00311F6A" w:rsidRDefault="00311F6A" w:rsidP="00311F6A">
      <w:pPr>
        <w:pStyle w:val="ListParagraph"/>
        <w:numPr>
          <w:ilvl w:val="4"/>
          <w:numId w:val="41"/>
        </w:numPr>
        <w:rPr>
          <w:sz w:val="20"/>
        </w:rPr>
      </w:pPr>
      <w:r>
        <w:rPr>
          <w:sz w:val="20"/>
        </w:rPr>
        <w:t xml:space="preserve">Overruled by </w:t>
      </w:r>
      <w:r>
        <w:rPr>
          <w:i/>
          <w:sz w:val="20"/>
        </w:rPr>
        <w:t>Loudermill</w:t>
      </w:r>
      <w:r>
        <w:rPr>
          <w:sz w:val="20"/>
        </w:rPr>
        <w:t xml:space="preserve"> – Congress cannot rewrite Constitutional procedural safeguards when defining an entitlement </w:t>
      </w:r>
    </w:p>
    <w:p w14:paraId="677E3906" w14:textId="77777777" w:rsidR="00311F6A" w:rsidRDefault="00311F6A" w:rsidP="00311F6A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>Since the Constitution doesn’t create property, a state may avoid due process concerns by refusing to provide an entitlement (</w:t>
      </w:r>
      <w:r>
        <w:rPr>
          <w:i/>
          <w:sz w:val="20"/>
        </w:rPr>
        <w:t>State Colleges v. Roth</w:t>
      </w:r>
      <w:r>
        <w:rPr>
          <w:sz w:val="20"/>
        </w:rPr>
        <w:t xml:space="preserve"> – one-year employment contract that did not provide for renewal did not create a legitimate expectation amounting to property)</w:t>
      </w:r>
    </w:p>
    <w:p w14:paraId="705E7803" w14:textId="77777777" w:rsidR="00311F6A" w:rsidRDefault="00311F6A" w:rsidP="00311F6A">
      <w:pPr>
        <w:pStyle w:val="ListParagraph"/>
        <w:numPr>
          <w:ilvl w:val="4"/>
          <w:numId w:val="41"/>
        </w:numPr>
        <w:rPr>
          <w:sz w:val="20"/>
        </w:rPr>
      </w:pPr>
      <w:r>
        <w:rPr>
          <w:sz w:val="20"/>
        </w:rPr>
        <w:t>A tradition of not firing employees except in special situations may create a ‘reasonable expectation’, amounting to property protected by due process (</w:t>
      </w:r>
      <w:r>
        <w:rPr>
          <w:i/>
          <w:sz w:val="20"/>
        </w:rPr>
        <w:t>Perry v. Sindermann</w:t>
      </w:r>
      <w:r>
        <w:rPr>
          <w:sz w:val="20"/>
        </w:rPr>
        <w:t>)</w:t>
      </w:r>
    </w:p>
    <w:p w14:paraId="032AD105" w14:textId="7289DF32" w:rsidR="00311F6A" w:rsidRPr="00311F6A" w:rsidRDefault="00311F6A" w:rsidP="00311F6A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>The interest’s weight is irrelevant to determining if due process applies at all (only relevant in the 2</w:t>
      </w:r>
      <w:r w:rsidRPr="00311F6A">
        <w:rPr>
          <w:sz w:val="20"/>
          <w:vertAlign w:val="superscript"/>
        </w:rPr>
        <w:t>nd</w:t>
      </w:r>
      <w:r>
        <w:rPr>
          <w:sz w:val="20"/>
        </w:rPr>
        <w:t xml:space="preserve"> inquiry)</w:t>
      </w:r>
    </w:p>
    <w:p w14:paraId="7F9D6C5D" w14:textId="79467D0A" w:rsidR="009C7DCE" w:rsidRDefault="009C7DCE" w:rsidP="009C7DCE">
      <w:pPr>
        <w:pStyle w:val="ListParagraph"/>
        <w:numPr>
          <w:ilvl w:val="1"/>
          <w:numId w:val="41"/>
        </w:numPr>
        <w:rPr>
          <w:sz w:val="20"/>
        </w:rPr>
      </w:pPr>
      <w:r>
        <w:rPr>
          <w:sz w:val="20"/>
        </w:rPr>
        <w:t xml:space="preserve">How much/what process is due? </w:t>
      </w:r>
    </w:p>
    <w:p w14:paraId="45B2D948" w14:textId="4521D7EE" w:rsidR="009C7DCE" w:rsidRDefault="006E36FA" w:rsidP="009C7DCE">
      <w:pPr>
        <w:pStyle w:val="ListParagraph"/>
        <w:numPr>
          <w:ilvl w:val="2"/>
          <w:numId w:val="41"/>
        </w:numPr>
        <w:rPr>
          <w:sz w:val="20"/>
        </w:rPr>
      </w:pPr>
      <w:r>
        <w:rPr>
          <w:sz w:val="20"/>
        </w:rPr>
        <w:t xml:space="preserve">What triggers these inquiries? Need? (see “brutal harm” – </w:t>
      </w:r>
      <w:r>
        <w:rPr>
          <w:i/>
          <w:sz w:val="20"/>
        </w:rPr>
        <w:t>Goldberg v. Kelly</w:t>
      </w:r>
      <w:r w:rsidR="00700AC6">
        <w:rPr>
          <w:i/>
          <w:sz w:val="20"/>
        </w:rPr>
        <w:t xml:space="preserve"> </w:t>
      </w:r>
      <w:r w:rsidR="00700AC6">
        <w:rPr>
          <w:sz w:val="20"/>
        </w:rPr>
        <w:t>– welfare benefits ended without hearing</w:t>
      </w:r>
      <w:r>
        <w:rPr>
          <w:sz w:val="20"/>
        </w:rPr>
        <w:t>) A statutory grant? (see Reich’s argument concerning new property)</w:t>
      </w:r>
    </w:p>
    <w:p w14:paraId="3BB7ECD2" w14:textId="7B40F674" w:rsidR="00D973C7" w:rsidRDefault="00D973C7" w:rsidP="00D973C7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 xml:space="preserve">Why does </w:t>
      </w:r>
      <w:r>
        <w:rPr>
          <w:i/>
          <w:sz w:val="20"/>
        </w:rPr>
        <w:t xml:space="preserve">Goldberg </w:t>
      </w:r>
      <w:r w:rsidR="00700AC6">
        <w:rPr>
          <w:sz w:val="20"/>
        </w:rPr>
        <w:t>come out differently</w:t>
      </w:r>
      <w:r>
        <w:rPr>
          <w:sz w:val="20"/>
        </w:rPr>
        <w:t xml:space="preserve"> than </w:t>
      </w:r>
      <w:r>
        <w:rPr>
          <w:i/>
          <w:sz w:val="20"/>
        </w:rPr>
        <w:t>Londoner</w:t>
      </w:r>
      <w:r>
        <w:rPr>
          <w:sz w:val="20"/>
        </w:rPr>
        <w:t>? I</w:t>
      </w:r>
      <w:r w:rsidR="00700AC6">
        <w:rPr>
          <w:sz w:val="20"/>
        </w:rPr>
        <w:t>s there a distinction between</w:t>
      </w:r>
      <w:r>
        <w:rPr>
          <w:sz w:val="20"/>
        </w:rPr>
        <w:t xml:space="preserve"> </w:t>
      </w:r>
      <w:r w:rsidR="00700AC6">
        <w:rPr>
          <w:sz w:val="20"/>
        </w:rPr>
        <w:t>‘</w:t>
      </w:r>
      <w:r>
        <w:rPr>
          <w:sz w:val="20"/>
        </w:rPr>
        <w:t>taking</w:t>
      </w:r>
      <w:r w:rsidR="00700AC6">
        <w:rPr>
          <w:sz w:val="20"/>
        </w:rPr>
        <w:t>s’</w:t>
      </w:r>
      <w:r>
        <w:rPr>
          <w:sz w:val="20"/>
        </w:rPr>
        <w:t xml:space="preserve"> and refusal to grant benefit</w:t>
      </w:r>
      <w:r w:rsidR="00700AC6">
        <w:rPr>
          <w:sz w:val="20"/>
        </w:rPr>
        <w:t>s</w:t>
      </w:r>
      <w:r>
        <w:rPr>
          <w:sz w:val="20"/>
        </w:rPr>
        <w:t>?</w:t>
      </w:r>
      <w:r w:rsidR="00700AC6">
        <w:rPr>
          <w:sz w:val="20"/>
        </w:rPr>
        <w:t xml:space="preserve"> Between privileges and rights?</w:t>
      </w:r>
    </w:p>
    <w:p w14:paraId="6709BA67" w14:textId="08A21A4F" w:rsidR="00311F6A" w:rsidRDefault="00311F6A" w:rsidP="00311F6A">
      <w:pPr>
        <w:pStyle w:val="ListParagraph"/>
        <w:numPr>
          <w:ilvl w:val="2"/>
          <w:numId w:val="41"/>
        </w:numPr>
        <w:rPr>
          <w:sz w:val="20"/>
        </w:rPr>
      </w:pPr>
      <w:r>
        <w:rPr>
          <w:i/>
          <w:sz w:val="20"/>
        </w:rPr>
        <w:t>Matthews v. Eldridge</w:t>
      </w:r>
      <w:r>
        <w:rPr>
          <w:sz w:val="20"/>
        </w:rPr>
        <w:t xml:space="preserve"> introduces a balancing test to determine how much process is due</w:t>
      </w:r>
    </w:p>
    <w:p w14:paraId="11EB3D7A" w14:textId="6E185FC7" w:rsidR="00311F6A" w:rsidRDefault="00311F6A" w:rsidP="00311F6A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>The private interest to be affected (</w:t>
      </w:r>
      <w:r>
        <w:rPr>
          <w:i/>
          <w:sz w:val="20"/>
        </w:rPr>
        <w:t>Goldberg</w:t>
      </w:r>
      <w:r>
        <w:rPr>
          <w:sz w:val="20"/>
        </w:rPr>
        <w:t>’s brutal harm)</w:t>
      </w:r>
    </w:p>
    <w:p w14:paraId="26AA4B52" w14:textId="74646377" w:rsidR="00311F6A" w:rsidRDefault="00311F6A" w:rsidP="00311F6A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 xml:space="preserve">The risk of an </w:t>
      </w:r>
      <w:r w:rsidR="00093B2A">
        <w:rPr>
          <w:sz w:val="20"/>
        </w:rPr>
        <w:t>incorrect result under the</w:t>
      </w:r>
      <w:r>
        <w:rPr>
          <w:sz w:val="20"/>
        </w:rPr>
        <w:t xml:space="preserve"> procedures used</w:t>
      </w:r>
      <w:r w:rsidR="00093B2A">
        <w:rPr>
          <w:sz w:val="20"/>
        </w:rPr>
        <w:t xml:space="preserve"> and added benefit of additional procedure</w:t>
      </w:r>
    </w:p>
    <w:p w14:paraId="26A0C6B0" w14:textId="661C9881" w:rsidR="00311F6A" w:rsidRDefault="00311F6A" w:rsidP="00311F6A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 xml:space="preserve">The </w:t>
      </w:r>
      <w:r w:rsidR="00093B2A">
        <w:rPr>
          <w:sz w:val="20"/>
        </w:rPr>
        <w:t>cost</w:t>
      </w:r>
      <w:r>
        <w:rPr>
          <w:sz w:val="20"/>
        </w:rPr>
        <w:t xml:space="preserve"> of an additional procedural requirement</w:t>
      </w:r>
    </w:p>
    <w:p w14:paraId="58937427" w14:textId="6F6F5F69" w:rsidR="00181424" w:rsidRDefault="00181424" w:rsidP="00181424">
      <w:pPr>
        <w:pStyle w:val="ListParagraph"/>
        <w:numPr>
          <w:ilvl w:val="4"/>
          <w:numId w:val="41"/>
        </w:numPr>
        <w:rPr>
          <w:sz w:val="20"/>
        </w:rPr>
      </w:pPr>
      <w:r>
        <w:rPr>
          <w:sz w:val="20"/>
        </w:rPr>
        <w:t>This ends up looking very similar to Hand’s B &gt;&lt; PL formula from Tort</w:t>
      </w:r>
    </w:p>
    <w:p w14:paraId="4A48CE3B" w14:textId="22E60F94" w:rsidR="00093B2A" w:rsidRDefault="00093B2A" w:rsidP="00311F6A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 xml:space="preserve">Should the court be asking “What procedures </w:t>
      </w:r>
      <w:r>
        <w:rPr>
          <w:i/>
          <w:sz w:val="20"/>
        </w:rPr>
        <w:t xml:space="preserve">should </w:t>
      </w:r>
      <w:r>
        <w:rPr>
          <w:sz w:val="20"/>
        </w:rPr>
        <w:t>be due,” or whether the agency’s system is reasonable?</w:t>
      </w:r>
    </w:p>
    <w:p w14:paraId="28D58899" w14:textId="68204CFC" w:rsidR="004F06A9" w:rsidRDefault="004F06A9" w:rsidP="004F06A9">
      <w:pPr>
        <w:pStyle w:val="ListParagraph"/>
        <w:numPr>
          <w:ilvl w:val="3"/>
          <w:numId w:val="41"/>
        </w:numPr>
        <w:rPr>
          <w:sz w:val="20"/>
        </w:rPr>
      </w:pPr>
      <w:r>
        <w:rPr>
          <w:sz w:val="20"/>
        </w:rPr>
        <w:t xml:space="preserve">The Court uses the </w:t>
      </w:r>
      <w:r>
        <w:rPr>
          <w:i/>
          <w:sz w:val="20"/>
        </w:rPr>
        <w:t xml:space="preserve">Matthews </w:t>
      </w:r>
      <w:r>
        <w:rPr>
          <w:sz w:val="20"/>
        </w:rPr>
        <w:t xml:space="preserve">factors in </w:t>
      </w:r>
      <w:r>
        <w:rPr>
          <w:i/>
          <w:sz w:val="20"/>
        </w:rPr>
        <w:t>Walters v. NARS</w:t>
      </w:r>
      <w:r>
        <w:rPr>
          <w:sz w:val="20"/>
        </w:rPr>
        <w:t xml:space="preserve"> – veterans exposed to radiation may not pay attorneys more than $10 to represent them at hearings</w:t>
      </w:r>
    </w:p>
    <w:p w14:paraId="284E8A67" w14:textId="479F7D0B" w:rsidR="004F06A9" w:rsidRDefault="004F06A9" w:rsidP="004F06A9">
      <w:pPr>
        <w:pStyle w:val="ListParagraph"/>
        <w:numPr>
          <w:ilvl w:val="4"/>
          <w:numId w:val="41"/>
        </w:numPr>
        <w:rPr>
          <w:sz w:val="20"/>
        </w:rPr>
      </w:pPr>
      <w:r>
        <w:rPr>
          <w:sz w:val="20"/>
        </w:rPr>
        <w:t xml:space="preserve">Both </w:t>
      </w:r>
      <w:r>
        <w:rPr>
          <w:i/>
          <w:sz w:val="20"/>
        </w:rPr>
        <w:t xml:space="preserve">Matthews </w:t>
      </w:r>
      <w:r>
        <w:rPr>
          <w:sz w:val="20"/>
        </w:rPr>
        <w:t xml:space="preserve">and </w:t>
      </w:r>
      <w:r>
        <w:rPr>
          <w:i/>
          <w:sz w:val="20"/>
        </w:rPr>
        <w:t>Walters</w:t>
      </w:r>
      <w:r>
        <w:t xml:space="preserve"> </w:t>
      </w:r>
      <w:r>
        <w:rPr>
          <w:sz w:val="20"/>
        </w:rPr>
        <w:t>reflects the Court’s preference to defer to the agency’s interpretation, especially in situations where the agency is supposed to aid claimants</w:t>
      </w:r>
    </w:p>
    <w:p w14:paraId="6455B8CD" w14:textId="505A92D6" w:rsidR="004F06A9" w:rsidRDefault="004F06A9" w:rsidP="004F06A9">
      <w:pPr>
        <w:pStyle w:val="ListParagraph"/>
        <w:numPr>
          <w:ilvl w:val="4"/>
          <w:numId w:val="41"/>
        </w:numPr>
        <w:rPr>
          <w:sz w:val="20"/>
        </w:rPr>
      </w:pPr>
      <w:r>
        <w:rPr>
          <w:sz w:val="20"/>
        </w:rPr>
        <w:t xml:space="preserve">If agency can provide a cogent explanation for their procedural safeguards, courts will likely defer to the agency’s judgment, even though </w:t>
      </w:r>
      <w:r>
        <w:rPr>
          <w:i/>
          <w:sz w:val="20"/>
        </w:rPr>
        <w:t xml:space="preserve">Loudermill </w:t>
      </w:r>
      <w:r>
        <w:rPr>
          <w:sz w:val="20"/>
        </w:rPr>
        <w:t>splits substance from procedure</w:t>
      </w:r>
    </w:p>
    <w:p w14:paraId="1EAC3ADA" w14:textId="03DB3102" w:rsidR="00181424" w:rsidRDefault="00970A17" w:rsidP="00181424">
      <w:pPr>
        <w:pStyle w:val="Heading4"/>
        <w:rPr>
          <w:sz w:val="20"/>
        </w:rPr>
      </w:pPr>
      <w:r>
        <w:rPr>
          <w:sz w:val="20"/>
        </w:rPr>
        <w:t>APA Procedures</w:t>
      </w:r>
    </w:p>
    <w:p w14:paraId="0C71129A" w14:textId="4DC48CAF" w:rsidR="00181424" w:rsidRPr="00DA5820" w:rsidRDefault="00DA5820" w:rsidP="00970A17">
      <w:pPr>
        <w:pStyle w:val="ListParagraph"/>
        <w:numPr>
          <w:ilvl w:val="0"/>
          <w:numId w:val="42"/>
        </w:numPr>
      </w:pPr>
      <w:r>
        <w:rPr>
          <w:sz w:val="20"/>
        </w:rPr>
        <w:t>Organic statutes can be read to require one of four set of procedural requirements under the APA:</w:t>
      </w:r>
    </w:p>
    <w:tbl>
      <w:tblPr>
        <w:tblStyle w:val="TableGrid"/>
        <w:tblW w:w="6785" w:type="dxa"/>
        <w:jc w:val="center"/>
        <w:tblLook w:val="04A0" w:firstRow="1" w:lastRow="0" w:firstColumn="1" w:lastColumn="0" w:noHBand="0" w:noVBand="1"/>
      </w:tblPr>
      <w:tblGrid>
        <w:gridCol w:w="1704"/>
        <w:gridCol w:w="3168"/>
        <w:gridCol w:w="1913"/>
      </w:tblGrid>
      <w:tr w:rsidR="00DA5820" w14:paraId="6F6F80BF" w14:textId="77777777" w:rsidTr="00EE5004">
        <w:trPr>
          <w:jc w:val="center"/>
        </w:trPr>
        <w:tc>
          <w:tcPr>
            <w:tcW w:w="1704" w:type="dxa"/>
          </w:tcPr>
          <w:p w14:paraId="1F2B5D9F" w14:textId="77777777" w:rsidR="00DA5820" w:rsidRPr="00954BF3" w:rsidRDefault="00DA5820" w:rsidP="00DA582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5DB366DD" w14:textId="4A23DFEC" w:rsidR="00DA5820" w:rsidRPr="00954BF3" w:rsidRDefault="00DA5820" w:rsidP="00DA58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54BF3">
              <w:rPr>
                <w:sz w:val="20"/>
                <w:szCs w:val="20"/>
              </w:rPr>
              <w:t>On the record after opportunity for hearing (Formal)</w:t>
            </w:r>
          </w:p>
        </w:tc>
        <w:tc>
          <w:tcPr>
            <w:tcW w:w="1913" w:type="dxa"/>
            <w:vAlign w:val="center"/>
          </w:tcPr>
          <w:p w14:paraId="467E1EC7" w14:textId="5D5235DA" w:rsidR="00DA5820" w:rsidRPr="00954BF3" w:rsidRDefault="00DA5820" w:rsidP="00DA58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54BF3">
              <w:rPr>
                <w:sz w:val="20"/>
                <w:szCs w:val="20"/>
              </w:rPr>
              <w:t>Informal</w:t>
            </w:r>
          </w:p>
        </w:tc>
      </w:tr>
      <w:tr w:rsidR="00DA5820" w14:paraId="5E3FF0C7" w14:textId="77777777" w:rsidTr="00EE5004">
        <w:trPr>
          <w:jc w:val="center"/>
        </w:trPr>
        <w:tc>
          <w:tcPr>
            <w:tcW w:w="1704" w:type="dxa"/>
          </w:tcPr>
          <w:p w14:paraId="23AB1207" w14:textId="4B162FE3" w:rsidR="00DA5820" w:rsidRPr="00954BF3" w:rsidRDefault="00DA5820" w:rsidP="00DA582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54BF3">
              <w:rPr>
                <w:b/>
                <w:sz w:val="20"/>
                <w:szCs w:val="20"/>
              </w:rPr>
              <w:t>Rulemaking</w:t>
            </w:r>
          </w:p>
        </w:tc>
        <w:tc>
          <w:tcPr>
            <w:tcW w:w="3168" w:type="dxa"/>
          </w:tcPr>
          <w:p w14:paraId="74DF6D15" w14:textId="2B71D55A" w:rsidR="00DA5820" w:rsidRPr="00954BF3" w:rsidRDefault="00DA5820" w:rsidP="00DA58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54BF3">
              <w:rPr>
                <w:sz w:val="20"/>
                <w:szCs w:val="20"/>
              </w:rPr>
              <w:t>§§553, 556-57</w:t>
            </w:r>
          </w:p>
        </w:tc>
        <w:tc>
          <w:tcPr>
            <w:tcW w:w="1913" w:type="dxa"/>
          </w:tcPr>
          <w:p w14:paraId="3A68B6F7" w14:textId="717DE8D3" w:rsidR="00DA5820" w:rsidRPr="00954BF3" w:rsidRDefault="00EE5004" w:rsidP="00DA58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54BF3">
              <w:rPr>
                <w:sz w:val="20"/>
                <w:szCs w:val="20"/>
              </w:rPr>
              <w:t>§553 (notice-and-comment)</w:t>
            </w:r>
          </w:p>
        </w:tc>
      </w:tr>
      <w:tr w:rsidR="00DA5820" w14:paraId="018F49C3" w14:textId="77777777" w:rsidTr="00EE5004">
        <w:trPr>
          <w:jc w:val="center"/>
        </w:trPr>
        <w:tc>
          <w:tcPr>
            <w:tcW w:w="1704" w:type="dxa"/>
          </w:tcPr>
          <w:p w14:paraId="5604F455" w14:textId="2D37FF9E" w:rsidR="00DA5820" w:rsidRPr="00954BF3" w:rsidRDefault="00DA5820" w:rsidP="00DA582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54BF3">
              <w:rPr>
                <w:b/>
                <w:sz w:val="20"/>
                <w:szCs w:val="20"/>
              </w:rPr>
              <w:t>Adjudication</w:t>
            </w:r>
          </w:p>
        </w:tc>
        <w:tc>
          <w:tcPr>
            <w:tcW w:w="3168" w:type="dxa"/>
          </w:tcPr>
          <w:p w14:paraId="171E4C41" w14:textId="3FFC022E" w:rsidR="00DA5820" w:rsidRPr="00954BF3" w:rsidRDefault="00DA5820" w:rsidP="00DA582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54BF3">
              <w:rPr>
                <w:sz w:val="20"/>
                <w:szCs w:val="20"/>
              </w:rPr>
              <w:t>§§554, 556-57</w:t>
            </w:r>
          </w:p>
        </w:tc>
        <w:tc>
          <w:tcPr>
            <w:tcW w:w="1913" w:type="dxa"/>
          </w:tcPr>
          <w:p w14:paraId="00601842" w14:textId="1DFFEAFE" w:rsidR="00DA5820" w:rsidRPr="00954BF3" w:rsidRDefault="00EE5004" w:rsidP="00EE500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54BF3">
              <w:rPr>
                <w:sz w:val="20"/>
                <w:szCs w:val="20"/>
              </w:rPr>
              <w:t>Almost no APA procedures</w:t>
            </w:r>
          </w:p>
        </w:tc>
      </w:tr>
    </w:tbl>
    <w:p w14:paraId="1B89814B" w14:textId="232641DB" w:rsidR="002171B6" w:rsidRDefault="00F61AA5" w:rsidP="00B11AC9">
      <w:pPr>
        <w:pStyle w:val="ListParagraph"/>
        <w:numPr>
          <w:ilvl w:val="1"/>
          <w:numId w:val="42"/>
        </w:numPr>
        <w:rPr>
          <w:sz w:val="20"/>
        </w:rPr>
      </w:pPr>
      <w:r w:rsidRPr="00F61AA5">
        <w:rPr>
          <w:sz w:val="20"/>
        </w:rPr>
        <w:t>APA adjudication is defined as anything that is not rulemaking</w:t>
      </w:r>
    </w:p>
    <w:p w14:paraId="1812C542" w14:textId="4EB0F721" w:rsidR="00B11AC9" w:rsidRDefault="00B11AC9" w:rsidP="00B11AC9">
      <w:pPr>
        <w:pStyle w:val="ListParagraph"/>
        <w:numPr>
          <w:ilvl w:val="0"/>
          <w:numId w:val="42"/>
        </w:numPr>
        <w:rPr>
          <w:sz w:val="20"/>
        </w:rPr>
      </w:pPr>
      <w:r>
        <w:rPr>
          <w:sz w:val="20"/>
        </w:rPr>
        <w:t>Agencies may make rules, then perform adjudications adverse to parties without affording opportunity to challenge that rule (</w:t>
      </w:r>
      <w:r>
        <w:rPr>
          <w:i/>
          <w:sz w:val="20"/>
        </w:rPr>
        <w:t>FPC v. Texaco</w:t>
      </w:r>
      <w:r>
        <w:rPr>
          <w:sz w:val="20"/>
        </w:rPr>
        <w:t>)</w:t>
      </w:r>
    </w:p>
    <w:p w14:paraId="6A5B614F" w14:textId="2E217F27" w:rsidR="00B11AC9" w:rsidRDefault="00B11AC9" w:rsidP="00B11AC9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Supported by efficiency arguments – encourages rule making</w:t>
      </w:r>
    </w:p>
    <w:p w14:paraId="6BA182BD" w14:textId="6AAD1944" w:rsidR="00B11AC9" w:rsidRDefault="00B11AC9" w:rsidP="00B11AC9">
      <w:pPr>
        <w:pStyle w:val="ListParagraph"/>
        <w:numPr>
          <w:ilvl w:val="1"/>
          <w:numId w:val="42"/>
        </w:numPr>
        <w:rPr>
          <w:sz w:val="20"/>
        </w:rPr>
      </w:pPr>
      <w:r>
        <w:rPr>
          <w:i/>
          <w:sz w:val="20"/>
        </w:rPr>
        <w:t xml:space="preserve">Heckler v. Campbell </w:t>
      </w:r>
      <w:r>
        <w:rPr>
          <w:sz w:val="20"/>
        </w:rPr>
        <w:t>(Social Security grid system) similarly upholds an agency’s right to make generalized statements about rules that may not be challenged in individual adjudications</w:t>
      </w:r>
    </w:p>
    <w:p w14:paraId="0E84AA79" w14:textId="553631E0" w:rsidR="00286089" w:rsidRDefault="00286089" w:rsidP="00286089">
      <w:pPr>
        <w:pStyle w:val="ListParagraph"/>
        <w:numPr>
          <w:ilvl w:val="0"/>
          <w:numId w:val="42"/>
        </w:numPr>
        <w:rPr>
          <w:sz w:val="20"/>
        </w:rPr>
      </w:pPr>
      <w:r>
        <w:rPr>
          <w:sz w:val="20"/>
        </w:rPr>
        <w:t>The words “On the record after opportunity for hearing” are critical to force agencies to engage in formal rulemaking (</w:t>
      </w:r>
      <w:r>
        <w:rPr>
          <w:i/>
          <w:sz w:val="20"/>
        </w:rPr>
        <w:t>U.S. v. Florida East Coast Railway</w:t>
      </w:r>
      <w:r>
        <w:rPr>
          <w:sz w:val="20"/>
        </w:rPr>
        <w:t>)</w:t>
      </w:r>
    </w:p>
    <w:p w14:paraId="6E83E6B2" w14:textId="536DBCEC" w:rsidR="00286089" w:rsidRDefault="00286089" w:rsidP="00286089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Dissent argues that rate-making is not an activity that should be undertaken without formal hearing procedures</w:t>
      </w:r>
    </w:p>
    <w:p w14:paraId="01C5CFF4" w14:textId="4EB28AF5" w:rsidR="00286089" w:rsidRPr="00286089" w:rsidRDefault="00286089" w:rsidP="00286089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Even agencies engaged in notice-and-comment rulemaking must create a record that permits meaningful commentary from interested parties (</w:t>
      </w:r>
      <w:r>
        <w:rPr>
          <w:i/>
          <w:sz w:val="20"/>
        </w:rPr>
        <w:t xml:space="preserve">U.S. v. Nova Scotia </w:t>
      </w:r>
      <w:r>
        <w:rPr>
          <w:sz w:val="20"/>
        </w:rPr>
        <w:t>– smoked whitefish (2</w:t>
      </w:r>
      <w:r w:rsidRPr="00286089">
        <w:rPr>
          <w:sz w:val="20"/>
          <w:vertAlign w:val="superscript"/>
        </w:rPr>
        <w:t>nd</w:t>
      </w:r>
      <w:r>
        <w:rPr>
          <w:sz w:val="20"/>
        </w:rPr>
        <w:t xml:space="preserve"> Cir))</w:t>
      </w:r>
    </w:p>
    <w:p w14:paraId="2DF67E93" w14:textId="13AA7960" w:rsidR="00286089" w:rsidRDefault="00286089" w:rsidP="00286089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This is part of the D.C. Circuit and other appellate circuit’s attempts to limit the discretionary authority of administrative agencies, in spite of prodding from the Supreme Court</w:t>
      </w:r>
    </w:p>
    <w:p w14:paraId="6DF6A5FA" w14:textId="5B250136" w:rsidR="00286089" w:rsidRDefault="00286089" w:rsidP="00286089">
      <w:pPr>
        <w:pStyle w:val="ListParagraph"/>
        <w:numPr>
          <w:ilvl w:val="2"/>
          <w:numId w:val="42"/>
        </w:numPr>
        <w:rPr>
          <w:sz w:val="20"/>
        </w:rPr>
      </w:pPr>
      <w:r>
        <w:rPr>
          <w:sz w:val="20"/>
        </w:rPr>
        <w:t>Adds ‘paper hearing’ requirement, ‘logical outgrowth rule’, and requirement of a record to facilitate judicial review to notice-and-comment rulemaking</w:t>
      </w:r>
    </w:p>
    <w:p w14:paraId="133C5788" w14:textId="49840A18" w:rsidR="00286089" w:rsidRDefault="00286089" w:rsidP="00316B95">
      <w:pPr>
        <w:pStyle w:val="ListParagraph"/>
        <w:numPr>
          <w:ilvl w:val="3"/>
          <w:numId w:val="42"/>
        </w:numPr>
        <w:jc w:val="both"/>
        <w:rPr>
          <w:sz w:val="20"/>
        </w:rPr>
      </w:pPr>
      <w:r>
        <w:rPr>
          <w:sz w:val="20"/>
        </w:rPr>
        <w:t>Principle of the logical outgrowth rule is that the agency can change the answer, but not the questio</w:t>
      </w:r>
      <w:r w:rsidR="00316B95">
        <w:rPr>
          <w:sz w:val="20"/>
        </w:rPr>
        <w:t>n asked in soliciting comments (</w:t>
      </w:r>
      <w:r w:rsidR="00316B95">
        <w:rPr>
          <w:i/>
          <w:sz w:val="20"/>
        </w:rPr>
        <w:t>Long Island Care at Home</w:t>
      </w:r>
      <w:r w:rsidR="00316B95">
        <w:rPr>
          <w:sz w:val="20"/>
        </w:rPr>
        <w:t>)</w:t>
      </w:r>
    </w:p>
    <w:p w14:paraId="78FB0A4C" w14:textId="33745CB3" w:rsidR="00286089" w:rsidRDefault="00286089" w:rsidP="00286089">
      <w:pPr>
        <w:pStyle w:val="ListParagraph"/>
        <w:numPr>
          <w:ilvl w:val="4"/>
          <w:numId w:val="42"/>
        </w:numPr>
        <w:rPr>
          <w:sz w:val="20"/>
        </w:rPr>
      </w:pPr>
      <w:r>
        <w:rPr>
          <w:sz w:val="20"/>
        </w:rPr>
        <w:t>How general is the question? Does this promote uncertainty?</w:t>
      </w:r>
    </w:p>
    <w:p w14:paraId="765845A2" w14:textId="6FAAB69F" w:rsidR="00286089" w:rsidRDefault="00316B95" w:rsidP="00286089">
      <w:pPr>
        <w:pStyle w:val="ListParagraph"/>
        <w:numPr>
          <w:ilvl w:val="2"/>
          <w:numId w:val="42"/>
        </w:numPr>
        <w:rPr>
          <w:sz w:val="20"/>
        </w:rPr>
      </w:pPr>
      <w:r>
        <w:rPr>
          <w:sz w:val="20"/>
        </w:rPr>
        <w:t>C</w:t>
      </w:r>
      <w:r w:rsidR="00286089">
        <w:rPr>
          <w:sz w:val="20"/>
        </w:rPr>
        <w:t>ourts try to proceduralize informal rulemaking through paper hearings, hybrid rule-making and hard look review</w:t>
      </w:r>
    </w:p>
    <w:p w14:paraId="2F3C2550" w14:textId="656C15E5" w:rsidR="00286089" w:rsidRDefault="00286089" w:rsidP="00286089">
      <w:pPr>
        <w:pStyle w:val="ListParagraph"/>
        <w:numPr>
          <w:ilvl w:val="3"/>
          <w:numId w:val="42"/>
        </w:numPr>
        <w:rPr>
          <w:sz w:val="20"/>
        </w:rPr>
      </w:pPr>
      <w:r>
        <w:rPr>
          <w:sz w:val="20"/>
        </w:rPr>
        <w:t xml:space="preserve">Hybrid rulemaking is struck down in </w:t>
      </w:r>
      <w:r>
        <w:rPr>
          <w:i/>
          <w:sz w:val="20"/>
        </w:rPr>
        <w:t xml:space="preserve">Vermont Yankee </w:t>
      </w:r>
      <w:r w:rsidR="007F4A0A">
        <w:rPr>
          <w:sz w:val="20"/>
        </w:rPr>
        <w:t>- §553 is generally a ceiling on procedural requirements – there is no middle ground between informal and formal rulemaking</w:t>
      </w:r>
    </w:p>
    <w:p w14:paraId="69841CA6" w14:textId="138A01ED" w:rsidR="00316B95" w:rsidRDefault="00316B95" w:rsidP="00316B95">
      <w:pPr>
        <w:pStyle w:val="ListParagraph"/>
        <w:numPr>
          <w:ilvl w:val="0"/>
          <w:numId w:val="42"/>
        </w:numPr>
        <w:rPr>
          <w:sz w:val="20"/>
        </w:rPr>
      </w:pPr>
      <w:r>
        <w:rPr>
          <w:sz w:val="20"/>
        </w:rPr>
        <w:t>There are several exceptions to notice-and-comment requirements in informal rulemaking</w:t>
      </w:r>
    </w:p>
    <w:p w14:paraId="4E4C4FFC" w14:textId="1BA6AB90" w:rsidR="00316B95" w:rsidRDefault="00316B95" w:rsidP="00316B95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Interpretive Rules</w:t>
      </w:r>
    </w:p>
    <w:p w14:paraId="0757D2E6" w14:textId="2D706EF7" w:rsidR="00316B95" w:rsidRDefault="00316B95" w:rsidP="00316B95">
      <w:pPr>
        <w:pStyle w:val="ListParagraph"/>
        <w:numPr>
          <w:ilvl w:val="2"/>
          <w:numId w:val="42"/>
        </w:numPr>
        <w:rPr>
          <w:sz w:val="20"/>
        </w:rPr>
      </w:pPr>
      <w:r>
        <w:rPr>
          <w:sz w:val="20"/>
        </w:rPr>
        <w:t>Interpretive rules clarify or explain existing law, and do not have the full force and effect of law (</w:t>
      </w:r>
      <w:r>
        <w:rPr>
          <w:i/>
          <w:sz w:val="20"/>
        </w:rPr>
        <w:t>American Hospital Association v. Bowen</w:t>
      </w:r>
      <w:r>
        <w:rPr>
          <w:sz w:val="20"/>
        </w:rPr>
        <w:t xml:space="preserve">)  </w:t>
      </w:r>
    </w:p>
    <w:p w14:paraId="0EC48F9C" w14:textId="6AE90B37" w:rsidR="00FB4848" w:rsidRDefault="00FB4848" w:rsidP="00FB4848">
      <w:pPr>
        <w:pStyle w:val="ListParagraph"/>
        <w:numPr>
          <w:ilvl w:val="3"/>
          <w:numId w:val="42"/>
        </w:numPr>
        <w:rPr>
          <w:sz w:val="20"/>
        </w:rPr>
      </w:pPr>
      <w:r>
        <w:rPr>
          <w:sz w:val="20"/>
        </w:rPr>
        <w:t>What about an interpretive rule that doesn’t have the full force and effect of legal process – in other words, a de facto law without actually being a law? (</w:t>
      </w:r>
      <w:r>
        <w:rPr>
          <w:i/>
          <w:sz w:val="20"/>
        </w:rPr>
        <w:t xml:space="preserve">Community Nutrition Institute </w:t>
      </w:r>
      <w:r>
        <w:rPr>
          <w:sz w:val="20"/>
        </w:rPr>
        <w:t>– adulterated corn action levels)</w:t>
      </w:r>
    </w:p>
    <w:p w14:paraId="09602BCE" w14:textId="7221A94E" w:rsidR="00FB4848" w:rsidRDefault="00FB4848" w:rsidP="00FB4848">
      <w:pPr>
        <w:pStyle w:val="ListParagraph"/>
        <w:numPr>
          <w:ilvl w:val="3"/>
          <w:numId w:val="42"/>
        </w:numPr>
        <w:rPr>
          <w:sz w:val="20"/>
        </w:rPr>
      </w:pPr>
      <w:r>
        <w:rPr>
          <w:sz w:val="20"/>
        </w:rPr>
        <w:t>Interpretive rules must be reasonably related to a specific statutory provision (</w:t>
      </w:r>
      <w:r>
        <w:rPr>
          <w:i/>
          <w:sz w:val="20"/>
        </w:rPr>
        <w:t xml:space="preserve">Hoctor v. U.S. Dept. of Ag. </w:t>
      </w:r>
      <w:r>
        <w:rPr>
          <w:sz w:val="20"/>
        </w:rPr>
        <w:t>– 8 foot fence not related to “structurally sound”)</w:t>
      </w:r>
    </w:p>
    <w:p w14:paraId="30788C2F" w14:textId="6460E3C2" w:rsidR="00316B95" w:rsidRDefault="00316B95" w:rsidP="00316B95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General policy statements</w:t>
      </w:r>
    </w:p>
    <w:p w14:paraId="3DD4F554" w14:textId="3471D9FD" w:rsidR="00FB4848" w:rsidRPr="00FB4848" w:rsidRDefault="00316B95" w:rsidP="00FB4848">
      <w:pPr>
        <w:pStyle w:val="ListParagraph"/>
        <w:numPr>
          <w:ilvl w:val="2"/>
          <w:numId w:val="42"/>
        </w:numPr>
        <w:rPr>
          <w:sz w:val="20"/>
        </w:rPr>
      </w:pPr>
      <w:r>
        <w:rPr>
          <w:sz w:val="20"/>
        </w:rPr>
        <w:t>General policy statements do not bind the agency; it does not impose any rights or obligations and allows for continued exercise</w:t>
      </w:r>
      <w:r w:rsidR="00FB4848">
        <w:rPr>
          <w:sz w:val="20"/>
        </w:rPr>
        <w:t xml:space="preserve"> of discretion</w:t>
      </w:r>
    </w:p>
    <w:p w14:paraId="64106789" w14:textId="6C462F92" w:rsidR="00316B95" w:rsidRDefault="00316B95" w:rsidP="00316B95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Organizational rules and procedures</w:t>
      </w:r>
    </w:p>
    <w:p w14:paraId="6A2D4849" w14:textId="2EE6D1D1" w:rsidR="00316B95" w:rsidRDefault="00316B95" w:rsidP="00316B95">
      <w:pPr>
        <w:pStyle w:val="ListParagraph"/>
        <w:numPr>
          <w:ilvl w:val="2"/>
          <w:numId w:val="42"/>
        </w:numPr>
        <w:rPr>
          <w:sz w:val="20"/>
        </w:rPr>
      </w:pPr>
      <w:r>
        <w:rPr>
          <w:sz w:val="20"/>
        </w:rPr>
        <w:t>This exemption covers actions that don’t alter the rights of parties, but simply the manner in which parties present themselves to the agency</w:t>
      </w:r>
    </w:p>
    <w:p w14:paraId="106912FE" w14:textId="77F03A4A" w:rsidR="00FB4848" w:rsidRDefault="00FB4848" w:rsidP="00FB4848">
      <w:pPr>
        <w:pStyle w:val="ListParagraph"/>
        <w:numPr>
          <w:ilvl w:val="3"/>
          <w:numId w:val="42"/>
        </w:numPr>
        <w:rPr>
          <w:sz w:val="20"/>
        </w:rPr>
      </w:pPr>
      <w:r>
        <w:rPr>
          <w:sz w:val="20"/>
        </w:rPr>
        <w:t>If actions substantially affects the right of those over whom the agency exercises authority, notice-and-comment is required (</w:t>
      </w:r>
      <w:r>
        <w:rPr>
          <w:i/>
          <w:sz w:val="20"/>
        </w:rPr>
        <w:t>Air Transport</w:t>
      </w:r>
      <w:r>
        <w:rPr>
          <w:sz w:val="20"/>
        </w:rPr>
        <w:t>)</w:t>
      </w:r>
    </w:p>
    <w:p w14:paraId="740E8661" w14:textId="5B9BE973" w:rsidR="00316B95" w:rsidRDefault="00316B95" w:rsidP="00316B95">
      <w:pPr>
        <w:pStyle w:val="ListParagraph"/>
        <w:numPr>
          <w:ilvl w:val="1"/>
          <w:numId w:val="42"/>
        </w:numPr>
        <w:rPr>
          <w:sz w:val="20"/>
        </w:rPr>
      </w:pPr>
      <w:r>
        <w:rPr>
          <w:sz w:val="20"/>
        </w:rPr>
        <w:t>Good-cause (Emergency)</w:t>
      </w:r>
    </w:p>
    <w:p w14:paraId="55F92018" w14:textId="0CBD430B" w:rsidR="00FB4848" w:rsidRDefault="00FB4848" w:rsidP="00FB4848">
      <w:pPr>
        <w:pStyle w:val="Heading3"/>
      </w:pPr>
      <w:r w:rsidRPr="00FB4848">
        <w:t>Chevron</w:t>
      </w:r>
    </w:p>
    <w:p w14:paraId="53C1C1B4" w14:textId="5EFE9422" w:rsidR="00FB4848" w:rsidRPr="002D39C2" w:rsidRDefault="002D39C2" w:rsidP="00FB4848">
      <w:pPr>
        <w:pStyle w:val="ListParagraph"/>
        <w:numPr>
          <w:ilvl w:val="0"/>
          <w:numId w:val="43"/>
        </w:numPr>
      </w:pPr>
      <w:r>
        <w:rPr>
          <w:sz w:val="20"/>
        </w:rPr>
        <w:t>Before Chevron, agency expertise allowed them to decided questions of fact (putting aside jurisdictional facts)</w:t>
      </w:r>
      <w:r w:rsidR="00AA38A8">
        <w:rPr>
          <w:sz w:val="20"/>
        </w:rPr>
        <w:t xml:space="preserve"> (</w:t>
      </w:r>
      <w:r w:rsidR="00AA38A8">
        <w:rPr>
          <w:i/>
          <w:sz w:val="20"/>
        </w:rPr>
        <w:t>Crowell v. Benson</w:t>
      </w:r>
      <w:r w:rsidR="00AA38A8">
        <w:rPr>
          <w:sz w:val="20"/>
        </w:rPr>
        <w:t>)</w:t>
      </w:r>
      <w:r>
        <w:rPr>
          <w:sz w:val="20"/>
        </w:rPr>
        <w:t xml:space="preserve">. Next, </w:t>
      </w:r>
      <w:r w:rsidR="00AA38A8">
        <w:rPr>
          <w:i/>
          <w:sz w:val="20"/>
        </w:rPr>
        <w:t>NLRB v. Hearst</w:t>
      </w:r>
      <w:r>
        <w:rPr>
          <w:i/>
          <w:sz w:val="20"/>
        </w:rPr>
        <w:t xml:space="preserve"> </w:t>
      </w:r>
      <w:r>
        <w:rPr>
          <w:sz w:val="20"/>
        </w:rPr>
        <w:t>presents a mixed question of law and fact (who is an employee). As long as the Board’s determination has warrant in the record and a reasonable basi</w:t>
      </w:r>
      <w:r w:rsidR="00AA38A8">
        <w:rPr>
          <w:sz w:val="20"/>
        </w:rPr>
        <w:t>s in law, it wins</w:t>
      </w:r>
    </w:p>
    <w:p w14:paraId="51A0F62E" w14:textId="1C61B8D0" w:rsidR="002D39C2" w:rsidRPr="00FD6B1D" w:rsidRDefault="002D39C2" w:rsidP="002D39C2">
      <w:pPr>
        <w:pStyle w:val="ListParagraph"/>
        <w:numPr>
          <w:ilvl w:val="1"/>
          <w:numId w:val="43"/>
        </w:numPr>
      </w:pPr>
      <w:r>
        <w:rPr>
          <w:i/>
          <w:sz w:val="20"/>
        </w:rPr>
        <w:t xml:space="preserve">Skidmore </w:t>
      </w:r>
      <w:r>
        <w:rPr>
          <w:sz w:val="20"/>
        </w:rPr>
        <w:t>presents factors to determine if agency’s interpretation merits deference: Thoroughness of consideration, reasoning’s validity and consistency with earlier decisions</w:t>
      </w:r>
    </w:p>
    <w:p w14:paraId="62196848" w14:textId="1F601D2C" w:rsidR="00FD6B1D" w:rsidRPr="00FD6B1D" w:rsidRDefault="00FD6B1D" w:rsidP="00FD6B1D">
      <w:pPr>
        <w:pStyle w:val="ListParagraph"/>
        <w:numPr>
          <w:ilvl w:val="0"/>
          <w:numId w:val="43"/>
        </w:numPr>
      </w:pPr>
      <w:r>
        <w:rPr>
          <w:i/>
          <w:sz w:val="20"/>
        </w:rPr>
        <w:t xml:space="preserve">Chevron </w:t>
      </w:r>
      <w:r>
        <w:rPr>
          <w:sz w:val="20"/>
        </w:rPr>
        <w:t>works by arguing that Congress has delegated interpretive power to the agency; we would prefer agencies make the decision rather than courts (due to political accountability and agency expertise)</w:t>
      </w:r>
    </w:p>
    <w:p w14:paraId="454BDE5A" w14:textId="4DD0F132" w:rsidR="00FD6B1D" w:rsidRPr="002D39C2" w:rsidRDefault="00FD6B1D" w:rsidP="00FD6B1D">
      <w:pPr>
        <w:pStyle w:val="ListParagraph"/>
        <w:numPr>
          <w:ilvl w:val="1"/>
          <w:numId w:val="43"/>
        </w:numPr>
      </w:pPr>
      <w:r>
        <w:rPr>
          <w:sz w:val="20"/>
        </w:rPr>
        <w:t>This gets around APA §706, which gives courts the authority to review agency decisions</w:t>
      </w:r>
    </w:p>
    <w:p w14:paraId="6782B4DF" w14:textId="6BFBC952" w:rsidR="002D39C2" w:rsidRDefault="002D39C2" w:rsidP="002D39C2">
      <w:pPr>
        <w:pStyle w:val="Heading4"/>
        <w:rPr>
          <w:sz w:val="20"/>
        </w:rPr>
      </w:pPr>
      <w:r w:rsidRPr="002D39C2">
        <w:rPr>
          <w:sz w:val="20"/>
        </w:rPr>
        <w:t>Chevron Step 0</w:t>
      </w:r>
    </w:p>
    <w:p w14:paraId="10A837C2" w14:textId="0809A521" w:rsidR="002D39C2" w:rsidRDefault="002D39C2" w:rsidP="002D39C2">
      <w:pPr>
        <w:pStyle w:val="ListParagraph"/>
        <w:numPr>
          <w:ilvl w:val="0"/>
          <w:numId w:val="44"/>
        </w:numPr>
        <w:rPr>
          <w:sz w:val="20"/>
        </w:rPr>
      </w:pPr>
      <w:r w:rsidRPr="002D39C2">
        <w:rPr>
          <w:sz w:val="20"/>
        </w:rPr>
        <w:t xml:space="preserve">A predicate for </w:t>
      </w:r>
      <w:r w:rsidRPr="002D39C2">
        <w:rPr>
          <w:i/>
          <w:sz w:val="20"/>
        </w:rPr>
        <w:t>Chevron</w:t>
      </w:r>
      <w:r w:rsidRPr="002D39C2">
        <w:rPr>
          <w:sz w:val="20"/>
        </w:rPr>
        <w:t xml:space="preserve"> is a delegation of interpretive authority</w:t>
      </w:r>
      <w:r>
        <w:rPr>
          <w:sz w:val="20"/>
        </w:rPr>
        <w:t xml:space="preserve">. </w:t>
      </w:r>
      <w:r w:rsidRPr="002D39C2">
        <w:rPr>
          <w:i/>
          <w:sz w:val="20"/>
        </w:rPr>
        <w:t>Chevron</w:t>
      </w:r>
      <w:r>
        <w:rPr>
          <w:sz w:val="20"/>
        </w:rPr>
        <w:t xml:space="preserve"> deference is appropriate in formal and informal rulem</w:t>
      </w:r>
      <w:r w:rsidR="00FD6B1D">
        <w:rPr>
          <w:sz w:val="20"/>
        </w:rPr>
        <w:t>aking, and formal adjudication</w:t>
      </w:r>
      <w:r w:rsidR="00343B46">
        <w:rPr>
          <w:sz w:val="20"/>
        </w:rPr>
        <w:t xml:space="preserve"> (also good-cause exceptions to informal rulemaking)</w:t>
      </w:r>
    </w:p>
    <w:p w14:paraId="1317D004" w14:textId="1F600930" w:rsidR="002D39C2" w:rsidRDefault="002D39C2" w:rsidP="002D39C2">
      <w:pPr>
        <w:pStyle w:val="ListParagraph"/>
        <w:numPr>
          <w:ilvl w:val="1"/>
          <w:numId w:val="44"/>
        </w:numPr>
        <w:rPr>
          <w:sz w:val="20"/>
        </w:rPr>
      </w:pPr>
      <w:r>
        <w:rPr>
          <w:sz w:val="20"/>
        </w:rPr>
        <w:t>A totality of the circumstances approach is appropriate in informal adjudication (</w:t>
      </w:r>
      <w:r>
        <w:rPr>
          <w:i/>
          <w:sz w:val="20"/>
        </w:rPr>
        <w:t>Mead</w:t>
      </w:r>
      <w:r>
        <w:rPr>
          <w:sz w:val="20"/>
        </w:rPr>
        <w:t>)</w:t>
      </w:r>
    </w:p>
    <w:p w14:paraId="07463765" w14:textId="6AA8A045" w:rsidR="00FD6B1D" w:rsidRPr="00FD6B1D" w:rsidRDefault="00FD6B1D" w:rsidP="00FD6B1D">
      <w:pPr>
        <w:pStyle w:val="ListParagraph"/>
        <w:numPr>
          <w:ilvl w:val="2"/>
          <w:numId w:val="44"/>
        </w:numPr>
        <w:rPr>
          <w:sz w:val="20"/>
        </w:rPr>
      </w:pPr>
      <w:r>
        <w:rPr>
          <w:i/>
          <w:sz w:val="20"/>
        </w:rPr>
        <w:t xml:space="preserve">Mead </w:t>
      </w:r>
      <w:r>
        <w:rPr>
          <w:sz w:val="20"/>
        </w:rPr>
        <w:t xml:space="preserve">lays out a spectrum of deference, from no deference to </w:t>
      </w:r>
      <w:r>
        <w:rPr>
          <w:i/>
          <w:sz w:val="20"/>
        </w:rPr>
        <w:t xml:space="preserve">Skidmore </w:t>
      </w:r>
      <w:r>
        <w:rPr>
          <w:sz w:val="20"/>
        </w:rPr>
        <w:t xml:space="preserve">to </w:t>
      </w:r>
      <w:r>
        <w:rPr>
          <w:i/>
          <w:sz w:val="20"/>
        </w:rPr>
        <w:t>Chevron</w:t>
      </w:r>
    </w:p>
    <w:p w14:paraId="63C1D890" w14:textId="612FD323" w:rsidR="00FD6B1D" w:rsidRDefault="00FD6B1D" w:rsidP="00FD6B1D">
      <w:pPr>
        <w:pStyle w:val="ListParagraph"/>
        <w:numPr>
          <w:ilvl w:val="2"/>
          <w:numId w:val="44"/>
        </w:numPr>
        <w:rPr>
          <w:sz w:val="20"/>
        </w:rPr>
      </w:pPr>
      <w:r>
        <w:rPr>
          <w:i/>
          <w:sz w:val="20"/>
        </w:rPr>
        <w:t xml:space="preserve">Long Island Care at Home </w:t>
      </w:r>
      <w:r>
        <w:rPr>
          <w:sz w:val="20"/>
        </w:rPr>
        <w:t xml:space="preserve">goes one step further, and says that the </w:t>
      </w:r>
      <w:r>
        <w:rPr>
          <w:i/>
          <w:sz w:val="20"/>
        </w:rPr>
        <w:t xml:space="preserve">Skidmore </w:t>
      </w:r>
      <w:r>
        <w:rPr>
          <w:sz w:val="20"/>
        </w:rPr>
        <w:t xml:space="preserve">factors help to determine if </w:t>
      </w:r>
      <w:r>
        <w:rPr>
          <w:i/>
          <w:sz w:val="20"/>
        </w:rPr>
        <w:t xml:space="preserve">Chevron </w:t>
      </w:r>
      <w:r>
        <w:rPr>
          <w:sz w:val="20"/>
        </w:rPr>
        <w:t>is applicable at all</w:t>
      </w:r>
    </w:p>
    <w:p w14:paraId="51A20334" w14:textId="450AA140" w:rsidR="00FD6B1D" w:rsidRPr="00343B46" w:rsidRDefault="00FD6B1D" w:rsidP="00FD6B1D">
      <w:pPr>
        <w:pStyle w:val="ListParagraph"/>
        <w:numPr>
          <w:ilvl w:val="2"/>
          <w:numId w:val="44"/>
        </w:numPr>
        <w:rPr>
          <w:sz w:val="20"/>
        </w:rPr>
      </w:pPr>
      <w:r>
        <w:rPr>
          <w:sz w:val="20"/>
        </w:rPr>
        <w:t xml:space="preserve">We thus fall into the black hole; </w:t>
      </w:r>
      <w:r>
        <w:rPr>
          <w:i/>
          <w:sz w:val="20"/>
        </w:rPr>
        <w:t xml:space="preserve">Skidmore </w:t>
      </w:r>
      <w:r>
        <w:rPr>
          <w:sz w:val="20"/>
        </w:rPr>
        <w:t xml:space="preserve">determines if </w:t>
      </w:r>
      <w:r>
        <w:rPr>
          <w:i/>
          <w:sz w:val="20"/>
        </w:rPr>
        <w:t xml:space="preserve">Chevron </w:t>
      </w:r>
      <w:r>
        <w:rPr>
          <w:sz w:val="20"/>
        </w:rPr>
        <w:t xml:space="preserve">applies, and if it does not, the </w:t>
      </w:r>
      <w:r>
        <w:rPr>
          <w:i/>
          <w:sz w:val="20"/>
        </w:rPr>
        <w:t xml:space="preserve">Skidmore </w:t>
      </w:r>
      <w:r>
        <w:rPr>
          <w:sz w:val="20"/>
        </w:rPr>
        <w:t xml:space="preserve">factors are again analyzed to determine how much deference, if any, the agency receives. This is what happened in </w:t>
      </w:r>
      <w:r>
        <w:rPr>
          <w:i/>
          <w:sz w:val="20"/>
        </w:rPr>
        <w:t>Gonzales v. Oregon</w:t>
      </w:r>
    </w:p>
    <w:p w14:paraId="21A5ADE1" w14:textId="4B44275E" w:rsidR="00343B46" w:rsidRDefault="00343B46" w:rsidP="00343B46">
      <w:pPr>
        <w:pStyle w:val="ListParagraph"/>
        <w:numPr>
          <w:ilvl w:val="1"/>
          <w:numId w:val="44"/>
        </w:numPr>
        <w:rPr>
          <w:sz w:val="20"/>
        </w:rPr>
      </w:pPr>
      <w:r>
        <w:rPr>
          <w:sz w:val="20"/>
        </w:rPr>
        <w:t xml:space="preserve">Totality of the circumstances also applies </w:t>
      </w:r>
      <w:r w:rsidR="00E85C39">
        <w:rPr>
          <w:sz w:val="20"/>
        </w:rPr>
        <w:t>to interpretive rules that did not go through notice-and-comment</w:t>
      </w:r>
    </w:p>
    <w:p w14:paraId="10A71E96" w14:textId="0B55A78B" w:rsidR="00E85C39" w:rsidRDefault="00E85C39" w:rsidP="00E85C39">
      <w:pPr>
        <w:pStyle w:val="Heading4"/>
        <w:rPr>
          <w:sz w:val="20"/>
        </w:rPr>
      </w:pPr>
      <w:r w:rsidRPr="00E85C39">
        <w:rPr>
          <w:sz w:val="20"/>
        </w:rPr>
        <w:t>Chevron Step 1</w:t>
      </w:r>
    </w:p>
    <w:p w14:paraId="74BBBA16" w14:textId="42F29ED5" w:rsidR="00E85C39" w:rsidRDefault="005300BC" w:rsidP="00E85C39">
      <w:pPr>
        <w:pStyle w:val="ListParagraph"/>
        <w:numPr>
          <w:ilvl w:val="0"/>
          <w:numId w:val="45"/>
        </w:numPr>
        <w:rPr>
          <w:sz w:val="20"/>
        </w:rPr>
      </w:pPr>
      <w:r w:rsidRPr="005300BC">
        <w:rPr>
          <w:sz w:val="20"/>
        </w:rPr>
        <w:t xml:space="preserve">The first question Chevron </w:t>
      </w:r>
      <w:r>
        <w:rPr>
          <w:sz w:val="20"/>
        </w:rPr>
        <w:t xml:space="preserve">asks is whether or not Congress has already spoken to the precise question at issue. If the statute is unambiguous, and the agency’s interpretation does not comport, no </w:t>
      </w:r>
      <w:r>
        <w:rPr>
          <w:i/>
          <w:sz w:val="20"/>
        </w:rPr>
        <w:t xml:space="preserve">Chevron </w:t>
      </w:r>
      <w:r>
        <w:rPr>
          <w:sz w:val="20"/>
        </w:rPr>
        <w:t>deference (</w:t>
      </w:r>
      <w:r>
        <w:rPr>
          <w:i/>
          <w:sz w:val="20"/>
        </w:rPr>
        <w:t xml:space="preserve">Babbitt v. Sweet Home </w:t>
      </w:r>
      <w:r>
        <w:rPr>
          <w:sz w:val="20"/>
        </w:rPr>
        <w:t>– definition of ‘take’)</w:t>
      </w:r>
    </w:p>
    <w:p w14:paraId="70C41BEE" w14:textId="2E961BF3" w:rsidR="005300BC" w:rsidRDefault="005300BC" w:rsidP="005300BC">
      <w:pPr>
        <w:pStyle w:val="ListParagraph"/>
        <w:numPr>
          <w:ilvl w:val="1"/>
          <w:numId w:val="45"/>
        </w:numPr>
        <w:rPr>
          <w:sz w:val="20"/>
        </w:rPr>
      </w:pPr>
      <w:r>
        <w:rPr>
          <w:sz w:val="20"/>
        </w:rPr>
        <w:t>Scalia dissents, arguing that the meaning of ‘take’ is clear; there is only one correct interpretation, rather than Stevens’ range of reasonableness</w:t>
      </w:r>
    </w:p>
    <w:p w14:paraId="6A85EB05" w14:textId="2D881811" w:rsidR="005300BC" w:rsidRDefault="005300BC" w:rsidP="005300BC">
      <w:pPr>
        <w:pStyle w:val="ListParagraph"/>
        <w:numPr>
          <w:ilvl w:val="0"/>
          <w:numId w:val="45"/>
        </w:numPr>
        <w:rPr>
          <w:sz w:val="20"/>
        </w:rPr>
      </w:pPr>
      <w:r>
        <w:rPr>
          <w:sz w:val="20"/>
        </w:rPr>
        <w:t xml:space="preserve">The Court has created a non-delegation doctrine within </w:t>
      </w:r>
      <w:r>
        <w:rPr>
          <w:i/>
          <w:sz w:val="20"/>
        </w:rPr>
        <w:t>Chevron</w:t>
      </w:r>
      <w:r>
        <w:rPr>
          <w:sz w:val="20"/>
        </w:rPr>
        <w:t>, (not Constitutional, but statutory), essentially arguing that certain questions are so important Congress would not have delegated them to the agency in such an indirect manner. (</w:t>
      </w:r>
      <w:r>
        <w:rPr>
          <w:i/>
          <w:sz w:val="20"/>
        </w:rPr>
        <w:t>MCI v. AT&amp;T</w:t>
      </w:r>
      <w:r>
        <w:rPr>
          <w:sz w:val="20"/>
        </w:rPr>
        <w:t>)</w:t>
      </w:r>
    </w:p>
    <w:p w14:paraId="7754148C" w14:textId="4214EFDE" w:rsidR="00515639" w:rsidRPr="00515639" w:rsidRDefault="00515639" w:rsidP="00515639">
      <w:pPr>
        <w:pStyle w:val="ListParagraph"/>
        <w:numPr>
          <w:ilvl w:val="1"/>
          <w:numId w:val="45"/>
        </w:numPr>
        <w:rPr>
          <w:sz w:val="20"/>
        </w:rPr>
      </w:pPr>
      <w:r>
        <w:rPr>
          <w:sz w:val="20"/>
        </w:rPr>
        <w:t xml:space="preserve">Is this idea consistent with the overall purpose of </w:t>
      </w:r>
      <w:r>
        <w:rPr>
          <w:i/>
          <w:sz w:val="20"/>
        </w:rPr>
        <w:t>Chevron</w:t>
      </w:r>
      <w:r>
        <w:rPr>
          <w:sz w:val="20"/>
        </w:rPr>
        <w:t xml:space="preserve">, agency delegation? Or is it consistent, since it implies that Congress is a better decision-maker than agencies? </w:t>
      </w:r>
    </w:p>
    <w:p w14:paraId="18CC2DDC" w14:textId="1603B11E" w:rsidR="00515639" w:rsidRDefault="00515639" w:rsidP="00515639">
      <w:pPr>
        <w:pStyle w:val="ListParagraph"/>
        <w:numPr>
          <w:ilvl w:val="1"/>
          <w:numId w:val="45"/>
        </w:numPr>
        <w:rPr>
          <w:sz w:val="20"/>
        </w:rPr>
      </w:pPr>
      <w:r>
        <w:rPr>
          <w:sz w:val="20"/>
        </w:rPr>
        <w:t xml:space="preserve">A similar idea is invoked in </w:t>
      </w:r>
      <w:r>
        <w:rPr>
          <w:i/>
          <w:sz w:val="20"/>
        </w:rPr>
        <w:t>FDA v. Brown &amp; Williamson</w:t>
      </w:r>
    </w:p>
    <w:p w14:paraId="26AE763C" w14:textId="495C5C77" w:rsidR="00515639" w:rsidRDefault="00515639" w:rsidP="00515639">
      <w:pPr>
        <w:pStyle w:val="ListParagraph"/>
        <w:numPr>
          <w:ilvl w:val="2"/>
          <w:numId w:val="45"/>
        </w:numPr>
        <w:rPr>
          <w:sz w:val="20"/>
        </w:rPr>
      </w:pPr>
      <w:r>
        <w:rPr>
          <w:sz w:val="20"/>
        </w:rPr>
        <w:t>Breyer argues in dissent that such a canon is unnecessary, since the Presidential administration will be accountable for agency decisions regardless</w:t>
      </w:r>
    </w:p>
    <w:p w14:paraId="3842F815" w14:textId="11F28A21" w:rsidR="00515639" w:rsidRDefault="00515639" w:rsidP="00515639">
      <w:pPr>
        <w:pStyle w:val="ListParagraph"/>
        <w:numPr>
          <w:ilvl w:val="1"/>
          <w:numId w:val="45"/>
        </w:numPr>
        <w:rPr>
          <w:sz w:val="20"/>
        </w:rPr>
      </w:pPr>
      <w:r>
        <w:rPr>
          <w:i/>
          <w:sz w:val="20"/>
        </w:rPr>
        <w:t xml:space="preserve">Chevron </w:t>
      </w:r>
      <w:r>
        <w:rPr>
          <w:sz w:val="20"/>
        </w:rPr>
        <w:t xml:space="preserve">and the major question doctrine pull in the same way in </w:t>
      </w:r>
      <w:r>
        <w:rPr>
          <w:i/>
          <w:sz w:val="20"/>
        </w:rPr>
        <w:t>Mass. v. EPA</w:t>
      </w:r>
      <w:r>
        <w:rPr>
          <w:sz w:val="20"/>
        </w:rPr>
        <w:t>, but the agency loses anyway</w:t>
      </w:r>
      <w:r w:rsidR="009C3646">
        <w:rPr>
          <w:sz w:val="20"/>
        </w:rPr>
        <w:t>. The majority may have wanted to force EPA to exercise professional judgment</w:t>
      </w:r>
    </w:p>
    <w:p w14:paraId="70268CC0" w14:textId="0EAAB51C" w:rsidR="009C3646" w:rsidRDefault="009C3646" w:rsidP="009C3646">
      <w:pPr>
        <w:pStyle w:val="ListParagraph"/>
        <w:numPr>
          <w:ilvl w:val="2"/>
          <w:numId w:val="45"/>
        </w:numPr>
        <w:rPr>
          <w:sz w:val="20"/>
        </w:rPr>
      </w:pPr>
      <w:r>
        <w:rPr>
          <w:sz w:val="20"/>
        </w:rPr>
        <w:t xml:space="preserve">Both </w:t>
      </w:r>
      <w:r>
        <w:rPr>
          <w:i/>
          <w:sz w:val="20"/>
        </w:rPr>
        <w:t xml:space="preserve">Mass v. EPA </w:t>
      </w:r>
      <w:r>
        <w:rPr>
          <w:sz w:val="20"/>
        </w:rPr>
        <w:t xml:space="preserve">and </w:t>
      </w:r>
      <w:r>
        <w:rPr>
          <w:i/>
          <w:sz w:val="20"/>
        </w:rPr>
        <w:t xml:space="preserve">FDA </w:t>
      </w:r>
      <w:r>
        <w:rPr>
          <w:sz w:val="20"/>
        </w:rPr>
        <w:t xml:space="preserve">involved jurisdictional questions. However, in </w:t>
      </w:r>
      <w:r>
        <w:rPr>
          <w:i/>
          <w:sz w:val="20"/>
        </w:rPr>
        <w:t>City of Arlington</w:t>
      </w:r>
      <w:r w:rsidR="00954BF3">
        <w:rPr>
          <w:sz w:val="20"/>
        </w:rPr>
        <w:t>, the Court kills</w:t>
      </w:r>
      <w:r>
        <w:rPr>
          <w:sz w:val="20"/>
        </w:rPr>
        <w:t xml:space="preserve"> distinction</w:t>
      </w:r>
      <w:r w:rsidR="00954BF3">
        <w:rPr>
          <w:sz w:val="20"/>
        </w:rPr>
        <w:t xml:space="preserve">s between jurisdictional </w:t>
      </w:r>
      <w:r>
        <w:rPr>
          <w:sz w:val="20"/>
        </w:rPr>
        <w:t xml:space="preserve">and other </w:t>
      </w:r>
      <w:r>
        <w:rPr>
          <w:i/>
          <w:sz w:val="20"/>
        </w:rPr>
        <w:t>Chevron</w:t>
      </w:r>
      <w:r>
        <w:rPr>
          <w:sz w:val="20"/>
        </w:rPr>
        <w:t xml:space="preserve"> questions</w:t>
      </w:r>
    </w:p>
    <w:p w14:paraId="1D6279EC" w14:textId="764D3C30" w:rsidR="009C3646" w:rsidRDefault="009C3646" w:rsidP="009C3646">
      <w:pPr>
        <w:pStyle w:val="ListParagraph"/>
        <w:numPr>
          <w:ilvl w:val="1"/>
          <w:numId w:val="45"/>
        </w:numPr>
        <w:rPr>
          <w:sz w:val="20"/>
        </w:rPr>
      </w:pPr>
      <w:r>
        <w:rPr>
          <w:sz w:val="20"/>
        </w:rPr>
        <w:t>Agencies may give different interpretations to identical words in a statute (</w:t>
      </w:r>
      <w:r>
        <w:rPr>
          <w:i/>
          <w:sz w:val="20"/>
        </w:rPr>
        <w:t>Duke Energy</w:t>
      </w:r>
      <w:r>
        <w:rPr>
          <w:sz w:val="20"/>
        </w:rPr>
        <w:t>)</w:t>
      </w:r>
    </w:p>
    <w:p w14:paraId="2A40811A" w14:textId="474D1A21" w:rsidR="00C87C45" w:rsidRDefault="009C3646" w:rsidP="00C87C45">
      <w:pPr>
        <w:pStyle w:val="ListParagraph"/>
        <w:numPr>
          <w:ilvl w:val="2"/>
          <w:numId w:val="45"/>
        </w:numPr>
        <w:rPr>
          <w:sz w:val="20"/>
        </w:rPr>
      </w:pPr>
      <w:r>
        <w:rPr>
          <w:sz w:val="20"/>
        </w:rPr>
        <w:t>Silence is not conclusive either, but agencies still must provide interpretations so the court can exercise judicial review (</w:t>
      </w:r>
      <w:r>
        <w:rPr>
          <w:i/>
          <w:sz w:val="20"/>
        </w:rPr>
        <w:t>Negusie v. Holder</w:t>
      </w:r>
      <w:r w:rsidR="00C87C45">
        <w:rPr>
          <w:sz w:val="20"/>
        </w:rPr>
        <w:t>)</w:t>
      </w:r>
    </w:p>
    <w:p w14:paraId="1A83A491" w14:textId="4E1AE9ED" w:rsidR="00C87C45" w:rsidRDefault="00C87C45" w:rsidP="00C87C45">
      <w:pPr>
        <w:pStyle w:val="Heading4"/>
        <w:rPr>
          <w:sz w:val="20"/>
        </w:rPr>
      </w:pPr>
      <w:r>
        <w:rPr>
          <w:sz w:val="20"/>
        </w:rPr>
        <w:t>Chevron Step 2</w:t>
      </w:r>
    </w:p>
    <w:p w14:paraId="4F2B6051" w14:textId="003EE101" w:rsidR="00C87C45" w:rsidRPr="00C87C45" w:rsidRDefault="00AA38A8" w:rsidP="00C87C45">
      <w:pPr>
        <w:pStyle w:val="ListParagraph"/>
        <w:numPr>
          <w:ilvl w:val="0"/>
          <w:numId w:val="46"/>
        </w:numPr>
      </w:pPr>
      <w:r>
        <w:rPr>
          <w:sz w:val="20"/>
        </w:rPr>
        <w:t>There is dispute as to</w:t>
      </w:r>
      <w:r w:rsidR="00C87C45">
        <w:rPr>
          <w:sz w:val="20"/>
        </w:rPr>
        <w:t xml:space="preserve"> </w:t>
      </w:r>
      <w:r>
        <w:rPr>
          <w:sz w:val="20"/>
        </w:rPr>
        <w:t xml:space="preserve">what </w:t>
      </w:r>
      <w:r w:rsidR="00C87C45">
        <w:rPr>
          <w:sz w:val="20"/>
        </w:rPr>
        <w:t>step 2</w:t>
      </w:r>
      <w:r>
        <w:rPr>
          <w:sz w:val="20"/>
        </w:rPr>
        <w:t xml:space="preserve">’s inquiry is; </w:t>
      </w:r>
      <w:r w:rsidR="00C87C45">
        <w:rPr>
          <w:sz w:val="20"/>
        </w:rPr>
        <w:t>if the agency’s interpretation contradicts congressional will (in which case, isn’t step 2 simply step 1</w:t>
      </w:r>
      <w:r>
        <w:rPr>
          <w:sz w:val="20"/>
        </w:rPr>
        <w:t>?</w:t>
      </w:r>
      <w:r w:rsidR="00C87C45">
        <w:rPr>
          <w:sz w:val="20"/>
        </w:rPr>
        <w:t>), or similar to the “arbitrary and capricious” standard?</w:t>
      </w:r>
    </w:p>
    <w:p w14:paraId="76581BC7" w14:textId="2F1892C4" w:rsidR="00C87C45" w:rsidRPr="00C87C45" w:rsidRDefault="00C87C45" w:rsidP="00C87C45">
      <w:pPr>
        <w:pStyle w:val="ListParagraph"/>
        <w:numPr>
          <w:ilvl w:val="0"/>
          <w:numId w:val="46"/>
        </w:numPr>
      </w:pPr>
      <w:r>
        <w:rPr>
          <w:sz w:val="20"/>
        </w:rPr>
        <w:t>The agency</w:t>
      </w:r>
      <w:r w:rsidR="00AA38A8">
        <w:rPr>
          <w:sz w:val="20"/>
        </w:rPr>
        <w:t xml:space="preserve"> wins</w:t>
      </w:r>
      <w:r w:rsidR="00AA38A8">
        <w:rPr>
          <w:sz w:val="20"/>
          <w:szCs w:val="20"/>
        </w:rPr>
        <w:t xml:space="preserve"> if it’s</w:t>
      </w:r>
      <w:r w:rsidRPr="00C87C45">
        <w:rPr>
          <w:sz w:val="20"/>
          <w:szCs w:val="20"/>
        </w:rPr>
        <w:t xml:space="preserve"> reasonabl</w:t>
      </w:r>
      <w:r w:rsidR="00AA38A8">
        <w:rPr>
          <w:sz w:val="20"/>
          <w:szCs w:val="20"/>
        </w:rPr>
        <w:t>e</w:t>
      </w:r>
      <w:r w:rsidRPr="00C87C45">
        <w:rPr>
          <w:sz w:val="20"/>
          <w:szCs w:val="20"/>
        </w:rPr>
        <w:t xml:space="preserve">; </w:t>
      </w:r>
      <w:r w:rsidRPr="00C87C45">
        <w:rPr>
          <w:i/>
          <w:sz w:val="20"/>
          <w:szCs w:val="20"/>
        </w:rPr>
        <w:t>not</w:t>
      </w:r>
      <w:r w:rsidRPr="00C87C45">
        <w:rPr>
          <w:sz w:val="20"/>
          <w:szCs w:val="20"/>
        </w:rPr>
        <w:t xml:space="preserve"> the only possible</w:t>
      </w:r>
      <w:r w:rsidR="00AA38A8">
        <w:rPr>
          <w:sz w:val="20"/>
          <w:szCs w:val="20"/>
        </w:rPr>
        <w:t xml:space="preserve"> interpretation, or</w:t>
      </w:r>
      <w:r w:rsidRPr="00C87C45">
        <w:rPr>
          <w:sz w:val="20"/>
          <w:szCs w:val="20"/>
        </w:rPr>
        <w:t xml:space="preserve"> the best one (</w:t>
      </w:r>
      <w:r w:rsidRPr="00C87C45">
        <w:rPr>
          <w:i/>
          <w:sz w:val="20"/>
          <w:szCs w:val="20"/>
        </w:rPr>
        <w:t>Entergy Corp.</w:t>
      </w:r>
      <w:r w:rsidRPr="00C87C45">
        <w:rPr>
          <w:sz w:val="20"/>
          <w:szCs w:val="20"/>
        </w:rPr>
        <w:t>)</w:t>
      </w:r>
    </w:p>
    <w:p w14:paraId="33032EBC" w14:textId="2EDA7BBB" w:rsidR="00C87C45" w:rsidRPr="00C87C45" w:rsidRDefault="00C87C45" w:rsidP="00C87C45">
      <w:pPr>
        <w:pStyle w:val="ListParagraph"/>
        <w:numPr>
          <w:ilvl w:val="1"/>
          <w:numId w:val="46"/>
        </w:numPr>
      </w:pPr>
      <w:r>
        <w:rPr>
          <w:i/>
          <w:sz w:val="20"/>
          <w:szCs w:val="20"/>
        </w:rPr>
        <w:t>Entergy</w:t>
      </w:r>
      <w:r>
        <w:t xml:space="preserve"> </w:t>
      </w:r>
      <w:r>
        <w:rPr>
          <w:sz w:val="20"/>
        </w:rPr>
        <w:t>is another case fundamentally about how silence is interpreted; does silence implicitly proscribe unmentioned conduct?</w:t>
      </w:r>
    </w:p>
    <w:p w14:paraId="0EC97D3F" w14:textId="22CE06F0" w:rsidR="00C87C45" w:rsidRPr="00B75772" w:rsidRDefault="00C87C45" w:rsidP="00C87C45">
      <w:pPr>
        <w:pStyle w:val="ListParagraph"/>
        <w:numPr>
          <w:ilvl w:val="1"/>
          <w:numId w:val="46"/>
        </w:numPr>
      </w:pPr>
      <w:r>
        <w:rPr>
          <w:sz w:val="20"/>
          <w:szCs w:val="20"/>
        </w:rPr>
        <w:t xml:space="preserve">Similarly, a court’s prior judicial construction of a statute controls an agency’s interpretation only if the court found that their construction was </w:t>
      </w:r>
      <w:r>
        <w:rPr>
          <w:i/>
          <w:sz w:val="20"/>
          <w:szCs w:val="20"/>
        </w:rPr>
        <w:t xml:space="preserve">the only possible </w:t>
      </w:r>
      <w:r>
        <w:rPr>
          <w:sz w:val="20"/>
          <w:szCs w:val="20"/>
        </w:rPr>
        <w:t>interpretation, leaving no room for agency decision (</w:t>
      </w:r>
      <w:r>
        <w:rPr>
          <w:i/>
          <w:sz w:val="20"/>
          <w:szCs w:val="20"/>
        </w:rPr>
        <w:t>Brand X</w:t>
      </w:r>
      <w:r>
        <w:rPr>
          <w:sz w:val="20"/>
          <w:szCs w:val="20"/>
        </w:rPr>
        <w:t>)</w:t>
      </w:r>
    </w:p>
    <w:p w14:paraId="776AFE05" w14:textId="306CD843" w:rsidR="00B75772" w:rsidRPr="00B75772" w:rsidRDefault="00954BF3" w:rsidP="00B75772">
      <w:pPr>
        <w:pStyle w:val="ListParagraph"/>
        <w:numPr>
          <w:ilvl w:val="2"/>
          <w:numId w:val="46"/>
        </w:numPr>
      </w:pPr>
      <w:r>
        <w:rPr>
          <w:sz w:val="20"/>
          <w:szCs w:val="20"/>
        </w:rPr>
        <w:t>Scalia shows</w:t>
      </w:r>
      <w:r w:rsidR="00B75772">
        <w:rPr>
          <w:sz w:val="20"/>
          <w:szCs w:val="20"/>
        </w:rPr>
        <w:t xml:space="preserve"> his faith in single, uniquely correct interpretations, and is uncomfortable </w:t>
      </w:r>
      <w:r>
        <w:rPr>
          <w:sz w:val="20"/>
          <w:szCs w:val="20"/>
        </w:rPr>
        <w:t>with agencies disagreeing</w:t>
      </w:r>
      <w:r w:rsidR="00B75772">
        <w:rPr>
          <w:sz w:val="20"/>
          <w:szCs w:val="20"/>
        </w:rPr>
        <w:t xml:space="preserve"> with courts’ </w:t>
      </w:r>
      <w:r>
        <w:rPr>
          <w:sz w:val="20"/>
          <w:szCs w:val="20"/>
        </w:rPr>
        <w:t>incorrectly phrased interpretations</w:t>
      </w:r>
    </w:p>
    <w:p w14:paraId="609F781C" w14:textId="14C1854E" w:rsidR="00B75772" w:rsidRDefault="00B75772" w:rsidP="00B75772">
      <w:pPr>
        <w:pStyle w:val="Heading3"/>
      </w:pPr>
      <w:r>
        <w:t>Arbitrary &amp; Capricious</w:t>
      </w:r>
    </w:p>
    <w:p w14:paraId="5CB1316A" w14:textId="6499B9CD" w:rsidR="00B75772" w:rsidRPr="00B75772" w:rsidRDefault="00B75772" w:rsidP="00B75772">
      <w:pPr>
        <w:pStyle w:val="ListParagraph"/>
        <w:numPr>
          <w:ilvl w:val="0"/>
          <w:numId w:val="47"/>
        </w:numPr>
      </w:pPr>
      <w:r>
        <w:rPr>
          <w:sz w:val="20"/>
        </w:rPr>
        <w:t>Hard look review forces agencies to make a record to facilitate judicial review, even in informal agency proceedings (</w:t>
      </w:r>
      <w:r>
        <w:rPr>
          <w:i/>
          <w:sz w:val="20"/>
        </w:rPr>
        <w:t>Overton Park)</w:t>
      </w:r>
    </w:p>
    <w:p w14:paraId="4E077AE4" w14:textId="11F52A19" w:rsidR="00B75772" w:rsidRDefault="00B75772" w:rsidP="00B75772">
      <w:pPr>
        <w:pStyle w:val="ListParagraph"/>
        <w:numPr>
          <w:ilvl w:val="1"/>
          <w:numId w:val="47"/>
        </w:numPr>
        <w:rPr>
          <w:sz w:val="20"/>
        </w:rPr>
      </w:pPr>
      <w:r w:rsidRPr="00B75772">
        <w:rPr>
          <w:i/>
          <w:sz w:val="20"/>
        </w:rPr>
        <w:t>Overton Park</w:t>
      </w:r>
      <w:r w:rsidRPr="00B75772">
        <w:rPr>
          <w:sz w:val="20"/>
        </w:rPr>
        <w:t xml:space="preserve"> seems </w:t>
      </w:r>
      <w:r>
        <w:rPr>
          <w:sz w:val="20"/>
        </w:rPr>
        <w:t xml:space="preserve">to set up a multistep process: </w:t>
      </w:r>
      <w:r w:rsidRPr="00B75772">
        <w:rPr>
          <w:i/>
          <w:sz w:val="20"/>
        </w:rPr>
        <w:t xml:space="preserve">Chevron </w:t>
      </w:r>
      <w:r>
        <w:rPr>
          <w:sz w:val="20"/>
        </w:rPr>
        <w:t xml:space="preserve">1, </w:t>
      </w:r>
      <w:r w:rsidRPr="00B75772">
        <w:rPr>
          <w:i/>
          <w:sz w:val="20"/>
        </w:rPr>
        <w:t>Chevron</w:t>
      </w:r>
      <w:r>
        <w:rPr>
          <w:sz w:val="20"/>
        </w:rPr>
        <w:t xml:space="preserve"> 2, and arbitrariness review</w:t>
      </w:r>
    </w:p>
    <w:p w14:paraId="055CB41D" w14:textId="52651099" w:rsidR="00B75772" w:rsidRDefault="00B75772" w:rsidP="00B75772">
      <w:pPr>
        <w:pStyle w:val="ListParagraph"/>
        <w:numPr>
          <w:ilvl w:val="2"/>
          <w:numId w:val="47"/>
        </w:numPr>
        <w:rPr>
          <w:sz w:val="20"/>
        </w:rPr>
      </w:pPr>
      <w:r>
        <w:rPr>
          <w:sz w:val="20"/>
        </w:rPr>
        <w:t>There is a limited remedy for arbitrariness review; usually limited to remand. Public justification seems to be the driving concern</w:t>
      </w:r>
    </w:p>
    <w:p w14:paraId="64635948" w14:textId="56E828A0" w:rsidR="00B75772" w:rsidRDefault="00B75772" w:rsidP="00B75772">
      <w:pPr>
        <w:pStyle w:val="ListParagraph"/>
        <w:numPr>
          <w:ilvl w:val="1"/>
          <w:numId w:val="47"/>
        </w:numPr>
        <w:rPr>
          <w:sz w:val="20"/>
        </w:rPr>
      </w:pPr>
      <w:r>
        <w:rPr>
          <w:sz w:val="20"/>
        </w:rPr>
        <w:t>Elements of arbitrariness review include:</w:t>
      </w:r>
    </w:p>
    <w:p w14:paraId="4BB41721" w14:textId="3F0F7EA2" w:rsidR="00B75772" w:rsidRDefault="00B75772" w:rsidP="00B75772">
      <w:pPr>
        <w:pStyle w:val="ListParagraph"/>
        <w:numPr>
          <w:ilvl w:val="2"/>
          <w:numId w:val="47"/>
        </w:numPr>
        <w:rPr>
          <w:sz w:val="20"/>
        </w:rPr>
      </w:pPr>
      <w:r>
        <w:rPr>
          <w:sz w:val="20"/>
        </w:rPr>
        <w:t xml:space="preserve">Did agency consider relevant statutory factors? </w:t>
      </w:r>
    </w:p>
    <w:p w14:paraId="5079DD06" w14:textId="24DAC03E" w:rsidR="00B75772" w:rsidRDefault="00B75772" w:rsidP="00B75772">
      <w:pPr>
        <w:pStyle w:val="ListParagraph"/>
        <w:numPr>
          <w:ilvl w:val="2"/>
          <w:numId w:val="47"/>
        </w:numPr>
        <w:rPr>
          <w:sz w:val="20"/>
        </w:rPr>
      </w:pPr>
      <w:r>
        <w:rPr>
          <w:sz w:val="20"/>
        </w:rPr>
        <w:t>Did agency consider reasonable policy alternatives?</w:t>
      </w:r>
    </w:p>
    <w:p w14:paraId="02B987C8" w14:textId="3B4696B7" w:rsidR="00B75772" w:rsidRPr="00AA38A8" w:rsidRDefault="00B75772" w:rsidP="00B75772">
      <w:pPr>
        <w:pStyle w:val="ListParagraph"/>
        <w:numPr>
          <w:ilvl w:val="3"/>
          <w:numId w:val="47"/>
        </w:numPr>
        <w:rPr>
          <w:sz w:val="20"/>
        </w:rPr>
      </w:pPr>
      <w:r>
        <w:rPr>
          <w:sz w:val="20"/>
        </w:rPr>
        <w:t xml:space="preserve">Failure to do so was reason the agency’s decision was overturned in </w:t>
      </w:r>
      <w:r>
        <w:rPr>
          <w:i/>
          <w:sz w:val="20"/>
        </w:rPr>
        <w:t>State Farm</w:t>
      </w:r>
    </w:p>
    <w:p w14:paraId="338253EF" w14:textId="1A5543EF" w:rsidR="00AA38A8" w:rsidRDefault="00AA38A8" w:rsidP="00B75772">
      <w:pPr>
        <w:pStyle w:val="ListParagraph"/>
        <w:numPr>
          <w:ilvl w:val="3"/>
          <w:numId w:val="47"/>
        </w:numPr>
        <w:rPr>
          <w:sz w:val="20"/>
        </w:rPr>
      </w:pPr>
      <w:r>
        <w:rPr>
          <w:sz w:val="20"/>
        </w:rPr>
        <w:t xml:space="preserve">Is </w:t>
      </w:r>
      <w:r>
        <w:rPr>
          <w:i/>
          <w:sz w:val="20"/>
        </w:rPr>
        <w:t>State Farm</w:t>
      </w:r>
      <w:r>
        <w:t xml:space="preserve"> </w:t>
      </w:r>
      <w:r>
        <w:rPr>
          <w:sz w:val="20"/>
        </w:rPr>
        <w:t xml:space="preserve">a technocratic approach that limits agency’s ability to change policies as a result of a change in Presidential administration? </w:t>
      </w:r>
    </w:p>
    <w:p w14:paraId="6E2116A7" w14:textId="52E80258" w:rsidR="00B75772" w:rsidRDefault="00B75772" w:rsidP="00B75772">
      <w:pPr>
        <w:pStyle w:val="ListParagraph"/>
        <w:numPr>
          <w:ilvl w:val="2"/>
          <w:numId w:val="47"/>
        </w:numPr>
        <w:rPr>
          <w:sz w:val="20"/>
        </w:rPr>
      </w:pPr>
      <w:r>
        <w:rPr>
          <w:sz w:val="20"/>
        </w:rPr>
        <w:t>Substantive facts behind the agency’s rationale</w:t>
      </w:r>
    </w:p>
    <w:p w14:paraId="541BF380" w14:textId="0D206A15" w:rsidR="00AA38A8" w:rsidRDefault="00AA38A8" w:rsidP="00AA38A8">
      <w:pPr>
        <w:pStyle w:val="ListParagraph"/>
        <w:numPr>
          <w:ilvl w:val="3"/>
          <w:numId w:val="47"/>
        </w:numPr>
        <w:rPr>
          <w:sz w:val="20"/>
        </w:rPr>
      </w:pPr>
      <w:r>
        <w:rPr>
          <w:sz w:val="20"/>
        </w:rPr>
        <w:t>If facts are uncertain or unknowable, is it reasonable to force agency to provide reasons for a policy change? No! (</w:t>
      </w:r>
      <w:r>
        <w:rPr>
          <w:i/>
          <w:sz w:val="20"/>
        </w:rPr>
        <w:t>FCC v. Fox</w:t>
      </w:r>
      <w:r>
        <w:rPr>
          <w:sz w:val="20"/>
        </w:rPr>
        <w:t>)</w:t>
      </w:r>
    </w:p>
    <w:p w14:paraId="29AED485" w14:textId="08460EFC" w:rsidR="00B75772" w:rsidRDefault="00B75772" w:rsidP="00B75772">
      <w:pPr>
        <w:pStyle w:val="ListParagraph"/>
        <w:numPr>
          <w:ilvl w:val="2"/>
          <w:numId w:val="47"/>
        </w:numPr>
        <w:rPr>
          <w:sz w:val="20"/>
        </w:rPr>
      </w:pPr>
      <w:r>
        <w:rPr>
          <w:sz w:val="20"/>
        </w:rPr>
        <w:t xml:space="preserve">Did the agency make any clear errors of judgment? </w:t>
      </w:r>
    </w:p>
    <w:p w14:paraId="1E10AB5F" w14:textId="6332CDAE" w:rsidR="00B75772" w:rsidRDefault="00B75772" w:rsidP="00B75772">
      <w:pPr>
        <w:pStyle w:val="ListParagraph"/>
        <w:numPr>
          <w:ilvl w:val="1"/>
          <w:numId w:val="47"/>
        </w:numPr>
        <w:rPr>
          <w:sz w:val="20"/>
        </w:rPr>
      </w:pPr>
      <w:r>
        <w:rPr>
          <w:sz w:val="20"/>
        </w:rPr>
        <w:t>One of the major rationales for limited arbitrariness review is anti-ossification; courts want to make it easy for agencies to make new policy judgments in light of new information</w:t>
      </w:r>
    </w:p>
    <w:p w14:paraId="73857DAA" w14:textId="5253375D" w:rsidR="00B75772" w:rsidRDefault="00B75772" w:rsidP="00B75772">
      <w:pPr>
        <w:pStyle w:val="ListParagraph"/>
        <w:numPr>
          <w:ilvl w:val="1"/>
          <w:numId w:val="47"/>
        </w:numPr>
        <w:rPr>
          <w:sz w:val="20"/>
        </w:rPr>
      </w:pPr>
      <w:r>
        <w:rPr>
          <w:sz w:val="20"/>
        </w:rPr>
        <w:t xml:space="preserve">The current state of the law is that agencies must consider reasonable policy alternatives when initially forming policies, but </w:t>
      </w:r>
      <w:r>
        <w:rPr>
          <w:i/>
          <w:sz w:val="20"/>
        </w:rPr>
        <w:t xml:space="preserve">not </w:t>
      </w:r>
      <w:r>
        <w:rPr>
          <w:sz w:val="20"/>
        </w:rPr>
        <w:t>when that policy changes</w:t>
      </w:r>
    </w:p>
    <w:p w14:paraId="7045351E" w14:textId="11D7F99A" w:rsidR="00C87C45" w:rsidRPr="00C87C45" w:rsidRDefault="00B75772" w:rsidP="00741FBE">
      <w:pPr>
        <w:pStyle w:val="ListParagraph"/>
        <w:numPr>
          <w:ilvl w:val="2"/>
          <w:numId w:val="47"/>
        </w:numPr>
      </w:pPr>
      <w:r w:rsidRPr="00954BF3">
        <w:rPr>
          <w:sz w:val="20"/>
        </w:rPr>
        <w:t>Isn’t this backwards?</w:t>
      </w:r>
    </w:p>
    <w:sectPr w:rsidR="00C87C45" w:rsidRPr="00C87C45" w:rsidSect="007B55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3A61" w14:textId="77777777" w:rsidR="00E47FA9" w:rsidRDefault="00E47FA9" w:rsidP="004E6C45">
      <w:pPr>
        <w:spacing w:after="0" w:line="240" w:lineRule="auto"/>
      </w:pPr>
      <w:r>
        <w:separator/>
      </w:r>
    </w:p>
  </w:endnote>
  <w:endnote w:type="continuationSeparator" w:id="0">
    <w:p w14:paraId="42D083B6" w14:textId="77777777" w:rsidR="00E47FA9" w:rsidRDefault="00E47FA9" w:rsidP="004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035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C82AF" w14:textId="63327723" w:rsidR="00FE1387" w:rsidRDefault="00FE1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0F31E" w14:textId="77777777" w:rsidR="00FE1387" w:rsidRDefault="00FE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99395" w14:textId="77777777" w:rsidR="00E47FA9" w:rsidRDefault="00E47FA9" w:rsidP="004E6C45">
      <w:pPr>
        <w:spacing w:after="0" w:line="240" w:lineRule="auto"/>
      </w:pPr>
      <w:r>
        <w:separator/>
      </w:r>
    </w:p>
  </w:footnote>
  <w:footnote w:type="continuationSeparator" w:id="0">
    <w:p w14:paraId="3D9F5D5E" w14:textId="77777777" w:rsidR="00E47FA9" w:rsidRDefault="00E47FA9" w:rsidP="004E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CD69" w14:textId="550B59D3" w:rsidR="00FE1387" w:rsidRDefault="00E86000" w:rsidP="004E2655">
    <w:pPr>
      <w:pStyle w:val="Header"/>
      <w:ind w:right="110"/>
      <w:jc w:val="right"/>
    </w:pPr>
    <w:r>
      <w:t>Leg Reg</w:t>
    </w:r>
    <w:r w:rsidR="00FE1387">
      <w:t xml:space="preserve"> Mini-Outline</w:t>
    </w:r>
  </w:p>
  <w:p w14:paraId="2E1A2D8B" w14:textId="77777777" w:rsidR="00FE1387" w:rsidRDefault="00FE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897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70D5"/>
    <w:multiLevelType w:val="hybridMultilevel"/>
    <w:tmpl w:val="848E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1C86"/>
    <w:multiLevelType w:val="hybridMultilevel"/>
    <w:tmpl w:val="A940B11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B90DAE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FCB"/>
    <w:multiLevelType w:val="hybridMultilevel"/>
    <w:tmpl w:val="51640440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4998A5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1E6D"/>
    <w:multiLevelType w:val="hybridMultilevel"/>
    <w:tmpl w:val="26FE2642"/>
    <w:lvl w:ilvl="0" w:tplc="0E0405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2307"/>
    <w:multiLevelType w:val="hybridMultilevel"/>
    <w:tmpl w:val="EC96EC1A"/>
    <w:lvl w:ilvl="0" w:tplc="55B0B5BC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0C095F06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85054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1769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568C7"/>
    <w:multiLevelType w:val="hybridMultilevel"/>
    <w:tmpl w:val="E5EE6E88"/>
    <w:lvl w:ilvl="0" w:tplc="F79E1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8912F8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87E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86D08"/>
    <w:multiLevelType w:val="hybridMultilevel"/>
    <w:tmpl w:val="51640440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4998A5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F2DF2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17D1D"/>
    <w:multiLevelType w:val="hybridMultilevel"/>
    <w:tmpl w:val="1960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96A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62B06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4298"/>
    <w:multiLevelType w:val="hybridMultilevel"/>
    <w:tmpl w:val="BAA4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D0AAD"/>
    <w:multiLevelType w:val="hybridMultilevel"/>
    <w:tmpl w:val="51640440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4998A5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10D5"/>
    <w:multiLevelType w:val="hybridMultilevel"/>
    <w:tmpl w:val="59406938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309AB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26D5E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65CE3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17F0C"/>
    <w:multiLevelType w:val="hybridMultilevel"/>
    <w:tmpl w:val="F1D8A126"/>
    <w:lvl w:ilvl="0" w:tplc="C6288F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75AF"/>
    <w:multiLevelType w:val="hybridMultilevel"/>
    <w:tmpl w:val="51640440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4998A5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766D5"/>
    <w:multiLevelType w:val="hybridMultilevel"/>
    <w:tmpl w:val="53E2908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3BAED16A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C72D9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5570B"/>
    <w:multiLevelType w:val="hybridMultilevel"/>
    <w:tmpl w:val="4A32B488"/>
    <w:lvl w:ilvl="0" w:tplc="52BED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43A60"/>
    <w:multiLevelType w:val="hybridMultilevel"/>
    <w:tmpl w:val="CE121982"/>
    <w:lvl w:ilvl="0" w:tplc="11786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B2F7B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442FB"/>
    <w:multiLevelType w:val="hybridMultilevel"/>
    <w:tmpl w:val="EF9E2C0E"/>
    <w:lvl w:ilvl="0" w:tplc="5B94C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A25E1"/>
    <w:multiLevelType w:val="hybridMultilevel"/>
    <w:tmpl w:val="2B5CCA04"/>
    <w:lvl w:ilvl="0" w:tplc="B0AAF7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A1851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A1ACA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80B1F"/>
    <w:multiLevelType w:val="hybridMultilevel"/>
    <w:tmpl w:val="A940B11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B90DAE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516CB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15B44"/>
    <w:multiLevelType w:val="hybridMultilevel"/>
    <w:tmpl w:val="79543150"/>
    <w:lvl w:ilvl="0" w:tplc="163AF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C648F"/>
    <w:multiLevelType w:val="hybridMultilevel"/>
    <w:tmpl w:val="2AAA4164"/>
    <w:lvl w:ilvl="0" w:tplc="F6409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A24C1"/>
    <w:multiLevelType w:val="hybridMultilevel"/>
    <w:tmpl w:val="8F0E89C0"/>
    <w:lvl w:ilvl="0" w:tplc="F8C43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044D0"/>
    <w:multiLevelType w:val="hybridMultilevel"/>
    <w:tmpl w:val="FA2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B0B5B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C9FEA040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09C2A61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F1E06"/>
    <w:multiLevelType w:val="hybridMultilevel"/>
    <w:tmpl w:val="9C504292"/>
    <w:lvl w:ilvl="0" w:tplc="ED6CF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04181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E7400F0C">
      <w:start w:val="1"/>
      <w:numFmt w:val="lowerRoman"/>
      <w:lvlText w:val="%3."/>
      <w:lvlJc w:val="right"/>
      <w:pPr>
        <w:ind w:left="2160" w:hanging="180"/>
      </w:pPr>
      <w:rPr>
        <w:b w:val="0"/>
        <w:sz w:val="20"/>
      </w:rPr>
    </w:lvl>
    <w:lvl w:ilvl="3" w:tplc="3A38E2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DD2144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86B8B"/>
    <w:multiLevelType w:val="hybridMultilevel"/>
    <w:tmpl w:val="F1E0C4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21E82"/>
    <w:multiLevelType w:val="hybridMultilevel"/>
    <w:tmpl w:val="A940B11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B90DAE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2B"/>
    <w:multiLevelType w:val="hybridMultilevel"/>
    <w:tmpl w:val="51640440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4998A5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13DD1"/>
    <w:multiLevelType w:val="hybridMultilevel"/>
    <w:tmpl w:val="AD260462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06C1D"/>
    <w:multiLevelType w:val="hybridMultilevel"/>
    <w:tmpl w:val="51640440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4998A5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310AE"/>
    <w:multiLevelType w:val="hybridMultilevel"/>
    <w:tmpl w:val="DB70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3112E"/>
    <w:multiLevelType w:val="hybridMultilevel"/>
    <w:tmpl w:val="51640440"/>
    <w:lvl w:ilvl="0" w:tplc="6F44F9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00211A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4998A570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F25E89C6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37"/>
  </w:num>
  <w:num w:numId="4">
    <w:abstractNumId w:val="38"/>
  </w:num>
  <w:num w:numId="5">
    <w:abstractNumId w:val="13"/>
  </w:num>
  <w:num w:numId="6">
    <w:abstractNumId w:val="27"/>
  </w:num>
  <w:num w:numId="7">
    <w:abstractNumId w:val="1"/>
  </w:num>
  <w:num w:numId="8">
    <w:abstractNumId w:val="16"/>
  </w:num>
  <w:num w:numId="9">
    <w:abstractNumId w:val="35"/>
  </w:num>
  <w:num w:numId="10">
    <w:abstractNumId w:val="22"/>
  </w:num>
  <w:num w:numId="11">
    <w:abstractNumId w:val="9"/>
  </w:num>
  <w:num w:numId="12">
    <w:abstractNumId w:val="24"/>
  </w:num>
  <w:num w:numId="13">
    <w:abstractNumId w:val="30"/>
  </w:num>
  <w:num w:numId="14">
    <w:abstractNumId w:val="31"/>
  </w:num>
  <w:num w:numId="15">
    <w:abstractNumId w:val="28"/>
  </w:num>
  <w:num w:numId="16">
    <w:abstractNumId w:val="10"/>
  </w:num>
  <w:num w:numId="17">
    <w:abstractNumId w:val="18"/>
  </w:num>
  <w:num w:numId="18">
    <w:abstractNumId w:val="40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  <w:num w:numId="23">
    <w:abstractNumId w:val="34"/>
  </w:num>
  <w:num w:numId="24">
    <w:abstractNumId w:val="12"/>
  </w:num>
  <w:num w:numId="25">
    <w:abstractNumId w:val="19"/>
  </w:num>
  <w:num w:numId="26">
    <w:abstractNumId w:val="32"/>
  </w:num>
  <w:num w:numId="27">
    <w:abstractNumId w:val="0"/>
  </w:num>
  <w:num w:numId="28">
    <w:abstractNumId w:val="36"/>
  </w:num>
  <w:num w:numId="29">
    <w:abstractNumId w:val="8"/>
  </w:num>
  <w:num w:numId="30">
    <w:abstractNumId w:val="26"/>
  </w:num>
  <w:num w:numId="31">
    <w:abstractNumId w:val="25"/>
  </w:num>
  <w:num w:numId="32">
    <w:abstractNumId w:val="21"/>
  </w:num>
  <w:num w:numId="33">
    <w:abstractNumId w:val="7"/>
  </w:num>
  <w:num w:numId="34">
    <w:abstractNumId w:val="43"/>
  </w:num>
  <w:num w:numId="35">
    <w:abstractNumId w:val="41"/>
  </w:num>
  <w:num w:numId="36">
    <w:abstractNumId w:val="29"/>
  </w:num>
  <w:num w:numId="37">
    <w:abstractNumId w:val="4"/>
  </w:num>
  <w:num w:numId="38">
    <w:abstractNumId w:val="14"/>
  </w:num>
  <w:num w:numId="39">
    <w:abstractNumId w:val="2"/>
  </w:num>
  <w:num w:numId="40">
    <w:abstractNumId w:val="33"/>
  </w:num>
  <w:num w:numId="41">
    <w:abstractNumId w:val="44"/>
  </w:num>
  <w:num w:numId="42">
    <w:abstractNumId w:val="11"/>
  </w:num>
  <w:num w:numId="43">
    <w:abstractNumId w:val="23"/>
  </w:num>
  <w:num w:numId="44">
    <w:abstractNumId w:val="17"/>
  </w:num>
  <w:num w:numId="45">
    <w:abstractNumId w:val="46"/>
  </w:num>
  <w:num w:numId="46">
    <w:abstractNumId w:val="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db76d7b2-b514-4a95-8b91-4b76bea34362"/>
  </w:docVars>
  <w:rsids>
    <w:rsidRoot w:val="00505123"/>
    <w:rsid w:val="00002344"/>
    <w:rsid w:val="000027B5"/>
    <w:rsid w:val="000107D3"/>
    <w:rsid w:val="00022760"/>
    <w:rsid w:val="00026809"/>
    <w:rsid w:val="00030BEB"/>
    <w:rsid w:val="000419C8"/>
    <w:rsid w:val="00042840"/>
    <w:rsid w:val="00045817"/>
    <w:rsid w:val="00052B7A"/>
    <w:rsid w:val="0005426B"/>
    <w:rsid w:val="000554FD"/>
    <w:rsid w:val="000558A1"/>
    <w:rsid w:val="0006029C"/>
    <w:rsid w:val="0006279D"/>
    <w:rsid w:val="00067A01"/>
    <w:rsid w:val="000805F1"/>
    <w:rsid w:val="00080E82"/>
    <w:rsid w:val="00090332"/>
    <w:rsid w:val="00091A57"/>
    <w:rsid w:val="0009326C"/>
    <w:rsid w:val="00093B2A"/>
    <w:rsid w:val="0009548B"/>
    <w:rsid w:val="00096DDD"/>
    <w:rsid w:val="000B154F"/>
    <w:rsid w:val="000B42E6"/>
    <w:rsid w:val="000C08E7"/>
    <w:rsid w:val="000C32F0"/>
    <w:rsid w:val="000C3FAC"/>
    <w:rsid w:val="000C5602"/>
    <w:rsid w:val="000C6652"/>
    <w:rsid w:val="000D0013"/>
    <w:rsid w:val="000D1FBC"/>
    <w:rsid w:val="000D748B"/>
    <w:rsid w:val="000E12AF"/>
    <w:rsid w:val="000E2A78"/>
    <w:rsid w:val="000E375C"/>
    <w:rsid w:val="000E38DB"/>
    <w:rsid w:val="000E39D8"/>
    <w:rsid w:val="000E4CA8"/>
    <w:rsid w:val="000E6F86"/>
    <w:rsid w:val="000F6CE2"/>
    <w:rsid w:val="000F6EB1"/>
    <w:rsid w:val="000F724E"/>
    <w:rsid w:val="000F7527"/>
    <w:rsid w:val="00100B1B"/>
    <w:rsid w:val="001018CE"/>
    <w:rsid w:val="00102829"/>
    <w:rsid w:val="00104CB7"/>
    <w:rsid w:val="001210CA"/>
    <w:rsid w:val="00127B68"/>
    <w:rsid w:val="001303C2"/>
    <w:rsid w:val="00141718"/>
    <w:rsid w:val="00141913"/>
    <w:rsid w:val="00145D1D"/>
    <w:rsid w:val="00147582"/>
    <w:rsid w:val="00150E5C"/>
    <w:rsid w:val="00151766"/>
    <w:rsid w:val="00151A3F"/>
    <w:rsid w:val="001607C7"/>
    <w:rsid w:val="00170C48"/>
    <w:rsid w:val="001801A7"/>
    <w:rsid w:val="0018043C"/>
    <w:rsid w:val="00180CD1"/>
    <w:rsid w:val="00181424"/>
    <w:rsid w:val="001829F6"/>
    <w:rsid w:val="001867DB"/>
    <w:rsid w:val="001919EE"/>
    <w:rsid w:val="00193A0D"/>
    <w:rsid w:val="00195D40"/>
    <w:rsid w:val="00195F9B"/>
    <w:rsid w:val="001A2DF7"/>
    <w:rsid w:val="001A5C3C"/>
    <w:rsid w:val="001A6071"/>
    <w:rsid w:val="001A656F"/>
    <w:rsid w:val="001B04B3"/>
    <w:rsid w:val="001B5275"/>
    <w:rsid w:val="001B5F3B"/>
    <w:rsid w:val="001C2EE2"/>
    <w:rsid w:val="001C457B"/>
    <w:rsid w:val="001C512B"/>
    <w:rsid w:val="001D1216"/>
    <w:rsid w:val="001D2485"/>
    <w:rsid w:val="001D47D5"/>
    <w:rsid w:val="001D670C"/>
    <w:rsid w:val="001D68A3"/>
    <w:rsid w:val="001D76BA"/>
    <w:rsid w:val="001E06C4"/>
    <w:rsid w:val="001E25CA"/>
    <w:rsid w:val="001E691B"/>
    <w:rsid w:val="001F2214"/>
    <w:rsid w:val="001F3B6D"/>
    <w:rsid w:val="001F5B14"/>
    <w:rsid w:val="00206309"/>
    <w:rsid w:val="00213182"/>
    <w:rsid w:val="00216778"/>
    <w:rsid w:val="00217021"/>
    <w:rsid w:val="002171B6"/>
    <w:rsid w:val="00220AE9"/>
    <w:rsid w:val="0022229F"/>
    <w:rsid w:val="00232CBA"/>
    <w:rsid w:val="00234984"/>
    <w:rsid w:val="0023576A"/>
    <w:rsid w:val="00237244"/>
    <w:rsid w:val="00241BFE"/>
    <w:rsid w:val="0024343E"/>
    <w:rsid w:val="00243EFE"/>
    <w:rsid w:val="00245824"/>
    <w:rsid w:val="00255623"/>
    <w:rsid w:val="00257FA0"/>
    <w:rsid w:val="0026608E"/>
    <w:rsid w:val="00267752"/>
    <w:rsid w:val="0027056C"/>
    <w:rsid w:val="002775B9"/>
    <w:rsid w:val="002834E3"/>
    <w:rsid w:val="00286089"/>
    <w:rsid w:val="00287167"/>
    <w:rsid w:val="002908B2"/>
    <w:rsid w:val="0029304C"/>
    <w:rsid w:val="00294DDA"/>
    <w:rsid w:val="002A4A22"/>
    <w:rsid w:val="002A55A7"/>
    <w:rsid w:val="002A7BCC"/>
    <w:rsid w:val="002B1FA1"/>
    <w:rsid w:val="002B76F5"/>
    <w:rsid w:val="002C1BE7"/>
    <w:rsid w:val="002C2152"/>
    <w:rsid w:val="002C2F7E"/>
    <w:rsid w:val="002C3468"/>
    <w:rsid w:val="002C49EB"/>
    <w:rsid w:val="002D2B2D"/>
    <w:rsid w:val="002D39C2"/>
    <w:rsid w:val="002F4F0F"/>
    <w:rsid w:val="002F51C9"/>
    <w:rsid w:val="00304103"/>
    <w:rsid w:val="003050E3"/>
    <w:rsid w:val="00311F6A"/>
    <w:rsid w:val="00316B95"/>
    <w:rsid w:val="00317D22"/>
    <w:rsid w:val="00321033"/>
    <w:rsid w:val="003215B0"/>
    <w:rsid w:val="003313F7"/>
    <w:rsid w:val="003320A9"/>
    <w:rsid w:val="00333281"/>
    <w:rsid w:val="0033713A"/>
    <w:rsid w:val="0033774B"/>
    <w:rsid w:val="00337A73"/>
    <w:rsid w:val="00340AC5"/>
    <w:rsid w:val="00343B46"/>
    <w:rsid w:val="00344559"/>
    <w:rsid w:val="00351701"/>
    <w:rsid w:val="00356049"/>
    <w:rsid w:val="00360022"/>
    <w:rsid w:val="00364AD4"/>
    <w:rsid w:val="00364BFC"/>
    <w:rsid w:val="0036528A"/>
    <w:rsid w:val="003709C2"/>
    <w:rsid w:val="00372566"/>
    <w:rsid w:val="0038139C"/>
    <w:rsid w:val="0038243A"/>
    <w:rsid w:val="003837C6"/>
    <w:rsid w:val="003841A6"/>
    <w:rsid w:val="00385668"/>
    <w:rsid w:val="00391957"/>
    <w:rsid w:val="00392198"/>
    <w:rsid w:val="00392B7A"/>
    <w:rsid w:val="00397376"/>
    <w:rsid w:val="003A1174"/>
    <w:rsid w:val="003A4F8F"/>
    <w:rsid w:val="003A54DE"/>
    <w:rsid w:val="003A63C4"/>
    <w:rsid w:val="003B2709"/>
    <w:rsid w:val="003B3F01"/>
    <w:rsid w:val="003B585A"/>
    <w:rsid w:val="003B6352"/>
    <w:rsid w:val="003C5914"/>
    <w:rsid w:val="003C637B"/>
    <w:rsid w:val="003D10AE"/>
    <w:rsid w:val="003D1945"/>
    <w:rsid w:val="003D44DA"/>
    <w:rsid w:val="003D662F"/>
    <w:rsid w:val="003E5980"/>
    <w:rsid w:val="003F302F"/>
    <w:rsid w:val="003F7B4A"/>
    <w:rsid w:val="00402855"/>
    <w:rsid w:val="00407F09"/>
    <w:rsid w:val="00410131"/>
    <w:rsid w:val="0041783E"/>
    <w:rsid w:val="004216A8"/>
    <w:rsid w:val="00425155"/>
    <w:rsid w:val="00433771"/>
    <w:rsid w:val="00435180"/>
    <w:rsid w:val="004353F1"/>
    <w:rsid w:val="00437021"/>
    <w:rsid w:val="00440F1C"/>
    <w:rsid w:val="00441E63"/>
    <w:rsid w:val="00442FA0"/>
    <w:rsid w:val="00447C0F"/>
    <w:rsid w:val="00453982"/>
    <w:rsid w:val="0047003A"/>
    <w:rsid w:val="0047537B"/>
    <w:rsid w:val="00480BC9"/>
    <w:rsid w:val="00483C6E"/>
    <w:rsid w:val="00497699"/>
    <w:rsid w:val="004A1D21"/>
    <w:rsid w:val="004A5EA5"/>
    <w:rsid w:val="004A647C"/>
    <w:rsid w:val="004A762D"/>
    <w:rsid w:val="004B2F66"/>
    <w:rsid w:val="004B3C29"/>
    <w:rsid w:val="004B6648"/>
    <w:rsid w:val="004B778B"/>
    <w:rsid w:val="004C2C58"/>
    <w:rsid w:val="004C5541"/>
    <w:rsid w:val="004C7931"/>
    <w:rsid w:val="004D1C51"/>
    <w:rsid w:val="004E2655"/>
    <w:rsid w:val="004E6655"/>
    <w:rsid w:val="004E6C45"/>
    <w:rsid w:val="004F06A9"/>
    <w:rsid w:val="004F1661"/>
    <w:rsid w:val="004F44BE"/>
    <w:rsid w:val="00505123"/>
    <w:rsid w:val="0050520C"/>
    <w:rsid w:val="00512498"/>
    <w:rsid w:val="00515639"/>
    <w:rsid w:val="00523184"/>
    <w:rsid w:val="005257DE"/>
    <w:rsid w:val="005266BC"/>
    <w:rsid w:val="00527B77"/>
    <w:rsid w:val="005300BC"/>
    <w:rsid w:val="00531E8A"/>
    <w:rsid w:val="00532120"/>
    <w:rsid w:val="005366B5"/>
    <w:rsid w:val="00537EF3"/>
    <w:rsid w:val="00542D4E"/>
    <w:rsid w:val="0054381B"/>
    <w:rsid w:val="005478A6"/>
    <w:rsid w:val="00550B1C"/>
    <w:rsid w:val="00552EF4"/>
    <w:rsid w:val="00554DC4"/>
    <w:rsid w:val="005658A0"/>
    <w:rsid w:val="00575E6F"/>
    <w:rsid w:val="0057642D"/>
    <w:rsid w:val="00587CD4"/>
    <w:rsid w:val="005908B8"/>
    <w:rsid w:val="005910DC"/>
    <w:rsid w:val="00594646"/>
    <w:rsid w:val="0059673B"/>
    <w:rsid w:val="005A3737"/>
    <w:rsid w:val="005A5437"/>
    <w:rsid w:val="005A5441"/>
    <w:rsid w:val="005A5CC3"/>
    <w:rsid w:val="005B15BB"/>
    <w:rsid w:val="005C03A4"/>
    <w:rsid w:val="005C1A0F"/>
    <w:rsid w:val="005D240D"/>
    <w:rsid w:val="005D3DBB"/>
    <w:rsid w:val="005D4E56"/>
    <w:rsid w:val="005E0BC7"/>
    <w:rsid w:val="005E3E75"/>
    <w:rsid w:val="005E6BD3"/>
    <w:rsid w:val="005F06EC"/>
    <w:rsid w:val="005F1D26"/>
    <w:rsid w:val="005F6894"/>
    <w:rsid w:val="00602CC1"/>
    <w:rsid w:val="00603F2A"/>
    <w:rsid w:val="0060762E"/>
    <w:rsid w:val="006113B8"/>
    <w:rsid w:val="00611ECA"/>
    <w:rsid w:val="00612C91"/>
    <w:rsid w:val="00613D1C"/>
    <w:rsid w:val="00615D70"/>
    <w:rsid w:val="00620956"/>
    <w:rsid w:val="00625AD3"/>
    <w:rsid w:val="00634F75"/>
    <w:rsid w:val="006423A8"/>
    <w:rsid w:val="006455E0"/>
    <w:rsid w:val="00645DF9"/>
    <w:rsid w:val="0064756B"/>
    <w:rsid w:val="00672051"/>
    <w:rsid w:val="00684F51"/>
    <w:rsid w:val="006A48C5"/>
    <w:rsid w:val="006A764D"/>
    <w:rsid w:val="006B6B81"/>
    <w:rsid w:val="006C1962"/>
    <w:rsid w:val="006C4DD2"/>
    <w:rsid w:val="006C5752"/>
    <w:rsid w:val="006C7490"/>
    <w:rsid w:val="006D2005"/>
    <w:rsid w:val="006D67E8"/>
    <w:rsid w:val="006D7943"/>
    <w:rsid w:val="006E2850"/>
    <w:rsid w:val="006E36FA"/>
    <w:rsid w:val="006E453E"/>
    <w:rsid w:val="006E7BBF"/>
    <w:rsid w:val="00700AC6"/>
    <w:rsid w:val="00702857"/>
    <w:rsid w:val="00702F19"/>
    <w:rsid w:val="00703963"/>
    <w:rsid w:val="007042B5"/>
    <w:rsid w:val="00712397"/>
    <w:rsid w:val="00715617"/>
    <w:rsid w:val="007158EA"/>
    <w:rsid w:val="007164A5"/>
    <w:rsid w:val="00725FC6"/>
    <w:rsid w:val="007264C5"/>
    <w:rsid w:val="00726E12"/>
    <w:rsid w:val="00731E45"/>
    <w:rsid w:val="00735C42"/>
    <w:rsid w:val="007375D8"/>
    <w:rsid w:val="00737699"/>
    <w:rsid w:val="00740451"/>
    <w:rsid w:val="0074151B"/>
    <w:rsid w:val="00743437"/>
    <w:rsid w:val="0075324F"/>
    <w:rsid w:val="00754E25"/>
    <w:rsid w:val="00755B89"/>
    <w:rsid w:val="00755E34"/>
    <w:rsid w:val="00760774"/>
    <w:rsid w:val="00765E1F"/>
    <w:rsid w:val="00765F9F"/>
    <w:rsid w:val="007668DC"/>
    <w:rsid w:val="00770C69"/>
    <w:rsid w:val="00771CAC"/>
    <w:rsid w:val="00772DC3"/>
    <w:rsid w:val="00776A85"/>
    <w:rsid w:val="007823B6"/>
    <w:rsid w:val="00784F5D"/>
    <w:rsid w:val="007875D3"/>
    <w:rsid w:val="007B08E2"/>
    <w:rsid w:val="007B1DAC"/>
    <w:rsid w:val="007B5520"/>
    <w:rsid w:val="007B59FB"/>
    <w:rsid w:val="007C1E5D"/>
    <w:rsid w:val="007D0BA0"/>
    <w:rsid w:val="007D0D43"/>
    <w:rsid w:val="007D1D9A"/>
    <w:rsid w:val="007D4749"/>
    <w:rsid w:val="007E0B0D"/>
    <w:rsid w:val="007E0B1D"/>
    <w:rsid w:val="007E18BA"/>
    <w:rsid w:val="007E27EF"/>
    <w:rsid w:val="007E6024"/>
    <w:rsid w:val="007E6AE1"/>
    <w:rsid w:val="007F079A"/>
    <w:rsid w:val="007F130D"/>
    <w:rsid w:val="007F165E"/>
    <w:rsid w:val="007F1C46"/>
    <w:rsid w:val="007F20AE"/>
    <w:rsid w:val="007F3361"/>
    <w:rsid w:val="007F4A0A"/>
    <w:rsid w:val="007F6C85"/>
    <w:rsid w:val="007F7409"/>
    <w:rsid w:val="008002D9"/>
    <w:rsid w:val="008012F9"/>
    <w:rsid w:val="0080651D"/>
    <w:rsid w:val="00807E78"/>
    <w:rsid w:val="00810206"/>
    <w:rsid w:val="0081198C"/>
    <w:rsid w:val="00816C9D"/>
    <w:rsid w:val="008211D9"/>
    <w:rsid w:val="0082672C"/>
    <w:rsid w:val="00831556"/>
    <w:rsid w:val="008342C5"/>
    <w:rsid w:val="008367FE"/>
    <w:rsid w:val="00842CC1"/>
    <w:rsid w:val="00845B27"/>
    <w:rsid w:val="0085170E"/>
    <w:rsid w:val="00854B5F"/>
    <w:rsid w:val="00854E61"/>
    <w:rsid w:val="0085596C"/>
    <w:rsid w:val="00860F5F"/>
    <w:rsid w:val="00864424"/>
    <w:rsid w:val="00871130"/>
    <w:rsid w:val="00872607"/>
    <w:rsid w:val="008738B2"/>
    <w:rsid w:val="008849A1"/>
    <w:rsid w:val="00892722"/>
    <w:rsid w:val="00894108"/>
    <w:rsid w:val="00894625"/>
    <w:rsid w:val="008953F6"/>
    <w:rsid w:val="008959B6"/>
    <w:rsid w:val="00896B1C"/>
    <w:rsid w:val="008A0AAB"/>
    <w:rsid w:val="008A324E"/>
    <w:rsid w:val="008A586C"/>
    <w:rsid w:val="008A74AB"/>
    <w:rsid w:val="008B20CF"/>
    <w:rsid w:val="008B23EA"/>
    <w:rsid w:val="008B4ABF"/>
    <w:rsid w:val="008B5FA3"/>
    <w:rsid w:val="008B6D74"/>
    <w:rsid w:val="008C206A"/>
    <w:rsid w:val="008C5A7D"/>
    <w:rsid w:val="008C5C61"/>
    <w:rsid w:val="008D25F4"/>
    <w:rsid w:val="008D40E3"/>
    <w:rsid w:val="008D7CCD"/>
    <w:rsid w:val="008E5605"/>
    <w:rsid w:val="008E7E48"/>
    <w:rsid w:val="008F3F0F"/>
    <w:rsid w:val="008F5F55"/>
    <w:rsid w:val="008F6187"/>
    <w:rsid w:val="008F6D52"/>
    <w:rsid w:val="00903AAC"/>
    <w:rsid w:val="00906B31"/>
    <w:rsid w:val="009126D4"/>
    <w:rsid w:val="0091586B"/>
    <w:rsid w:val="00917BFF"/>
    <w:rsid w:val="00922A12"/>
    <w:rsid w:val="00924276"/>
    <w:rsid w:val="009301C4"/>
    <w:rsid w:val="00936C24"/>
    <w:rsid w:val="00943CC5"/>
    <w:rsid w:val="009457E7"/>
    <w:rsid w:val="00945AE0"/>
    <w:rsid w:val="009509B0"/>
    <w:rsid w:val="00953A7C"/>
    <w:rsid w:val="00954BF3"/>
    <w:rsid w:val="009570F3"/>
    <w:rsid w:val="00961040"/>
    <w:rsid w:val="00970A17"/>
    <w:rsid w:val="00973987"/>
    <w:rsid w:val="009757AE"/>
    <w:rsid w:val="00980842"/>
    <w:rsid w:val="00987DCA"/>
    <w:rsid w:val="009A2D37"/>
    <w:rsid w:val="009A49C9"/>
    <w:rsid w:val="009A64A3"/>
    <w:rsid w:val="009B44CC"/>
    <w:rsid w:val="009B5459"/>
    <w:rsid w:val="009B62B3"/>
    <w:rsid w:val="009B6BCC"/>
    <w:rsid w:val="009C26FC"/>
    <w:rsid w:val="009C31D9"/>
    <w:rsid w:val="009C3646"/>
    <w:rsid w:val="009C7DCE"/>
    <w:rsid w:val="009E25B3"/>
    <w:rsid w:val="009E6F8C"/>
    <w:rsid w:val="009F07B6"/>
    <w:rsid w:val="009F2A77"/>
    <w:rsid w:val="009F6515"/>
    <w:rsid w:val="00A0684F"/>
    <w:rsid w:val="00A11843"/>
    <w:rsid w:val="00A1269E"/>
    <w:rsid w:val="00A13553"/>
    <w:rsid w:val="00A170B5"/>
    <w:rsid w:val="00A252F8"/>
    <w:rsid w:val="00A25679"/>
    <w:rsid w:val="00A272E1"/>
    <w:rsid w:val="00A30822"/>
    <w:rsid w:val="00A3474A"/>
    <w:rsid w:val="00A463F7"/>
    <w:rsid w:val="00A46728"/>
    <w:rsid w:val="00A47256"/>
    <w:rsid w:val="00A50CFB"/>
    <w:rsid w:val="00A5380A"/>
    <w:rsid w:val="00A56798"/>
    <w:rsid w:val="00A579B1"/>
    <w:rsid w:val="00A63B2C"/>
    <w:rsid w:val="00A643BC"/>
    <w:rsid w:val="00A67126"/>
    <w:rsid w:val="00A67884"/>
    <w:rsid w:val="00A71372"/>
    <w:rsid w:val="00A75247"/>
    <w:rsid w:val="00A752CD"/>
    <w:rsid w:val="00A76250"/>
    <w:rsid w:val="00A76D22"/>
    <w:rsid w:val="00A82AB7"/>
    <w:rsid w:val="00A87AAB"/>
    <w:rsid w:val="00A90E5B"/>
    <w:rsid w:val="00A911AC"/>
    <w:rsid w:val="00A92117"/>
    <w:rsid w:val="00AA29FD"/>
    <w:rsid w:val="00AA38A8"/>
    <w:rsid w:val="00AA466E"/>
    <w:rsid w:val="00AA7E54"/>
    <w:rsid w:val="00AB325F"/>
    <w:rsid w:val="00AB685F"/>
    <w:rsid w:val="00AB7664"/>
    <w:rsid w:val="00AC462E"/>
    <w:rsid w:val="00AC7655"/>
    <w:rsid w:val="00AD12A7"/>
    <w:rsid w:val="00AD1E4F"/>
    <w:rsid w:val="00AD202B"/>
    <w:rsid w:val="00AD3DE3"/>
    <w:rsid w:val="00AD624A"/>
    <w:rsid w:val="00AD6AA1"/>
    <w:rsid w:val="00AE0676"/>
    <w:rsid w:val="00AE0793"/>
    <w:rsid w:val="00AE276D"/>
    <w:rsid w:val="00AE4858"/>
    <w:rsid w:val="00AE4A5C"/>
    <w:rsid w:val="00AE7EEC"/>
    <w:rsid w:val="00AF4DCB"/>
    <w:rsid w:val="00AF653F"/>
    <w:rsid w:val="00B01967"/>
    <w:rsid w:val="00B02624"/>
    <w:rsid w:val="00B05F65"/>
    <w:rsid w:val="00B07AE6"/>
    <w:rsid w:val="00B103E8"/>
    <w:rsid w:val="00B11AC9"/>
    <w:rsid w:val="00B133F6"/>
    <w:rsid w:val="00B210C6"/>
    <w:rsid w:val="00B2421C"/>
    <w:rsid w:val="00B277FD"/>
    <w:rsid w:val="00B2784A"/>
    <w:rsid w:val="00B30F9C"/>
    <w:rsid w:val="00B334F4"/>
    <w:rsid w:val="00B350B4"/>
    <w:rsid w:val="00B36D16"/>
    <w:rsid w:val="00B3720C"/>
    <w:rsid w:val="00B37CF8"/>
    <w:rsid w:val="00B41592"/>
    <w:rsid w:val="00B435DD"/>
    <w:rsid w:val="00B44158"/>
    <w:rsid w:val="00B44481"/>
    <w:rsid w:val="00B50053"/>
    <w:rsid w:val="00B56E4F"/>
    <w:rsid w:val="00B60B52"/>
    <w:rsid w:val="00B62626"/>
    <w:rsid w:val="00B64457"/>
    <w:rsid w:val="00B64959"/>
    <w:rsid w:val="00B7140F"/>
    <w:rsid w:val="00B71A6E"/>
    <w:rsid w:val="00B73DC2"/>
    <w:rsid w:val="00B75772"/>
    <w:rsid w:val="00B82F6A"/>
    <w:rsid w:val="00B93FB5"/>
    <w:rsid w:val="00BA782C"/>
    <w:rsid w:val="00BB0805"/>
    <w:rsid w:val="00BB6827"/>
    <w:rsid w:val="00BB7A0E"/>
    <w:rsid w:val="00BC5F33"/>
    <w:rsid w:val="00BD18B3"/>
    <w:rsid w:val="00BD337C"/>
    <w:rsid w:val="00BD57B3"/>
    <w:rsid w:val="00BD6DC2"/>
    <w:rsid w:val="00BE1AE9"/>
    <w:rsid w:val="00BE2A58"/>
    <w:rsid w:val="00BE414C"/>
    <w:rsid w:val="00BE4FB7"/>
    <w:rsid w:val="00BF0722"/>
    <w:rsid w:val="00BF1301"/>
    <w:rsid w:val="00BF3CC5"/>
    <w:rsid w:val="00BF3CF1"/>
    <w:rsid w:val="00BF4FE8"/>
    <w:rsid w:val="00BF6980"/>
    <w:rsid w:val="00C0351C"/>
    <w:rsid w:val="00C10098"/>
    <w:rsid w:val="00C106C0"/>
    <w:rsid w:val="00C13B3E"/>
    <w:rsid w:val="00C1417D"/>
    <w:rsid w:val="00C24B72"/>
    <w:rsid w:val="00C25F53"/>
    <w:rsid w:val="00C4059F"/>
    <w:rsid w:val="00C408C4"/>
    <w:rsid w:val="00C410B1"/>
    <w:rsid w:val="00C4641A"/>
    <w:rsid w:val="00C472F6"/>
    <w:rsid w:val="00C478EA"/>
    <w:rsid w:val="00C50D1C"/>
    <w:rsid w:val="00C51667"/>
    <w:rsid w:val="00C51AB3"/>
    <w:rsid w:val="00C665D3"/>
    <w:rsid w:val="00C70FBB"/>
    <w:rsid w:val="00C87C45"/>
    <w:rsid w:val="00C905DA"/>
    <w:rsid w:val="00C92473"/>
    <w:rsid w:val="00CA4AF1"/>
    <w:rsid w:val="00CA6419"/>
    <w:rsid w:val="00CA72AA"/>
    <w:rsid w:val="00CA7CDE"/>
    <w:rsid w:val="00CB06BB"/>
    <w:rsid w:val="00CC00E1"/>
    <w:rsid w:val="00CC46DF"/>
    <w:rsid w:val="00CD27BC"/>
    <w:rsid w:val="00CE5204"/>
    <w:rsid w:val="00CE5E14"/>
    <w:rsid w:val="00CF15D2"/>
    <w:rsid w:val="00CF34DF"/>
    <w:rsid w:val="00CF4810"/>
    <w:rsid w:val="00D01745"/>
    <w:rsid w:val="00D04C1C"/>
    <w:rsid w:val="00D10B3A"/>
    <w:rsid w:val="00D123BD"/>
    <w:rsid w:val="00D25371"/>
    <w:rsid w:val="00D35267"/>
    <w:rsid w:val="00D4032F"/>
    <w:rsid w:val="00D42739"/>
    <w:rsid w:val="00D43C56"/>
    <w:rsid w:val="00D43D65"/>
    <w:rsid w:val="00D46044"/>
    <w:rsid w:val="00D477A3"/>
    <w:rsid w:val="00D5213B"/>
    <w:rsid w:val="00D54153"/>
    <w:rsid w:val="00D56622"/>
    <w:rsid w:val="00D57440"/>
    <w:rsid w:val="00D644BB"/>
    <w:rsid w:val="00D65C2D"/>
    <w:rsid w:val="00D67D88"/>
    <w:rsid w:val="00D84BDC"/>
    <w:rsid w:val="00D9510B"/>
    <w:rsid w:val="00D969EB"/>
    <w:rsid w:val="00D973C7"/>
    <w:rsid w:val="00DA35C7"/>
    <w:rsid w:val="00DA3711"/>
    <w:rsid w:val="00DA5107"/>
    <w:rsid w:val="00DA5820"/>
    <w:rsid w:val="00DA623D"/>
    <w:rsid w:val="00DA782C"/>
    <w:rsid w:val="00DC3E36"/>
    <w:rsid w:val="00DC446A"/>
    <w:rsid w:val="00DC6BD7"/>
    <w:rsid w:val="00DD2B86"/>
    <w:rsid w:val="00DD6458"/>
    <w:rsid w:val="00DE5FD2"/>
    <w:rsid w:val="00DF4094"/>
    <w:rsid w:val="00DF5B59"/>
    <w:rsid w:val="00E0030C"/>
    <w:rsid w:val="00E03496"/>
    <w:rsid w:val="00E128D4"/>
    <w:rsid w:val="00E161B4"/>
    <w:rsid w:val="00E16666"/>
    <w:rsid w:val="00E2618A"/>
    <w:rsid w:val="00E34619"/>
    <w:rsid w:val="00E34D2C"/>
    <w:rsid w:val="00E35753"/>
    <w:rsid w:val="00E418B7"/>
    <w:rsid w:val="00E45062"/>
    <w:rsid w:val="00E45FB6"/>
    <w:rsid w:val="00E465F8"/>
    <w:rsid w:val="00E46A59"/>
    <w:rsid w:val="00E47FA9"/>
    <w:rsid w:val="00E51FB2"/>
    <w:rsid w:val="00E520DF"/>
    <w:rsid w:val="00E55BF9"/>
    <w:rsid w:val="00E565E3"/>
    <w:rsid w:val="00E612A4"/>
    <w:rsid w:val="00E678BC"/>
    <w:rsid w:val="00E73DB9"/>
    <w:rsid w:val="00E85C39"/>
    <w:rsid w:val="00E86000"/>
    <w:rsid w:val="00E91CB3"/>
    <w:rsid w:val="00E93290"/>
    <w:rsid w:val="00E93590"/>
    <w:rsid w:val="00E94327"/>
    <w:rsid w:val="00E9682D"/>
    <w:rsid w:val="00E97B20"/>
    <w:rsid w:val="00EA017A"/>
    <w:rsid w:val="00EA69C7"/>
    <w:rsid w:val="00EB1BFD"/>
    <w:rsid w:val="00EB3914"/>
    <w:rsid w:val="00EB3BE9"/>
    <w:rsid w:val="00EB40CA"/>
    <w:rsid w:val="00EC03E6"/>
    <w:rsid w:val="00EC20CF"/>
    <w:rsid w:val="00ED0103"/>
    <w:rsid w:val="00ED6043"/>
    <w:rsid w:val="00ED741A"/>
    <w:rsid w:val="00EE5004"/>
    <w:rsid w:val="00EE564C"/>
    <w:rsid w:val="00EE5F54"/>
    <w:rsid w:val="00EF1B48"/>
    <w:rsid w:val="00EF4434"/>
    <w:rsid w:val="00EF67F9"/>
    <w:rsid w:val="00F00B8E"/>
    <w:rsid w:val="00F0315D"/>
    <w:rsid w:val="00F05695"/>
    <w:rsid w:val="00F15A36"/>
    <w:rsid w:val="00F163C2"/>
    <w:rsid w:val="00F16C4A"/>
    <w:rsid w:val="00F20A56"/>
    <w:rsid w:val="00F236A1"/>
    <w:rsid w:val="00F30A47"/>
    <w:rsid w:val="00F4244A"/>
    <w:rsid w:val="00F45670"/>
    <w:rsid w:val="00F45C9F"/>
    <w:rsid w:val="00F46A20"/>
    <w:rsid w:val="00F47F46"/>
    <w:rsid w:val="00F503DC"/>
    <w:rsid w:val="00F50603"/>
    <w:rsid w:val="00F50832"/>
    <w:rsid w:val="00F51AAC"/>
    <w:rsid w:val="00F5370A"/>
    <w:rsid w:val="00F53CAB"/>
    <w:rsid w:val="00F61AA5"/>
    <w:rsid w:val="00F61F68"/>
    <w:rsid w:val="00F623EF"/>
    <w:rsid w:val="00F64EAF"/>
    <w:rsid w:val="00F64F71"/>
    <w:rsid w:val="00F703EF"/>
    <w:rsid w:val="00F75D17"/>
    <w:rsid w:val="00F76694"/>
    <w:rsid w:val="00F857B8"/>
    <w:rsid w:val="00F9290C"/>
    <w:rsid w:val="00FA3205"/>
    <w:rsid w:val="00FB0193"/>
    <w:rsid w:val="00FB0B07"/>
    <w:rsid w:val="00FB4118"/>
    <w:rsid w:val="00FB4848"/>
    <w:rsid w:val="00FB48BA"/>
    <w:rsid w:val="00FC72F0"/>
    <w:rsid w:val="00FD2EB2"/>
    <w:rsid w:val="00FD680D"/>
    <w:rsid w:val="00FD6B1D"/>
    <w:rsid w:val="00FE005F"/>
    <w:rsid w:val="00FE1387"/>
    <w:rsid w:val="00FE4957"/>
    <w:rsid w:val="00FE6803"/>
    <w:rsid w:val="00FE6BA1"/>
    <w:rsid w:val="00FF5AE9"/>
    <w:rsid w:val="00FF5E15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1FD5"/>
  <w15:chartTrackingRefBased/>
  <w15:docId w15:val="{A185C9FA-7FBE-4590-9915-6B5C62D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1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1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1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05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45"/>
  </w:style>
  <w:style w:type="paragraph" w:styleId="Footer">
    <w:name w:val="footer"/>
    <w:basedOn w:val="Normal"/>
    <w:link w:val="FooterChar"/>
    <w:uiPriority w:val="99"/>
    <w:unhideWhenUsed/>
    <w:rsid w:val="004E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45"/>
  </w:style>
  <w:style w:type="table" w:styleId="TableGrid">
    <w:name w:val="Table Grid"/>
    <w:basedOn w:val="TableNormal"/>
    <w:uiPriority w:val="39"/>
    <w:rsid w:val="00D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3DAC-EAFB-42CE-A249-C6D84BF2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3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Richards</dc:creator>
  <cp:keywords/>
  <dc:description/>
  <cp:lastModifiedBy>Ben Richards</cp:lastModifiedBy>
  <cp:revision>26</cp:revision>
  <cp:lastPrinted>2015-05-05T13:53:00Z</cp:lastPrinted>
  <dcterms:created xsi:type="dcterms:W3CDTF">2015-03-19T12:12:00Z</dcterms:created>
  <dcterms:modified xsi:type="dcterms:W3CDTF">2016-02-10T21:57:00Z</dcterms:modified>
</cp:coreProperties>
</file>