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77DA6" w14:textId="10DE9A71" w:rsidR="00245824" w:rsidRDefault="00C55C81" w:rsidP="00C55C81">
      <w:pPr>
        <w:pStyle w:val="Heading1"/>
        <w:jc w:val="center"/>
      </w:pPr>
      <w:r>
        <w:t xml:space="preserve">Law &amp; </w:t>
      </w:r>
      <w:r w:rsidR="00524C00">
        <w:t>Int’l</w:t>
      </w:r>
      <w:r>
        <w:t xml:space="preserve"> Economy</w:t>
      </w:r>
    </w:p>
    <w:p w14:paraId="187F4F07" w14:textId="56AEF91F" w:rsidR="00C55C81" w:rsidRDefault="00C55C81" w:rsidP="00C55C81">
      <w:pPr>
        <w:pStyle w:val="Heading3"/>
      </w:pPr>
      <w:r>
        <w:t xml:space="preserve">Overview of </w:t>
      </w:r>
      <w:r w:rsidR="00524C00">
        <w:t>Int’l</w:t>
      </w:r>
      <w:r>
        <w:t xml:space="preserve"> Law</w:t>
      </w:r>
    </w:p>
    <w:p w14:paraId="75D88397" w14:textId="0D513D0F" w:rsidR="00FF602B" w:rsidRPr="00FF602B" w:rsidRDefault="00FF602B" w:rsidP="006D5532">
      <w:pPr>
        <w:pStyle w:val="ListParagraph"/>
        <w:numPr>
          <w:ilvl w:val="0"/>
          <w:numId w:val="1"/>
        </w:numPr>
        <w:rPr>
          <w:sz w:val="20"/>
        </w:rPr>
      </w:pPr>
      <w:r>
        <w:rPr>
          <w:sz w:val="20"/>
        </w:rPr>
        <w:t xml:space="preserve">Countries follow </w:t>
      </w:r>
      <w:r w:rsidR="00524C00">
        <w:rPr>
          <w:sz w:val="20"/>
        </w:rPr>
        <w:t>int’l</w:t>
      </w:r>
      <w:r>
        <w:rPr>
          <w:sz w:val="20"/>
        </w:rPr>
        <w:t xml:space="preserve"> law because of the Three R’s: Reputation, Reciprocity and Retaliation</w:t>
      </w:r>
    </w:p>
    <w:p w14:paraId="2EEEAACA" w14:textId="200A05D9" w:rsidR="00BE1CC4" w:rsidRPr="00F40D34" w:rsidRDefault="00524C00" w:rsidP="006D5532">
      <w:pPr>
        <w:pStyle w:val="ListParagraph"/>
        <w:numPr>
          <w:ilvl w:val="0"/>
          <w:numId w:val="1"/>
        </w:numPr>
      </w:pPr>
      <w:r>
        <w:rPr>
          <w:sz w:val="20"/>
        </w:rPr>
        <w:t>Int’l</w:t>
      </w:r>
      <w:r w:rsidR="00BE1CC4">
        <w:rPr>
          <w:sz w:val="20"/>
        </w:rPr>
        <w:t xml:space="preserve"> law is composed of three separate stru</w:t>
      </w:r>
      <w:r w:rsidR="00BE1CC4" w:rsidRPr="00BE1CC4">
        <w:rPr>
          <w:sz w:val="20"/>
          <w:szCs w:val="20"/>
        </w:rPr>
        <w:t xml:space="preserve">ctures: 1) National Legal Structures, 2) </w:t>
      </w:r>
      <w:r>
        <w:rPr>
          <w:sz w:val="20"/>
          <w:szCs w:val="20"/>
        </w:rPr>
        <w:t>Int’l</w:t>
      </w:r>
      <w:r w:rsidR="00BE1CC4" w:rsidRPr="00BE1CC4">
        <w:rPr>
          <w:sz w:val="20"/>
          <w:szCs w:val="20"/>
        </w:rPr>
        <w:t xml:space="preserve"> Legal </w:t>
      </w:r>
      <w:r w:rsidR="00BE1CC4">
        <w:rPr>
          <w:sz w:val="20"/>
          <w:szCs w:val="20"/>
        </w:rPr>
        <w:t>Institutions</w:t>
      </w:r>
      <w:r w:rsidR="00BE1CC4" w:rsidRPr="00BE1CC4">
        <w:rPr>
          <w:sz w:val="20"/>
          <w:szCs w:val="20"/>
        </w:rPr>
        <w:t xml:space="preserve"> and 3) </w:t>
      </w:r>
      <w:r>
        <w:rPr>
          <w:sz w:val="20"/>
          <w:szCs w:val="20"/>
        </w:rPr>
        <w:t>Int’l</w:t>
      </w:r>
      <w:r w:rsidR="00BE1CC4" w:rsidRPr="00BE1CC4">
        <w:rPr>
          <w:sz w:val="20"/>
          <w:szCs w:val="20"/>
        </w:rPr>
        <w:t xml:space="preserve"> Arbitration Bodies</w:t>
      </w:r>
    </w:p>
    <w:p w14:paraId="3FC1E1D2" w14:textId="7A14457B" w:rsidR="00F40D34" w:rsidRPr="008461D7" w:rsidRDefault="00524C00" w:rsidP="006D5532">
      <w:pPr>
        <w:pStyle w:val="ListParagraph"/>
        <w:numPr>
          <w:ilvl w:val="1"/>
          <w:numId w:val="1"/>
        </w:numPr>
      </w:pPr>
      <w:r>
        <w:rPr>
          <w:sz w:val="20"/>
          <w:szCs w:val="20"/>
        </w:rPr>
        <w:t>Int’l</w:t>
      </w:r>
      <w:r w:rsidR="00F40D34">
        <w:rPr>
          <w:sz w:val="20"/>
          <w:szCs w:val="20"/>
        </w:rPr>
        <w:t xml:space="preserve"> law and national law can be seen as part of the same system of law (monist), or separate distinguishable bodies of law (dualist)</w:t>
      </w:r>
    </w:p>
    <w:p w14:paraId="281A3B3D" w14:textId="13449D6D" w:rsidR="00FF602B" w:rsidRPr="00FF602B" w:rsidRDefault="00FF602B" w:rsidP="00FF602B">
      <w:pPr>
        <w:pStyle w:val="Heading4"/>
        <w:rPr>
          <w:sz w:val="20"/>
        </w:rPr>
      </w:pPr>
      <w:r w:rsidRPr="00FF602B">
        <w:rPr>
          <w:sz w:val="20"/>
        </w:rPr>
        <w:t>National Legal Structures</w:t>
      </w:r>
    </w:p>
    <w:p w14:paraId="180581DA" w14:textId="63BA54EB" w:rsidR="00E264BB" w:rsidRPr="00E264BB" w:rsidRDefault="00E264BB" w:rsidP="006D5532">
      <w:pPr>
        <w:pStyle w:val="ListParagraph"/>
        <w:numPr>
          <w:ilvl w:val="0"/>
          <w:numId w:val="4"/>
        </w:numPr>
      </w:pPr>
      <w:r>
        <w:rPr>
          <w:sz w:val="20"/>
          <w:szCs w:val="20"/>
        </w:rPr>
        <w:t>National legal structures are (broadly speaking) either civil or common law based</w:t>
      </w:r>
    </w:p>
    <w:p w14:paraId="2C37F28D" w14:textId="7664BF6C" w:rsidR="00E264BB" w:rsidRPr="00E264BB" w:rsidRDefault="00E264BB" w:rsidP="006D5532">
      <w:pPr>
        <w:pStyle w:val="ListParagraph"/>
        <w:numPr>
          <w:ilvl w:val="1"/>
          <w:numId w:val="4"/>
        </w:numPr>
      </w:pPr>
      <w:r>
        <w:rPr>
          <w:sz w:val="20"/>
          <w:szCs w:val="20"/>
        </w:rPr>
        <w:t>Civil law is code-centric and doctrine-heavy. Scholars are interpreters. Discovery is less important</w:t>
      </w:r>
    </w:p>
    <w:p w14:paraId="1210779E" w14:textId="1CC992BC" w:rsidR="00E264BB" w:rsidRPr="00E264BB" w:rsidRDefault="00E264BB" w:rsidP="006D5532">
      <w:pPr>
        <w:pStyle w:val="ListParagraph"/>
        <w:numPr>
          <w:ilvl w:val="2"/>
          <w:numId w:val="4"/>
        </w:numPr>
      </w:pPr>
      <w:r>
        <w:rPr>
          <w:sz w:val="20"/>
          <w:szCs w:val="20"/>
        </w:rPr>
        <w:t>Does this make civil law systems more able to combat inequality?</w:t>
      </w:r>
    </w:p>
    <w:p w14:paraId="3B26F9C2" w14:textId="36C607D2" w:rsidR="00E264BB" w:rsidRDefault="00E264BB" w:rsidP="006D5532">
      <w:pPr>
        <w:pStyle w:val="ListParagraph"/>
        <w:numPr>
          <w:ilvl w:val="1"/>
          <w:numId w:val="4"/>
        </w:numPr>
        <w:rPr>
          <w:sz w:val="20"/>
        </w:rPr>
      </w:pPr>
      <w:r w:rsidRPr="00E264BB">
        <w:rPr>
          <w:sz w:val="20"/>
        </w:rPr>
        <w:t>Common law is judge-made and case-centric. Judges’ education is emphasized</w:t>
      </w:r>
    </w:p>
    <w:p w14:paraId="5192C876" w14:textId="4848DBBB" w:rsidR="00E264BB" w:rsidRDefault="00E264BB" w:rsidP="006D5532">
      <w:pPr>
        <w:pStyle w:val="ListParagraph"/>
        <w:numPr>
          <w:ilvl w:val="2"/>
          <w:numId w:val="4"/>
        </w:numPr>
        <w:rPr>
          <w:sz w:val="20"/>
        </w:rPr>
      </w:pPr>
      <w:r>
        <w:rPr>
          <w:sz w:val="20"/>
        </w:rPr>
        <w:t>Which system subjects judges to a higher risk of political/economic capture?</w:t>
      </w:r>
    </w:p>
    <w:p w14:paraId="1DB8740D" w14:textId="4C658211" w:rsidR="00E264BB" w:rsidRDefault="00E264BB" w:rsidP="006D5532">
      <w:pPr>
        <w:pStyle w:val="ListParagraph"/>
        <w:numPr>
          <w:ilvl w:val="2"/>
          <w:numId w:val="4"/>
        </w:numPr>
        <w:rPr>
          <w:sz w:val="20"/>
        </w:rPr>
      </w:pPr>
      <w:r>
        <w:rPr>
          <w:sz w:val="20"/>
        </w:rPr>
        <w:t>What should the link between political and judicial systems be? Which system is fair?</w:t>
      </w:r>
    </w:p>
    <w:p w14:paraId="50F3D6D9" w14:textId="688A3EA9" w:rsidR="00FF602B" w:rsidRPr="00FF602B" w:rsidRDefault="00524C00" w:rsidP="00FF602B">
      <w:pPr>
        <w:pStyle w:val="Heading4"/>
        <w:rPr>
          <w:sz w:val="20"/>
        </w:rPr>
      </w:pPr>
      <w:r>
        <w:rPr>
          <w:sz w:val="20"/>
        </w:rPr>
        <w:t>Int’l</w:t>
      </w:r>
      <w:r w:rsidR="00FF602B" w:rsidRPr="00FF602B">
        <w:rPr>
          <w:sz w:val="20"/>
        </w:rPr>
        <w:t xml:space="preserve"> Legal Institutions</w:t>
      </w:r>
    </w:p>
    <w:p w14:paraId="74FAB090" w14:textId="0B3D3C17" w:rsidR="00CA0DB8" w:rsidRDefault="00CA0DB8" w:rsidP="006D5532">
      <w:pPr>
        <w:pStyle w:val="ListParagraph"/>
        <w:numPr>
          <w:ilvl w:val="0"/>
          <w:numId w:val="5"/>
        </w:numPr>
        <w:rPr>
          <w:sz w:val="20"/>
        </w:rPr>
      </w:pPr>
      <w:r>
        <w:rPr>
          <w:sz w:val="20"/>
        </w:rPr>
        <w:t xml:space="preserve">Super-national organizations (WTO, EU Court of Justice, and the ICJ), also provide a mechanism for </w:t>
      </w:r>
      <w:r w:rsidR="00524C00">
        <w:rPr>
          <w:sz w:val="20"/>
        </w:rPr>
        <w:t>int’l</w:t>
      </w:r>
      <w:r>
        <w:rPr>
          <w:sz w:val="20"/>
        </w:rPr>
        <w:t xml:space="preserve"> dispute resolution</w:t>
      </w:r>
    </w:p>
    <w:p w14:paraId="1A8CC0C2" w14:textId="5FC97A1E" w:rsidR="00CA0DB8" w:rsidRDefault="00CA0DB8" w:rsidP="006D5532">
      <w:pPr>
        <w:pStyle w:val="ListParagraph"/>
        <w:numPr>
          <w:ilvl w:val="1"/>
          <w:numId w:val="5"/>
        </w:numPr>
        <w:rPr>
          <w:sz w:val="20"/>
        </w:rPr>
      </w:pPr>
      <w:r>
        <w:rPr>
          <w:sz w:val="20"/>
        </w:rPr>
        <w:t>ICJ has three ways to obtain jurisdiction: 1) Ad hoc, 2) Treaty recognition and 3) Compulsory</w:t>
      </w:r>
    </w:p>
    <w:p w14:paraId="562B8CE8" w14:textId="4F5EC8EF" w:rsidR="00CA0DB8" w:rsidRDefault="00CA0DB8" w:rsidP="006D5532">
      <w:pPr>
        <w:pStyle w:val="ListParagraph"/>
        <w:numPr>
          <w:ilvl w:val="2"/>
          <w:numId w:val="5"/>
        </w:numPr>
        <w:rPr>
          <w:sz w:val="20"/>
        </w:rPr>
      </w:pPr>
      <w:r>
        <w:rPr>
          <w:sz w:val="20"/>
        </w:rPr>
        <w:t>Existence of ad hoc jurisdiction lessens incentive to accept compulsory jurisdiction</w:t>
      </w:r>
    </w:p>
    <w:p w14:paraId="3895EFD3" w14:textId="22558523" w:rsidR="00CA0DB8" w:rsidRDefault="00CA0DB8" w:rsidP="006D5532">
      <w:pPr>
        <w:pStyle w:val="ListParagraph"/>
        <w:numPr>
          <w:ilvl w:val="2"/>
          <w:numId w:val="5"/>
        </w:numPr>
        <w:rPr>
          <w:sz w:val="20"/>
        </w:rPr>
      </w:pPr>
      <w:r>
        <w:rPr>
          <w:sz w:val="20"/>
        </w:rPr>
        <w:t>Protects state sovereignty</w:t>
      </w:r>
      <w:r w:rsidR="00866A7A">
        <w:rPr>
          <w:sz w:val="20"/>
        </w:rPr>
        <w:t xml:space="preserve"> and</w:t>
      </w:r>
      <w:r>
        <w:rPr>
          <w:sz w:val="20"/>
        </w:rPr>
        <w:t xml:space="preserve"> addresses</w:t>
      </w:r>
      <w:r w:rsidR="00866A7A">
        <w:rPr>
          <w:sz w:val="20"/>
        </w:rPr>
        <w:t xml:space="preserve"> concerns of</w:t>
      </w:r>
      <w:r>
        <w:rPr>
          <w:sz w:val="20"/>
        </w:rPr>
        <w:t xml:space="preserve"> </w:t>
      </w:r>
      <w:r w:rsidR="00524C00">
        <w:rPr>
          <w:sz w:val="20"/>
        </w:rPr>
        <w:t>int’l</w:t>
      </w:r>
      <w:r>
        <w:rPr>
          <w:sz w:val="20"/>
        </w:rPr>
        <w:t xml:space="preserve"> economic court</w:t>
      </w:r>
      <w:r w:rsidR="00866A7A">
        <w:rPr>
          <w:sz w:val="20"/>
        </w:rPr>
        <w:t>s</w:t>
      </w:r>
    </w:p>
    <w:p w14:paraId="3FD75F1D" w14:textId="185984F5" w:rsidR="00CA0DB8" w:rsidRDefault="00CA0DB8" w:rsidP="006D5532">
      <w:pPr>
        <w:pStyle w:val="ListParagraph"/>
        <w:numPr>
          <w:ilvl w:val="2"/>
          <w:numId w:val="5"/>
        </w:numPr>
        <w:rPr>
          <w:sz w:val="20"/>
        </w:rPr>
      </w:pPr>
      <w:r>
        <w:rPr>
          <w:sz w:val="20"/>
        </w:rPr>
        <w:t>Benefits of super-national organizations include efficiency, neutrality, settlement incentives, and the protection of developing nations</w:t>
      </w:r>
    </w:p>
    <w:p w14:paraId="28F90732" w14:textId="73114476" w:rsidR="00FF602B" w:rsidRPr="00FF602B" w:rsidRDefault="00524C00" w:rsidP="00FF602B">
      <w:pPr>
        <w:pStyle w:val="Heading4"/>
        <w:rPr>
          <w:sz w:val="20"/>
        </w:rPr>
      </w:pPr>
      <w:r>
        <w:rPr>
          <w:sz w:val="20"/>
        </w:rPr>
        <w:t>Int’l</w:t>
      </w:r>
      <w:r w:rsidR="00FF602B" w:rsidRPr="00FF602B">
        <w:rPr>
          <w:sz w:val="20"/>
        </w:rPr>
        <w:t xml:space="preserve"> Arbitral Bodies</w:t>
      </w:r>
    </w:p>
    <w:p w14:paraId="6C52D10C" w14:textId="57C631B7" w:rsidR="00B565EC" w:rsidRDefault="00524C00" w:rsidP="006D5532">
      <w:pPr>
        <w:pStyle w:val="ListParagraph"/>
        <w:numPr>
          <w:ilvl w:val="0"/>
          <w:numId w:val="6"/>
        </w:numPr>
        <w:rPr>
          <w:sz w:val="20"/>
        </w:rPr>
      </w:pPr>
      <w:r>
        <w:rPr>
          <w:sz w:val="20"/>
        </w:rPr>
        <w:t>Int’l</w:t>
      </w:r>
      <w:r w:rsidR="00B565EC">
        <w:rPr>
          <w:sz w:val="20"/>
        </w:rPr>
        <w:t xml:space="preserve"> Commercial Arbitration follows one of three models</w:t>
      </w:r>
    </w:p>
    <w:p w14:paraId="1A22628D" w14:textId="490175E0" w:rsidR="00B565EC" w:rsidRDefault="00B565EC" w:rsidP="006D5532">
      <w:pPr>
        <w:pStyle w:val="ListParagraph"/>
        <w:numPr>
          <w:ilvl w:val="1"/>
          <w:numId w:val="6"/>
        </w:numPr>
        <w:rPr>
          <w:sz w:val="20"/>
        </w:rPr>
      </w:pPr>
      <w:r>
        <w:rPr>
          <w:sz w:val="20"/>
        </w:rPr>
        <w:t xml:space="preserve">Under the </w:t>
      </w:r>
      <w:proofErr w:type="spellStart"/>
      <w:r>
        <w:rPr>
          <w:sz w:val="20"/>
        </w:rPr>
        <w:t>monolocal</w:t>
      </w:r>
      <w:proofErr w:type="spellEnd"/>
      <w:r>
        <w:rPr>
          <w:sz w:val="20"/>
        </w:rPr>
        <w:t xml:space="preserve"> model (old system) the law of the seat of arbitration determines enforceability of the award</w:t>
      </w:r>
    </w:p>
    <w:p w14:paraId="2118A1BC" w14:textId="39CD14D2" w:rsidR="00B565EC" w:rsidRDefault="00B565EC" w:rsidP="006D5532">
      <w:pPr>
        <w:pStyle w:val="ListParagraph"/>
        <w:numPr>
          <w:ilvl w:val="1"/>
          <w:numId w:val="6"/>
        </w:numPr>
        <w:rPr>
          <w:sz w:val="20"/>
        </w:rPr>
      </w:pPr>
      <w:r>
        <w:rPr>
          <w:sz w:val="20"/>
        </w:rPr>
        <w:t>Under the Westphalian model (recognized in the New York Convention), the place of enforcement may determine an award’s validity</w:t>
      </w:r>
    </w:p>
    <w:p w14:paraId="799B78C3" w14:textId="2788FB30" w:rsidR="008D0F1C" w:rsidRDefault="008D0F1C" w:rsidP="006D5532">
      <w:pPr>
        <w:pStyle w:val="ListParagraph"/>
        <w:numPr>
          <w:ilvl w:val="2"/>
          <w:numId w:val="6"/>
        </w:numPr>
        <w:rPr>
          <w:sz w:val="20"/>
        </w:rPr>
      </w:pPr>
      <w:r>
        <w:rPr>
          <w:sz w:val="20"/>
        </w:rPr>
        <w:t>Parties must enforce arbitral awards unless doing so is contrary to public policy of the place of enforcement</w:t>
      </w:r>
    </w:p>
    <w:p w14:paraId="08DA4D1D" w14:textId="20FD6352" w:rsidR="00B565EC" w:rsidRDefault="00B565EC" w:rsidP="006D5532">
      <w:pPr>
        <w:pStyle w:val="ListParagraph"/>
        <w:numPr>
          <w:ilvl w:val="1"/>
          <w:numId w:val="6"/>
        </w:numPr>
        <w:rPr>
          <w:sz w:val="20"/>
        </w:rPr>
      </w:pPr>
      <w:r>
        <w:rPr>
          <w:sz w:val="20"/>
        </w:rPr>
        <w:t xml:space="preserve">Under the transnational model, enforceability is determined by a set of </w:t>
      </w:r>
      <w:proofErr w:type="spellStart"/>
      <w:r w:rsidR="00524C00">
        <w:rPr>
          <w:sz w:val="20"/>
        </w:rPr>
        <w:t>int’l</w:t>
      </w:r>
      <w:r>
        <w:rPr>
          <w:sz w:val="20"/>
        </w:rPr>
        <w:t>ly</w:t>
      </w:r>
      <w:proofErr w:type="spellEnd"/>
      <w:r>
        <w:rPr>
          <w:sz w:val="20"/>
        </w:rPr>
        <w:t xml:space="preserve"> recognized principles, a la </w:t>
      </w:r>
      <w:r w:rsidR="00524C00">
        <w:rPr>
          <w:sz w:val="20"/>
        </w:rPr>
        <w:t>int’l</w:t>
      </w:r>
      <w:r>
        <w:rPr>
          <w:sz w:val="20"/>
        </w:rPr>
        <w:t xml:space="preserve"> norms</w:t>
      </w:r>
    </w:p>
    <w:p w14:paraId="08B7CE06" w14:textId="7FB9E6C0" w:rsidR="00C55C81" w:rsidRDefault="00524C00" w:rsidP="00C55C81">
      <w:pPr>
        <w:pStyle w:val="Heading3"/>
      </w:pPr>
      <w:r>
        <w:t>Int’l</w:t>
      </w:r>
      <w:r w:rsidR="00C55C81">
        <w:t xml:space="preserve"> Commercial Litigation</w:t>
      </w:r>
    </w:p>
    <w:p w14:paraId="463C0553" w14:textId="6DBB2D47" w:rsidR="00FF602B" w:rsidRPr="00FF602B" w:rsidRDefault="00FF602B" w:rsidP="00FF602B">
      <w:pPr>
        <w:pStyle w:val="Heading4"/>
        <w:rPr>
          <w:sz w:val="20"/>
        </w:rPr>
      </w:pPr>
      <w:r w:rsidRPr="00FF602B">
        <w:rPr>
          <w:sz w:val="20"/>
        </w:rPr>
        <w:t>Treaties</w:t>
      </w:r>
    </w:p>
    <w:p w14:paraId="06F18303" w14:textId="6BE9F2FC" w:rsidR="006E2F87" w:rsidRPr="006E2F87" w:rsidRDefault="006E2F87" w:rsidP="006D5532">
      <w:pPr>
        <w:pStyle w:val="ListParagraph"/>
        <w:numPr>
          <w:ilvl w:val="0"/>
          <w:numId w:val="2"/>
        </w:numPr>
      </w:pPr>
      <w:r>
        <w:rPr>
          <w:sz w:val="20"/>
        </w:rPr>
        <w:t>Civil law countries tend to enact treaties with direct effect, while common law systems generally have no direct effect</w:t>
      </w:r>
    </w:p>
    <w:p w14:paraId="091BA895" w14:textId="61697F55" w:rsidR="006E2F87" w:rsidRPr="00492D34" w:rsidRDefault="006E2F87" w:rsidP="006D5532">
      <w:pPr>
        <w:pStyle w:val="ListParagraph"/>
        <w:numPr>
          <w:ilvl w:val="1"/>
          <w:numId w:val="2"/>
        </w:numPr>
      </w:pPr>
      <w:r>
        <w:rPr>
          <w:sz w:val="20"/>
        </w:rPr>
        <w:t>Common law countries that do not have direct effect (but have signed a treaty) may not take an action that would defeat the treaty’s object or purpose (VCLT Art. 18)</w:t>
      </w:r>
    </w:p>
    <w:p w14:paraId="72044F49" w14:textId="224FE310" w:rsidR="00492D34" w:rsidRPr="00492D34" w:rsidRDefault="00492D34" w:rsidP="006D5532">
      <w:pPr>
        <w:pStyle w:val="ListParagraph"/>
        <w:numPr>
          <w:ilvl w:val="0"/>
          <w:numId w:val="2"/>
        </w:numPr>
      </w:pPr>
      <w:r>
        <w:rPr>
          <w:sz w:val="20"/>
        </w:rPr>
        <w:t>States may feel Reservations, Understandings, or Declarations (RUDs) to treaties before signing</w:t>
      </w:r>
    </w:p>
    <w:p w14:paraId="2A62908B" w14:textId="79742C31" w:rsidR="00492D34" w:rsidRPr="00492D34" w:rsidRDefault="00492D34" w:rsidP="006D5532">
      <w:pPr>
        <w:pStyle w:val="ListParagraph"/>
        <w:numPr>
          <w:ilvl w:val="1"/>
          <w:numId w:val="2"/>
        </w:numPr>
      </w:pPr>
      <w:r>
        <w:rPr>
          <w:sz w:val="20"/>
        </w:rPr>
        <w:t>If the rule of unanimity is required for the treaty, all parties must consent to the reservation before the reserving state may become a party</w:t>
      </w:r>
    </w:p>
    <w:p w14:paraId="6DC6A9FC" w14:textId="1CB44DD2" w:rsidR="00492D34" w:rsidRPr="00492D34" w:rsidRDefault="00492D34" w:rsidP="006D5532">
      <w:pPr>
        <w:pStyle w:val="ListParagraph"/>
        <w:numPr>
          <w:ilvl w:val="1"/>
          <w:numId w:val="2"/>
        </w:numPr>
      </w:pPr>
      <w:r>
        <w:rPr>
          <w:sz w:val="20"/>
        </w:rPr>
        <w:t>A reserving state may become a party to a multilateral treaty if another state expressly or tacitly accepts the reservation, binding only the reserving and accepting states</w:t>
      </w:r>
    </w:p>
    <w:p w14:paraId="4C1A3300" w14:textId="0C5706FA" w:rsidR="00492D34" w:rsidRPr="00492D34" w:rsidRDefault="00492D34" w:rsidP="006D5532">
      <w:pPr>
        <w:pStyle w:val="ListParagraph"/>
        <w:numPr>
          <w:ilvl w:val="1"/>
          <w:numId w:val="2"/>
        </w:numPr>
      </w:pPr>
      <w:r>
        <w:rPr>
          <w:sz w:val="20"/>
        </w:rPr>
        <w:lastRenderedPageBreak/>
        <w:t>Objections may result in no consequence, or non-binding status between the objecting state and the reserving state</w:t>
      </w:r>
    </w:p>
    <w:p w14:paraId="01B3566D" w14:textId="6C557667" w:rsidR="00492D34" w:rsidRPr="00492D34" w:rsidRDefault="00492D34" w:rsidP="006D5532">
      <w:pPr>
        <w:pStyle w:val="ListParagraph"/>
        <w:numPr>
          <w:ilvl w:val="0"/>
          <w:numId w:val="2"/>
        </w:numPr>
      </w:pPr>
      <w:r>
        <w:rPr>
          <w:sz w:val="20"/>
        </w:rPr>
        <w:t xml:space="preserve">Treaty interpretation includes (in order): 1) Plain meaning, 2) The context of the treaty (and other related agreements), 3) Subsequent treaties, practices, and other </w:t>
      </w:r>
      <w:r w:rsidR="00524C00">
        <w:rPr>
          <w:sz w:val="20"/>
        </w:rPr>
        <w:t>int’l</w:t>
      </w:r>
      <w:r>
        <w:rPr>
          <w:sz w:val="20"/>
        </w:rPr>
        <w:t xml:space="preserve"> norms and 4) Legislative history</w:t>
      </w:r>
    </w:p>
    <w:p w14:paraId="23AD1DF1" w14:textId="1D3F6FC1" w:rsidR="00492D34" w:rsidRPr="00FF602B" w:rsidRDefault="00492D34" w:rsidP="006D5532">
      <w:pPr>
        <w:pStyle w:val="ListParagraph"/>
        <w:numPr>
          <w:ilvl w:val="0"/>
          <w:numId w:val="2"/>
        </w:numPr>
      </w:pPr>
      <w:r>
        <w:rPr>
          <w:sz w:val="20"/>
        </w:rPr>
        <w:t xml:space="preserve">Parties may accede to a treaty after it has entered into force. Parties may also terminate or withdraw from a treaty if another party has materially breached, if impossibility is claimed, or if a material change in circumstances has occurred </w:t>
      </w:r>
    </w:p>
    <w:p w14:paraId="519C9D36" w14:textId="77777777" w:rsidR="00FF602B" w:rsidRPr="00FB113F" w:rsidRDefault="00FF602B" w:rsidP="006D5532">
      <w:pPr>
        <w:pStyle w:val="ListParagraph"/>
        <w:numPr>
          <w:ilvl w:val="0"/>
          <w:numId w:val="2"/>
        </w:numPr>
      </w:pPr>
      <w:r>
        <w:rPr>
          <w:sz w:val="20"/>
        </w:rPr>
        <w:t>Treaties may be self-executing or not, determined by the language of the treaty. A non-self-executing treaty requires implementing legislation, in addition to ratification (</w:t>
      </w:r>
      <w:r>
        <w:rPr>
          <w:i/>
          <w:sz w:val="20"/>
        </w:rPr>
        <w:t>Foster v. Neilson</w:t>
      </w:r>
      <w:r>
        <w:rPr>
          <w:sz w:val="20"/>
        </w:rPr>
        <w:t>)</w:t>
      </w:r>
    </w:p>
    <w:p w14:paraId="0047F6DD" w14:textId="77777777" w:rsidR="00FF602B" w:rsidRPr="00FB113F" w:rsidRDefault="00FF602B" w:rsidP="006D5532">
      <w:pPr>
        <w:pStyle w:val="ListParagraph"/>
        <w:numPr>
          <w:ilvl w:val="0"/>
          <w:numId w:val="2"/>
        </w:numPr>
      </w:pPr>
      <w:r>
        <w:rPr>
          <w:sz w:val="20"/>
        </w:rPr>
        <w:t>There are three kinds of treaties in U.S. law: 1) Article II Treaties (advice and consent of Senate), 2) Sole Executive Agreements (Executive’s exclusive powers), and 3) Congressional-Executive Agreements</w:t>
      </w:r>
    </w:p>
    <w:p w14:paraId="63D63262" w14:textId="77777777" w:rsidR="00FF602B" w:rsidRPr="003007DD" w:rsidRDefault="00FF602B" w:rsidP="006D5532">
      <w:pPr>
        <w:pStyle w:val="ListParagraph"/>
        <w:numPr>
          <w:ilvl w:val="1"/>
          <w:numId w:val="2"/>
        </w:numPr>
      </w:pPr>
      <w:r>
        <w:rPr>
          <w:sz w:val="20"/>
        </w:rPr>
        <w:t>Does not require 2/3 Senate approval, but a simple majority in both houses of Congress</w:t>
      </w:r>
    </w:p>
    <w:p w14:paraId="37BC65DD" w14:textId="5A78E921" w:rsidR="00FF602B" w:rsidRPr="00FF602B" w:rsidRDefault="00FF602B" w:rsidP="00FF602B">
      <w:pPr>
        <w:pStyle w:val="Heading4"/>
        <w:rPr>
          <w:sz w:val="20"/>
        </w:rPr>
      </w:pPr>
      <w:r>
        <w:rPr>
          <w:sz w:val="20"/>
        </w:rPr>
        <w:t xml:space="preserve">Other Forms of </w:t>
      </w:r>
      <w:r w:rsidR="00524C00">
        <w:rPr>
          <w:sz w:val="20"/>
        </w:rPr>
        <w:t>Int’l</w:t>
      </w:r>
      <w:r>
        <w:rPr>
          <w:sz w:val="20"/>
        </w:rPr>
        <w:t xml:space="preserve"> Law</w:t>
      </w:r>
    </w:p>
    <w:p w14:paraId="7C31699D" w14:textId="3CB5B8C7" w:rsidR="003007DD" w:rsidRPr="003007DD" w:rsidRDefault="003007DD" w:rsidP="006D5532">
      <w:pPr>
        <w:pStyle w:val="ListParagraph"/>
        <w:numPr>
          <w:ilvl w:val="0"/>
          <w:numId w:val="7"/>
        </w:numPr>
      </w:pPr>
      <w:r>
        <w:rPr>
          <w:sz w:val="20"/>
        </w:rPr>
        <w:t xml:space="preserve">Customary </w:t>
      </w:r>
      <w:r w:rsidR="00524C00">
        <w:rPr>
          <w:sz w:val="20"/>
        </w:rPr>
        <w:t>int’l</w:t>
      </w:r>
      <w:r>
        <w:rPr>
          <w:sz w:val="20"/>
        </w:rPr>
        <w:t xml:space="preserve"> law must be a uniform, consistent state practice that most states believe to be legally compelled (</w:t>
      </w:r>
      <w:proofErr w:type="spellStart"/>
      <w:r>
        <w:rPr>
          <w:i/>
          <w:sz w:val="20"/>
        </w:rPr>
        <w:t>opinio</w:t>
      </w:r>
      <w:proofErr w:type="spellEnd"/>
      <w:r>
        <w:rPr>
          <w:i/>
          <w:sz w:val="20"/>
        </w:rPr>
        <w:t xml:space="preserve"> juris</w:t>
      </w:r>
      <w:r>
        <w:rPr>
          <w:sz w:val="20"/>
        </w:rPr>
        <w:t>) (</w:t>
      </w:r>
      <w:proofErr w:type="spellStart"/>
      <w:r>
        <w:rPr>
          <w:i/>
          <w:sz w:val="20"/>
        </w:rPr>
        <w:t>Paquete</w:t>
      </w:r>
      <w:proofErr w:type="spellEnd"/>
      <w:r>
        <w:rPr>
          <w:i/>
          <w:sz w:val="20"/>
        </w:rPr>
        <w:t xml:space="preserve"> Habana</w:t>
      </w:r>
      <w:r>
        <w:rPr>
          <w:sz w:val="20"/>
        </w:rPr>
        <w:t xml:space="preserve"> – fishing boats historically not prizes of war)</w:t>
      </w:r>
    </w:p>
    <w:p w14:paraId="36FDB0DC" w14:textId="69CB2797" w:rsidR="003007DD" w:rsidRPr="003007DD" w:rsidRDefault="003007DD" w:rsidP="006D5532">
      <w:pPr>
        <w:pStyle w:val="ListParagraph"/>
        <w:numPr>
          <w:ilvl w:val="1"/>
          <w:numId w:val="7"/>
        </w:numPr>
      </w:pPr>
      <w:r>
        <w:rPr>
          <w:sz w:val="20"/>
        </w:rPr>
        <w:t xml:space="preserve">Related to </w:t>
      </w:r>
      <w:r>
        <w:rPr>
          <w:i/>
          <w:sz w:val="20"/>
        </w:rPr>
        <w:t xml:space="preserve">jus </w:t>
      </w:r>
      <w:proofErr w:type="spellStart"/>
      <w:r>
        <w:rPr>
          <w:i/>
          <w:sz w:val="20"/>
        </w:rPr>
        <w:t>cogens</w:t>
      </w:r>
      <w:proofErr w:type="spellEnd"/>
      <w:r>
        <w:rPr>
          <w:sz w:val="20"/>
        </w:rPr>
        <w:t xml:space="preserve">, an </w:t>
      </w:r>
      <w:r w:rsidR="00524C00">
        <w:rPr>
          <w:sz w:val="20"/>
        </w:rPr>
        <w:t>int’l</w:t>
      </w:r>
      <w:r>
        <w:rPr>
          <w:sz w:val="20"/>
        </w:rPr>
        <w:t xml:space="preserve"> norm from which no departure is ever warranted</w:t>
      </w:r>
    </w:p>
    <w:p w14:paraId="6BE055BC" w14:textId="5116898B" w:rsidR="003007DD" w:rsidRPr="003007DD" w:rsidRDefault="003007DD" w:rsidP="006D5532">
      <w:pPr>
        <w:pStyle w:val="ListParagraph"/>
        <w:numPr>
          <w:ilvl w:val="2"/>
          <w:numId w:val="7"/>
        </w:numPr>
      </w:pPr>
      <w:r>
        <w:rPr>
          <w:sz w:val="20"/>
        </w:rPr>
        <w:t>Based on notions of universal morality and justice</w:t>
      </w:r>
    </w:p>
    <w:p w14:paraId="749778A2" w14:textId="65D73142" w:rsidR="003007DD" w:rsidRPr="003007DD" w:rsidRDefault="003007DD" w:rsidP="006D5532">
      <w:pPr>
        <w:pStyle w:val="ListParagraph"/>
        <w:numPr>
          <w:ilvl w:val="1"/>
          <w:numId w:val="7"/>
        </w:numPr>
      </w:pPr>
      <w:r>
        <w:rPr>
          <w:sz w:val="20"/>
        </w:rPr>
        <w:t xml:space="preserve">Customary </w:t>
      </w:r>
      <w:r w:rsidR="00524C00">
        <w:rPr>
          <w:sz w:val="20"/>
        </w:rPr>
        <w:t>int’l</w:t>
      </w:r>
      <w:r>
        <w:rPr>
          <w:sz w:val="20"/>
        </w:rPr>
        <w:t xml:space="preserve"> law not recognized if a state has persistently objected</w:t>
      </w:r>
    </w:p>
    <w:p w14:paraId="68A76805" w14:textId="3911E968" w:rsidR="003007DD" w:rsidRPr="003007DD" w:rsidRDefault="003007DD" w:rsidP="006D5532">
      <w:pPr>
        <w:pStyle w:val="ListParagraph"/>
        <w:numPr>
          <w:ilvl w:val="1"/>
          <w:numId w:val="7"/>
        </w:numPr>
      </w:pPr>
      <w:r>
        <w:rPr>
          <w:sz w:val="20"/>
        </w:rPr>
        <w:t xml:space="preserve">Customary </w:t>
      </w:r>
      <w:r w:rsidR="00524C00">
        <w:rPr>
          <w:sz w:val="20"/>
        </w:rPr>
        <w:t>int’l</w:t>
      </w:r>
      <w:r>
        <w:rPr>
          <w:sz w:val="20"/>
        </w:rPr>
        <w:t xml:space="preserve"> law is a form of “soft law”, along with vague treaty provisions, codes of behavior, or political pacts</w:t>
      </w:r>
    </w:p>
    <w:p w14:paraId="5446DCCF" w14:textId="039340DD" w:rsidR="003007DD" w:rsidRPr="003007DD" w:rsidRDefault="003007DD" w:rsidP="006D5532">
      <w:pPr>
        <w:pStyle w:val="ListParagraph"/>
        <w:numPr>
          <w:ilvl w:val="2"/>
          <w:numId w:val="7"/>
        </w:numPr>
      </w:pPr>
      <w:r>
        <w:rPr>
          <w:sz w:val="20"/>
        </w:rPr>
        <w:t>Soft law is so named due to a lack of enforcement, but may eventually “harden” into law</w:t>
      </w:r>
    </w:p>
    <w:p w14:paraId="753309CC" w14:textId="098F85E4" w:rsidR="003007DD" w:rsidRPr="003007DD" w:rsidRDefault="003007DD" w:rsidP="006D5532">
      <w:pPr>
        <w:pStyle w:val="ListParagraph"/>
        <w:numPr>
          <w:ilvl w:val="2"/>
          <w:numId w:val="7"/>
        </w:numPr>
      </w:pPr>
      <w:r>
        <w:rPr>
          <w:sz w:val="20"/>
        </w:rPr>
        <w:t xml:space="preserve">Soft law is not always customary </w:t>
      </w:r>
      <w:r w:rsidR="00524C00">
        <w:rPr>
          <w:sz w:val="20"/>
        </w:rPr>
        <w:t>int’l</w:t>
      </w:r>
      <w:r>
        <w:rPr>
          <w:sz w:val="20"/>
        </w:rPr>
        <w:t xml:space="preserve"> law, since it is not always widespread</w:t>
      </w:r>
    </w:p>
    <w:p w14:paraId="2210DE6B" w14:textId="64C364C4" w:rsidR="003007DD" w:rsidRPr="003007DD" w:rsidRDefault="003007DD" w:rsidP="006D5532">
      <w:pPr>
        <w:pStyle w:val="ListParagraph"/>
        <w:numPr>
          <w:ilvl w:val="1"/>
          <w:numId w:val="7"/>
        </w:numPr>
      </w:pPr>
      <w:r>
        <w:rPr>
          <w:sz w:val="20"/>
        </w:rPr>
        <w:t>Tools for ensuring a strong “compliance pull” include reporting/monitoring, independent verification, capacity-building, and sanctions</w:t>
      </w:r>
    </w:p>
    <w:p w14:paraId="4B8846E4" w14:textId="1FCBADD7" w:rsidR="00D41D14" w:rsidRPr="005E1854" w:rsidRDefault="00FB113F" w:rsidP="006D5532">
      <w:pPr>
        <w:pStyle w:val="ListParagraph"/>
        <w:numPr>
          <w:ilvl w:val="0"/>
          <w:numId w:val="7"/>
        </w:numPr>
      </w:pPr>
      <w:r>
        <w:rPr>
          <w:sz w:val="20"/>
        </w:rPr>
        <w:t>In the U.S., state law in conflict with federal law</w:t>
      </w:r>
      <w:r w:rsidR="005E1854">
        <w:rPr>
          <w:sz w:val="20"/>
        </w:rPr>
        <w:t xml:space="preserve"> (or </w:t>
      </w:r>
      <w:r w:rsidR="00524C00">
        <w:rPr>
          <w:sz w:val="20"/>
        </w:rPr>
        <w:t>int’l</w:t>
      </w:r>
      <w:r w:rsidR="005E1854">
        <w:rPr>
          <w:sz w:val="20"/>
        </w:rPr>
        <w:t xml:space="preserve"> obligations) </w:t>
      </w:r>
      <w:r w:rsidR="00866A7A">
        <w:rPr>
          <w:sz w:val="20"/>
        </w:rPr>
        <w:t xml:space="preserve">is </w:t>
      </w:r>
      <w:r>
        <w:rPr>
          <w:sz w:val="20"/>
        </w:rPr>
        <w:t>struck down under the Supremacy Clause (</w:t>
      </w:r>
      <w:r>
        <w:rPr>
          <w:i/>
          <w:sz w:val="20"/>
        </w:rPr>
        <w:t xml:space="preserve">Crosby v. National Foreign Relations Trade Council </w:t>
      </w:r>
      <w:r>
        <w:rPr>
          <w:sz w:val="20"/>
        </w:rPr>
        <w:t>– MA law on Myanmar sourcing)</w:t>
      </w:r>
    </w:p>
    <w:p w14:paraId="0C40F6E8" w14:textId="1180F132" w:rsidR="005E1854" w:rsidRPr="00FB113F" w:rsidRDefault="005E1854" w:rsidP="006D5532">
      <w:pPr>
        <w:pStyle w:val="ListParagraph"/>
        <w:numPr>
          <w:ilvl w:val="1"/>
          <w:numId w:val="7"/>
        </w:numPr>
      </w:pPr>
      <w:r>
        <w:rPr>
          <w:sz w:val="20"/>
        </w:rPr>
        <w:t xml:space="preserve">Preemption may be express or implied (Congress intended federal occupation of a specific legislative field, such as </w:t>
      </w:r>
      <w:r w:rsidR="00524C00">
        <w:rPr>
          <w:sz w:val="20"/>
        </w:rPr>
        <w:t>int’l</w:t>
      </w:r>
      <w:r>
        <w:rPr>
          <w:sz w:val="20"/>
        </w:rPr>
        <w:t xml:space="preserve"> commerce)</w:t>
      </w:r>
    </w:p>
    <w:p w14:paraId="531006FD" w14:textId="10677ED6" w:rsidR="00FB113F" w:rsidRPr="00FB113F" w:rsidRDefault="00FB113F" w:rsidP="006D5532">
      <w:pPr>
        <w:pStyle w:val="ListParagraph"/>
        <w:numPr>
          <w:ilvl w:val="1"/>
          <w:numId w:val="7"/>
        </w:numPr>
      </w:pPr>
      <w:r>
        <w:rPr>
          <w:sz w:val="20"/>
        </w:rPr>
        <w:t>Federal foreign policy may also be invoked to invalidate state statutes (</w:t>
      </w:r>
      <w:r>
        <w:rPr>
          <w:i/>
          <w:sz w:val="20"/>
        </w:rPr>
        <w:t>American Insurance Association v. Garamendi</w:t>
      </w:r>
      <w:r>
        <w:rPr>
          <w:sz w:val="20"/>
        </w:rPr>
        <w:t xml:space="preserve"> – Holocaust insurance law)</w:t>
      </w:r>
      <w:r w:rsidR="005E1854">
        <w:rPr>
          <w:sz w:val="20"/>
        </w:rPr>
        <w:t xml:space="preserve"> </w:t>
      </w:r>
    </w:p>
    <w:p w14:paraId="736F30BD" w14:textId="4BAB7881" w:rsidR="00FB113F" w:rsidRPr="00743B94" w:rsidRDefault="00FB113F" w:rsidP="006D5532">
      <w:pPr>
        <w:pStyle w:val="ListParagraph"/>
        <w:numPr>
          <w:ilvl w:val="1"/>
          <w:numId w:val="7"/>
        </w:numPr>
      </w:pPr>
      <w:r>
        <w:rPr>
          <w:sz w:val="20"/>
        </w:rPr>
        <w:t>However, non-self-executing executive agreements is not binding on states (</w:t>
      </w:r>
      <w:r>
        <w:rPr>
          <w:i/>
          <w:sz w:val="20"/>
        </w:rPr>
        <w:t xml:space="preserve">Medellin v. Texas </w:t>
      </w:r>
      <w:r>
        <w:rPr>
          <w:sz w:val="20"/>
        </w:rPr>
        <w:t>– Texas ignores ICJ notice requirements)</w:t>
      </w:r>
    </w:p>
    <w:p w14:paraId="18523F93" w14:textId="68356E08" w:rsidR="00743B94" w:rsidRDefault="00743B94" w:rsidP="006D5532">
      <w:pPr>
        <w:pStyle w:val="ListParagraph"/>
        <w:numPr>
          <w:ilvl w:val="1"/>
          <w:numId w:val="7"/>
        </w:numPr>
        <w:rPr>
          <w:sz w:val="20"/>
        </w:rPr>
      </w:pPr>
      <w:r w:rsidRPr="00743B94">
        <w:rPr>
          <w:sz w:val="20"/>
        </w:rPr>
        <w:t xml:space="preserve">Treaties do not infringe on </w:t>
      </w:r>
      <w:r>
        <w:rPr>
          <w:sz w:val="20"/>
        </w:rPr>
        <w:t>states’ rights under the 10</w:t>
      </w:r>
      <w:r w:rsidRPr="00743B94">
        <w:rPr>
          <w:sz w:val="20"/>
          <w:vertAlign w:val="superscript"/>
        </w:rPr>
        <w:t>th</w:t>
      </w:r>
      <w:r>
        <w:rPr>
          <w:sz w:val="20"/>
        </w:rPr>
        <w:t xml:space="preserve"> Amendment (</w:t>
      </w:r>
      <w:r>
        <w:rPr>
          <w:i/>
          <w:sz w:val="20"/>
        </w:rPr>
        <w:t>Missouri v. Holland</w:t>
      </w:r>
      <w:r>
        <w:rPr>
          <w:sz w:val="20"/>
        </w:rPr>
        <w:t>)</w:t>
      </w:r>
    </w:p>
    <w:p w14:paraId="741409C0" w14:textId="79B33F49" w:rsidR="005E1854" w:rsidRPr="00743B94" w:rsidRDefault="005E1854" w:rsidP="006D5532">
      <w:pPr>
        <w:pStyle w:val="ListParagraph"/>
        <w:numPr>
          <w:ilvl w:val="2"/>
          <w:numId w:val="7"/>
        </w:numPr>
        <w:rPr>
          <w:sz w:val="20"/>
        </w:rPr>
      </w:pPr>
      <w:r>
        <w:rPr>
          <w:sz w:val="20"/>
        </w:rPr>
        <w:t>What is the limit? The existence of a national interest or national problem?</w:t>
      </w:r>
    </w:p>
    <w:p w14:paraId="6F92E91A" w14:textId="72657749" w:rsidR="00FF602B" w:rsidRPr="00FF602B" w:rsidRDefault="00FF602B" w:rsidP="00FF602B">
      <w:pPr>
        <w:pStyle w:val="Heading4"/>
      </w:pPr>
      <w:r w:rsidRPr="00FF602B">
        <w:rPr>
          <w:sz w:val="20"/>
        </w:rPr>
        <w:t>Choice of Forum &amp; Law</w:t>
      </w:r>
    </w:p>
    <w:tbl>
      <w:tblPr>
        <w:tblStyle w:val="TableGrid"/>
        <w:tblW w:w="0" w:type="auto"/>
        <w:tblLook w:val="04A0" w:firstRow="1" w:lastRow="0" w:firstColumn="1" w:lastColumn="0" w:noHBand="0" w:noVBand="1"/>
      </w:tblPr>
      <w:tblGrid>
        <w:gridCol w:w="4675"/>
        <w:gridCol w:w="4675"/>
      </w:tblGrid>
      <w:tr w:rsidR="00A34B3F" w:rsidRPr="00FF602B" w14:paraId="0F7A7B93" w14:textId="77777777" w:rsidTr="00856F47">
        <w:tc>
          <w:tcPr>
            <w:tcW w:w="4675" w:type="dxa"/>
          </w:tcPr>
          <w:p w14:paraId="50D3C36C" w14:textId="77777777" w:rsidR="00A34B3F" w:rsidRPr="00FF602B" w:rsidRDefault="00A34B3F" w:rsidP="00856F47">
            <w:pPr>
              <w:jc w:val="center"/>
              <w:rPr>
                <w:b/>
                <w:sz w:val="20"/>
                <w:szCs w:val="20"/>
              </w:rPr>
            </w:pPr>
            <w:r w:rsidRPr="00FF602B">
              <w:rPr>
                <w:b/>
                <w:sz w:val="20"/>
                <w:szCs w:val="20"/>
              </w:rPr>
              <w:t>Arbitration</w:t>
            </w:r>
          </w:p>
        </w:tc>
        <w:tc>
          <w:tcPr>
            <w:tcW w:w="4675" w:type="dxa"/>
          </w:tcPr>
          <w:p w14:paraId="66FCE8C3" w14:textId="77777777" w:rsidR="00A34B3F" w:rsidRPr="00FF602B" w:rsidRDefault="00A34B3F" w:rsidP="00856F47">
            <w:pPr>
              <w:jc w:val="center"/>
              <w:rPr>
                <w:b/>
                <w:sz w:val="20"/>
                <w:szCs w:val="20"/>
              </w:rPr>
            </w:pPr>
            <w:r w:rsidRPr="00FF602B">
              <w:rPr>
                <w:b/>
                <w:sz w:val="20"/>
                <w:szCs w:val="20"/>
              </w:rPr>
              <w:t>National Courts</w:t>
            </w:r>
          </w:p>
        </w:tc>
      </w:tr>
      <w:tr w:rsidR="00A34B3F" w:rsidRPr="00FF602B" w14:paraId="3AE1A0A8" w14:textId="77777777" w:rsidTr="00856F47">
        <w:tc>
          <w:tcPr>
            <w:tcW w:w="4675" w:type="dxa"/>
          </w:tcPr>
          <w:p w14:paraId="68E37E1B" w14:textId="77777777" w:rsidR="00A34B3F" w:rsidRPr="00FF602B" w:rsidRDefault="00A34B3F" w:rsidP="006D5532">
            <w:pPr>
              <w:pStyle w:val="ListParagraph"/>
              <w:numPr>
                <w:ilvl w:val="0"/>
                <w:numId w:val="3"/>
              </w:numPr>
              <w:rPr>
                <w:sz w:val="20"/>
                <w:szCs w:val="20"/>
              </w:rPr>
            </w:pPr>
            <w:r w:rsidRPr="00FF602B">
              <w:rPr>
                <w:sz w:val="20"/>
                <w:szCs w:val="20"/>
              </w:rPr>
              <w:t>Relatively inexpensive and quick</w:t>
            </w:r>
          </w:p>
          <w:p w14:paraId="7A69CB7D" w14:textId="77777777" w:rsidR="00A34B3F" w:rsidRPr="00FF602B" w:rsidRDefault="00A34B3F" w:rsidP="006D5532">
            <w:pPr>
              <w:pStyle w:val="ListParagraph"/>
              <w:numPr>
                <w:ilvl w:val="0"/>
                <w:numId w:val="3"/>
              </w:numPr>
              <w:rPr>
                <w:sz w:val="20"/>
                <w:szCs w:val="20"/>
              </w:rPr>
            </w:pPr>
            <w:r w:rsidRPr="00FF602B">
              <w:rPr>
                <w:sz w:val="20"/>
                <w:szCs w:val="20"/>
              </w:rPr>
              <w:t>Customizable procedure</w:t>
            </w:r>
          </w:p>
          <w:p w14:paraId="47B07A03" w14:textId="77777777" w:rsidR="00A34B3F" w:rsidRPr="00FF602B" w:rsidRDefault="00A34B3F" w:rsidP="006D5532">
            <w:pPr>
              <w:pStyle w:val="ListParagraph"/>
              <w:numPr>
                <w:ilvl w:val="0"/>
                <w:numId w:val="3"/>
              </w:numPr>
              <w:rPr>
                <w:sz w:val="20"/>
                <w:szCs w:val="20"/>
              </w:rPr>
            </w:pPr>
            <w:r w:rsidRPr="00FF602B">
              <w:rPr>
                <w:sz w:val="20"/>
                <w:szCs w:val="20"/>
              </w:rPr>
              <w:t>Confidentiality</w:t>
            </w:r>
          </w:p>
          <w:p w14:paraId="5845ABD1" w14:textId="77777777" w:rsidR="00A34B3F" w:rsidRPr="00FF602B" w:rsidRDefault="00A34B3F" w:rsidP="006D5532">
            <w:pPr>
              <w:pStyle w:val="ListParagraph"/>
              <w:numPr>
                <w:ilvl w:val="0"/>
                <w:numId w:val="3"/>
              </w:numPr>
              <w:rPr>
                <w:sz w:val="20"/>
                <w:szCs w:val="20"/>
              </w:rPr>
            </w:pPr>
            <w:r w:rsidRPr="00FF602B">
              <w:rPr>
                <w:sz w:val="20"/>
                <w:szCs w:val="20"/>
              </w:rPr>
              <w:t>Expertise of arbitral bodies</w:t>
            </w:r>
          </w:p>
          <w:p w14:paraId="03DD4BE5" w14:textId="77777777" w:rsidR="00A34B3F" w:rsidRPr="00FF602B" w:rsidRDefault="00A34B3F" w:rsidP="006D5532">
            <w:pPr>
              <w:pStyle w:val="ListParagraph"/>
              <w:numPr>
                <w:ilvl w:val="0"/>
                <w:numId w:val="3"/>
              </w:numPr>
              <w:rPr>
                <w:sz w:val="20"/>
                <w:szCs w:val="20"/>
              </w:rPr>
            </w:pPr>
            <w:r w:rsidRPr="00FF602B">
              <w:rPr>
                <w:sz w:val="20"/>
                <w:szCs w:val="20"/>
              </w:rPr>
              <w:t>Neutrality/lack of political bias</w:t>
            </w:r>
          </w:p>
          <w:p w14:paraId="5BB530EF" w14:textId="77777777" w:rsidR="00A34B3F" w:rsidRPr="00FF602B" w:rsidRDefault="00A34B3F" w:rsidP="006D5532">
            <w:pPr>
              <w:pStyle w:val="ListParagraph"/>
              <w:numPr>
                <w:ilvl w:val="0"/>
                <w:numId w:val="3"/>
              </w:numPr>
              <w:rPr>
                <w:sz w:val="20"/>
                <w:szCs w:val="20"/>
              </w:rPr>
            </w:pPr>
            <w:r w:rsidRPr="00FF602B">
              <w:rPr>
                <w:sz w:val="20"/>
                <w:szCs w:val="20"/>
              </w:rPr>
              <w:t>Finality</w:t>
            </w:r>
          </w:p>
          <w:p w14:paraId="51232920" w14:textId="77777777" w:rsidR="00A34B3F" w:rsidRPr="00FF602B" w:rsidRDefault="00A34B3F" w:rsidP="006D5532">
            <w:pPr>
              <w:pStyle w:val="ListParagraph"/>
              <w:numPr>
                <w:ilvl w:val="0"/>
                <w:numId w:val="3"/>
              </w:numPr>
              <w:rPr>
                <w:sz w:val="20"/>
                <w:szCs w:val="20"/>
              </w:rPr>
            </w:pPr>
            <w:r w:rsidRPr="00FF602B">
              <w:rPr>
                <w:sz w:val="20"/>
                <w:szCs w:val="20"/>
              </w:rPr>
              <w:t>Easy enforcement</w:t>
            </w:r>
          </w:p>
        </w:tc>
        <w:tc>
          <w:tcPr>
            <w:tcW w:w="4675" w:type="dxa"/>
          </w:tcPr>
          <w:p w14:paraId="4CED8478" w14:textId="77777777" w:rsidR="00A34B3F" w:rsidRPr="00FF602B" w:rsidRDefault="00A34B3F" w:rsidP="006D5532">
            <w:pPr>
              <w:pStyle w:val="ListParagraph"/>
              <w:numPr>
                <w:ilvl w:val="0"/>
                <w:numId w:val="3"/>
              </w:numPr>
              <w:rPr>
                <w:sz w:val="20"/>
                <w:szCs w:val="20"/>
              </w:rPr>
            </w:pPr>
            <w:r w:rsidRPr="00FF602B">
              <w:rPr>
                <w:sz w:val="20"/>
                <w:szCs w:val="20"/>
              </w:rPr>
              <w:t>Predictability</w:t>
            </w:r>
          </w:p>
          <w:p w14:paraId="4EFFD33F" w14:textId="77777777" w:rsidR="00A34B3F" w:rsidRPr="00FF602B" w:rsidRDefault="00A34B3F" w:rsidP="006D5532">
            <w:pPr>
              <w:pStyle w:val="ListParagraph"/>
              <w:numPr>
                <w:ilvl w:val="0"/>
                <w:numId w:val="3"/>
              </w:numPr>
              <w:rPr>
                <w:sz w:val="20"/>
                <w:szCs w:val="20"/>
              </w:rPr>
            </w:pPr>
            <w:r w:rsidRPr="00FF602B">
              <w:rPr>
                <w:sz w:val="20"/>
                <w:szCs w:val="20"/>
              </w:rPr>
              <w:t>Eliminates the need to customize procedure</w:t>
            </w:r>
          </w:p>
          <w:p w14:paraId="4758080E" w14:textId="77777777" w:rsidR="00A34B3F" w:rsidRPr="00FF602B" w:rsidRDefault="00A34B3F" w:rsidP="006D5532">
            <w:pPr>
              <w:pStyle w:val="ListParagraph"/>
              <w:numPr>
                <w:ilvl w:val="0"/>
                <w:numId w:val="3"/>
              </w:numPr>
              <w:rPr>
                <w:sz w:val="20"/>
                <w:szCs w:val="20"/>
              </w:rPr>
            </w:pPr>
            <w:r w:rsidRPr="00FF602B">
              <w:rPr>
                <w:sz w:val="20"/>
                <w:szCs w:val="20"/>
              </w:rPr>
              <w:t>May provide procedural advantages</w:t>
            </w:r>
          </w:p>
          <w:p w14:paraId="1739D7B5" w14:textId="77777777" w:rsidR="00A34B3F" w:rsidRPr="00FF602B" w:rsidRDefault="00A34B3F" w:rsidP="006D5532">
            <w:pPr>
              <w:pStyle w:val="ListParagraph"/>
              <w:numPr>
                <w:ilvl w:val="0"/>
                <w:numId w:val="3"/>
              </w:numPr>
              <w:rPr>
                <w:sz w:val="20"/>
                <w:szCs w:val="20"/>
              </w:rPr>
            </w:pPr>
            <w:r w:rsidRPr="00FF602B">
              <w:rPr>
                <w:sz w:val="20"/>
                <w:szCs w:val="20"/>
              </w:rPr>
              <w:t>Verdicts may be appealed</w:t>
            </w:r>
          </w:p>
          <w:p w14:paraId="2114ED55" w14:textId="77777777" w:rsidR="00A34B3F" w:rsidRPr="00FF602B" w:rsidRDefault="00A34B3F" w:rsidP="006D5532">
            <w:pPr>
              <w:pStyle w:val="ListParagraph"/>
              <w:numPr>
                <w:ilvl w:val="0"/>
                <w:numId w:val="3"/>
              </w:numPr>
              <w:rPr>
                <w:sz w:val="20"/>
                <w:szCs w:val="20"/>
              </w:rPr>
            </w:pPr>
            <w:r w:rsidRPr="00FF602B">
              <w:rPr>
                <w:sz w:val="20"/>
                <w:szCs w:val="20"/>
              </w:rPr>
              <w:t>Less potential for capture, since a judge isn’t worried about future business</w:t>
            </w:r>
          </w:p>
        </w:tc>
      </w:tr>
      <w:tr w:rsidR="00A34B3F" w:rsidRPr="00FF602B" w14:paraId="5EFEB2BF" w14:textId="77777777" w:rsidTr="00856F47">
        <w:tc>
          <w:tcPr>
            <w:tcW w:w="4675" w:type="dxa"/>
          </w:tcPr>
          <w:p w14:paraId="7CDD3182" w14:textId="77777777" w:rsidR="00A34B3F" w:rsidRPr="00FF602B" w:rsidRDefault="00A34B3F" w:rsidP="00856F47">
            <w:pPr>
              <w:rPr>
                <w:sz w:val="20"/>
                <w:szCs w:val="20"/>
              </w:rPr>
            </w:pPr>
            <w:r w:rsidRPr="00FF602B">
              <w:rPr>
                <w:sz w:val="20"/>
                <w:szCs w:val="20"/>
              </w:rPr>
              <w:t>Treaty coverage:</w:t>
            </w:r>
          </w:p>
          <w:p w14:paraId="4CC13852" w14:textId="77777777" w:rsidR="00A34B3F" w:rsidRPr="00FF602B" w:rsidRDefault="00A34B3F" w:rsidP="00856F47">
            <w:pPr>
              <w:rPr>
                <w:sz w:val="20"/>
                <w:szCs w:val="20"/>
              </w:rPr>
            </w:pPr>
            <w:r w:rsidRPr="00FF602B">
              <w:rPr>
                <w:sz w:val="20"/>
                <w:szCs w:val="20"/>
              </w:rPr>
              <w:t xml:space="preserve">     New York Convention</w:t>
            </w:r>
          </w:p>
        </w:tc>
        <w:tc>
          <w:tcPr>
            <w:tcW w:w="4675" w:type="dxa"/>
          </w:tcPr>
          <w:p w14:paraId="2B9A7170" w14:textId="77777777" w:rsidR="00A34B3F" w:rsidRPr="00FF602B" w:rsidRDefault="00A34B3F" w:rsidP="00856F47">
            <w:pPr>
              <w:rPr>
                <w:sz w:val="20"/>
                <w:szCs w:val="20"/>
              </w:rPr>
            </w:pPr>
            <w:r w:rsidRPr="00FF602B">
              <w:rPr>
                <w:sz w:val="20"/>
                <w:szCs w:val="20"/>
              </w:rPr>
              <w:t>Treaty Coverage:</w:t>
            </w:r>
            <w:r w:rsidRPr="00FF602B">
              <w:rPr>
                <w:sz w:val="20"/>
                <w:szCs w:val="20"/>
              </w:rPr>
              <w:br/>
              <w:t xml:space="preserve">     Brussels I</w:t>
            </w:r>
            <w:r w:rsidRPr="00FF602B">
              <w:rPr>
                <w:sz w:val="20"/>
                <w:szCs w:val="20"/>
              </w:rPr>
              <w:br/>
              <w:t xml:space="preserve">     Hague Convention</w:t>
            </w:r>
            <w:r w:rsidRPr="00FF602B">
              <w:rPr>
                <w:sz w:val="20"/>
                <w:szCs w:val="20"/>
              </w:rPr>
              <w:br/>
              <w:t xml:space="preserve">     Bilateral Treaties</w:t>
            </w:r>
          </w:p>
        </w:tc>
      </w:tr>
    </w:tbl>
    <w:p w14:paraId="5BEB22D3" w14:textId="6C1C3A27" w:rsidR="003007DD" w:rsidRPr="00812744" w:rsidRDefault="00A34B3F" w:rsidP="006D5532">
      <w:pPr>
        <w:pStyle w:val="ListParagraph"/>
        <w:numPr>
          <w:ilvl w:val="0"/>
          <w:numId w:val="8"/>
        </w:numPr>
      </w:pPr>
      <w:r>
        <w:rPr>
          <w:sz w:val="20"/>
        </w:rPr>
        <w:lastRenderedPageBreak/>
        <w:t xml:space="preserve"> </w:t>
      </w:r>
      <w:r w:rsidR="0036600E">
        <w:rPr>
          <w:sz w:val="20"/>
        </w:rPr>
        <w:t xml:space="preserve">The Hague Convention on Choice of Court Agreements </w:t>
      </w:r>
      <w:r w:rsidR="00812744">
        <w:rPr>
          <w:sz w:val="20"/>
        </w:rPr>
        <w:t>stipulates that the court designated in a Forum Selection Clause (FSC) has jurisdiction to hear cases, and all other courts shall dismiss proceedings unless contrary to public policy</w:t>
      </w:r>
    </w:p>
    <w:p w14:paraId="3B9CF5EF" w14:textId="28415F93" w:rsidR="00812744" w:rsidRPr="00812744" w:rsidRDefault="00812744" w:rsidP="006D5532">
      <w:pPr>
        <w:pStyle w:val="ListParagraph"/>
        <w:numPr>
          <w:ilvl w:val="1"/>
          <w:numId w:val="8"/>
        </w:numPr>
      </w:pPr>
      <w:r>
        <w:rPr>
          <w:sz w:val="20"/>
        </w:rPr>
        <w:t>Enforcement may also be refused if incompatible with the public policy of the enforcing state</w:t>
      </w:r>
    </w:p>
    <w:p w14:paraId="2BA9B2E9" w14:textId="57B1BB3E" w:rsidR="00812744" w:rsidRPr="00812744" w:rsidRDefault="00812744" w:rsidP="006D5532">
      <w:pPr>
        <w:pStyle w:val="ListParagraph"/>
        <w:numPr>
          <w:ilvl w:val="1"/>
          <w:numId w:val="8"/>
        </w:numPr>
      </w:pPr>
      <w:r>
        <w:rPr>
          <w:sz w:val="20"/>
        </w:rPr>
        <w:t>A state may declare its courts’ jurisdiction is limited if there is no connection between the dispute and the chose court, and may refuse to enforce an award between two parties of the state where judgment was recorded</w:t>
      </w:r>
    </w:p>
    <w:p w14:paraId="58691F33" w14:textId="609D4FFE" w:rsidR="00812744" w:rsidRPr="00812744" w:rsidRDefault="00812744" w:rsidP="006D5532">
      <w:pPr>
        <w:pStyle w:val="ListParagraph"/>
        <w:numPr>
          <w:ilvl w:val="1"/>
          <w:numId w:val="8"/>
        </w:numPr>
      </w:pPr>
      <w:r>
        <w:rPr>
          <w:sz w:val="20"/>
        </w:rPr>
        <w:t>The U.S. has not ratified the Hague Convention, but is bound the by VCLT’s obligation not to harm the object/purpose of the treaty</w:t>
      </w:r>
    </w:p>
    <w:p w14:paraId="028C6F7A" w14:textId="5F560115" w:rsidR="00812744" w:rsidRPr="00812744" w:rsidRDefault="00812744" w:rsidP="006D5532">
      <w:pPr>
        <w:pStyle w:val="ListParagraph"/>
        <w:numPr>
          <w:ilvl w:val="0"/>
          <w:numId w:val="8"/>
        </w:numPr>
      </w:pPr>
      <w:r>
        <w:rPr>
          <w:sz w:val="20"/>
        </w:rPr>
        <w:t>In the U.S., an FSC is prima facie valid unless unreasonable (</w:t>
      </w:r>
      <w:r>
        <w:rPr>
          <w:i/>
          <w:sz w:val="20"/>
        </w:rPr>
        <w:t xml:space="preserve">Bremen v. Zapata </w:t>
      </w:r>
      <w:r>
        <w:rPr>
          <w:sz w:val="20"/>
        </w:rPr>
        <w:t>– oil rig damaged in storm)</w:t>
      </w:r>
    </w:p>
    <w:p w14:paraId="0CDFD01A" w14:textId="6FE94DB4" w:rsidR="00812744" w:rsidRPr="008D0F1C" w:rsidRDefault="00812744" w:rsidP="006D5532">
      <w:pPr>
        <w:pStyle w:val="ListParagraph"/>
        <w:numPr>
          <w:ilvl w:val="1"/>
          <w:numId w:val="8"/>
        </w:numPr>
      </w:pPr>
      <w:r>
        <w:rPr>
          <w:sz w:val="20"/>
        </w:rPr>
        <w:t>Standard is that for all practical purposes, a litigant will be deprived of his day in court</w:t>
      </w:r>
    </w:p>
    <w:p w14:paraId="4D191F14" w14:textId="57CA1669" w:rsidR="008D0F1C" w:rsidRPr="00812744" w:rsidRDefault="008D0F1C" w:rsidP="006D5532">
      <w:pPr>
        <w:pStyle w:val="ListParagraph"/>
        <w:numPr>
          <w:ilvl w:val="1"/>
          <w:numId w:val="8"/>
        </w:numPr>
      </w:pPr>
      <w:r>
        <w:rPr>
          <w:sz w:val="20"/>
        </w:rPr>
        <w:t>Other possible concerns include fraud, undue influence, or a strong public policy against enforcement of the FSC</w:t>
      </w:r>
    </w:p>
    <w:p w14:paraId="0E12B7B8" w14:textId="29A3D2EE" w:rsidR="00812744" w:rsidRPr="00812744" w:rsidRDefault="00812744" w:rsidP="006D5532">
      <w:pPr>
        <w:pStyle w:val="ListParagraph"/>
        <w:numPr>
          <w:ilvl w:val="1"/>
          <w:numId w:val="8"/>
        </w:numPr>
      </w:pPr>
      <w:r>
        <w:rPr>
          <w:sz w:val="20"/>
        </w:rPr>
        <w:t>Rationales include certainty/predictability, reciprocity, and the impact of globalization on the future of commerce</w:t>
      </w:r>
    </w:p>
    <w:p w14:paraId="6456EFF8" w14:textId="3166DA2E" w:rsidR="00812744" w:rsidRPr="00812744" w:rsidRDefault="00812744" w:rsidP="006D5532">
      <w:pPr>
        <w:pStyle w:val="ListParagraph"/>
        <w:numPr>
          <w:ilvl w:val="1"/>
          <w:numId w:val="8"/>
        </w:numPr>
      </w:pPr>
      <w:r>
        <w:rPr>
          <w:sz w:val="20"/>
        </w:rPr>
        <w:t xml:space="preserve">This logic also </w:t>
      </w:r>
      <w:r w:rsidR="00A34B3F">
        <w:rPr>
          <w:sz w:val="20"/>
        </w:rPr>
        <w:t>holds for FSCs namin</w:t>
      </w:r>
      <w:r>
        <w:rPr>
          <w:sz w:val="20"/>
        </w:rPr>
        <w:t xml:space="preserve">g </w:t>
      </w:r>
      <w:r w:rsidR="00A34B3F">
        <w:rPr>
          <w:sz w:val="20"/>
        </w:rPr>
        <w:t xml:space="preserve">an </w:t>
      </w:r>
      <w:r w:rsidR="00524C00">
        <w:rPr>
          <w:sz w:val="20"/>
        </w:rPr>
        <w:t>int’l</w:t>
      </w:r>
      <w:r>
        <w:rPr>
          <w:sz w:val="20"/>
        </w:rPr>
        <w:t xml:space="preserve"> arbitration </w:t>
      </w:r>
      <w:r w:rsidR="00A34B3F">
        <w:rPr>
          <w:sz w:val="20"/>
        </w:rPr>
        <w:t>body</w:t>
      </w:r>
      <w:r>
        <w:rPr>
          <w:sz w:val="20"/>
        </w:rPr>
        <w:t xml:space="preserve"> (</w:t>
      </w:r>
      <w:proofErr w:type="spellStart"/>
      <w:r>
        <w:rPr>
          <w:i/>
          <w:sz w:val="20"/>
        </w:rPr>
        <w:t>Scherk</w:t>
      </w:r>
      <w:proofErr w:type="spellEnd"/>
      <w:r>
        <w:rPr>
          <w:i/>
          <w:sz w:val="20"/>
        </w:rPr>
        <w:t xml:space="preserve"> v. Alberto-Culver</w:t>
      </w:r>
      <w:r>
        <w:rPr>
          <w:sz w:val="20"/>
        </w:rPr>
        <w:t>)</w:t>
      </w:r>
    </w:p>
    <w:p w14:paraId="638C2CA9" w14:textId="6B810CC5" w:rsidR="00FF602B" w:rsidRPr="00FF602B" w:rsidRDefault="00812744" w:rsidP="006D5532">
      <w:pPr>
        <w:pStyle w:val="ListParagraph"/>
        <w:numPr>
          <w:ilvl w:val="1"/>
          <w:numId w:val="8"/>
        </w:numPr>
      </w:pPr>
      <w:r>
        <w:rPr>
          <w:sz w:val="20"/>
        </w:rPr>
        <w:t>Even if fo</w:t>
      </w:r>
      <w:r w:rsidR="00866A7A">
        <w:rPr>
          <w:sz w:val="20"/>
        </w:rPr>
        <w:t>reign arbiters may not</w:t>
      </w:r>
      <w:r>
        <w:rPr>
          <w:sz w:val="20"/>
        </w:rPr>
        <w:t xml:space="preserve"> apply domestic law, a</w:t>
      </w:r>
      <w:r w:rsidR="00866A7A">
        <w:rPr>
          <w:sz w:val="20"/>
        </w:rPr>
        <w:t>n</w:t>
      </w:r>
      <w:r>
        <w:rPr>
          <w:sz w:val="20"/>
        </w:rPr>
        <w:t xml:space="preserve"> FSC is not to be disturbed by national courts (</w:t>
      </w:r>
      <w:proofErr w:type="spellStart"/>
      <w:r>
        <w:rPr>
          <w:i/>
          <w:sz w:val="20"/>
        </w:rPr>
        <w:t>Vimar</w:t>
      </w:r>
      <w:proofErr w:type="spellEnd"/>
      <w:r>
        <w:rPr>
          <w:i/>
          <w:sz w:val="20"/>
        </w:rPr>
        <w:t xml:space="preserve"> </w:t>
      </w:r>
      <w:proofErr w:type="spellStart"/>
      <w:r>
        <w:rPr>
          <w:i/>
          <w:sz w:val="20"/>
        </w:rPr>
        <w:t>Seguros</w:t>
      </w:r>
      <w:proofErr w:type="spellEnd"/>
      <w:r>
        <w:rPr>
          <w:i/>
          <w:sz w:val="20"/>
        </w:rPr>
        <w:t xml:space="preserve"> v. Sky Reefer</w:t>
      </w:r>
      <w:r>
        <w:rPr>
          <w:sz w:val="20"/>
        </w:rPr>
        <w:t>)</w:t>
      </w:r>
    </w:p>
    <w:p w14:paraId="33288BF1" w14:textId="64D901E8" w:rsidR="008D0F1C" w:rsidRPr="00866A7A" w:rsidRDefault="00866A7A" w:rsidP="006D5532">
      <w:pPr>
        <w:pStyle w:val="ListParagraph"/>
        <w:numPr>
          <w:ilvl w:val="0"/>
          <w:numId w:val="8"/>
        </w:numPr>
      </w:pPr>
      <w:r>
        <w:rPr>
          <w:sz w:val="20"/>
        </w:rPr>
        <w:t>Under Brussels I, domiciliaries of an EU member state may sued in another state if the place of performance (or, in the event of a tort, the place of harm) is in that state (Art. 5 §§1, 3)</w:t>
      </w:r>
    </w:p>
    <w:p w14:paraId="64065704" w14:textId="1E5B49C0" w:rsidR="00866A7A" w:rsidRPr="00866A7A" w:rsidRDefault="00866A7A" w:rsidP="006D5532">
      <w:pPr>
        <w:pStyle w:val="ListParagraph"/>
        <w:numPr>
          <w:ilvl w:val="1"/>
          <w:numId w:val="8"/>
        </w:numPr>
      </w:pPr>
      <w:r>
        <w:rPr>
          <w:sz w:val="20"/>
        </w:rPr>
        <w:t xml:space="preserve">Exclusive jurisdiction exists for suits </w:t>
      </w:r>
      <w:r>
        <w:rPr>
          <w:i/>
          <w:sz w:val="20"/>
        </w:rPr>
        <w:t>in rem</w:t>
      </w:r>
      <w:r>
        <w:t xml:space="preserve"> </w:t>
      </w:r>
      <w:r>
        <w:rPr>
          <w:sz w:val="20"/>
        </w:rPr>
        <w:t>of immovable property (Art. 22 §1)</w:t>
      </w:r>
    </w:p>
    <w:p w14:paraId="398D4CCE" w14:textId="657F9D3D" w:rsidR="00866A7A" w:rsidRPr="00AB1665" w:rsidRDefault="00866A7A" w:rsidP="006D5532">
      <w:pPr>
        <w:pStyle w:val="ListParagraph"/>
        <w:numPr>
          <w:ilvl w:val="1"/>
          <w:numId w:val="8"/>
        </w:numPr>
      </w:pPr>
      <w:r>
        <w:rPr>
          <w:sz w:val="20"/>
        </w:rPr>
        <w:t>Exclusive jurisdiction also exists if an FSC has so indicated, even if neither party is an EU member (Art. 23 §§1, 3)</w:t>
      </w:r>
    </w:p>
    <w:p w14:paraId="4A438E74" w14:textId="6DCCCDB7" w:rsidR="00AB1665" w:rsidRPr="00AB1665" w:rsidRDefault="00AB1665" w:rsidP="006D5532">
      <w:pPr>
        <w:pStyle w:val="ListParagraph"/>
        <w:numPr>
          <w:ilvl w:val="0"/>
          <w:numId w:val="8"/>
        </w:numPr>
      </w:pPr>
      <w:r>
        <w:rPr>
          <w:sz w:val="20"/>
        </w:rPr>
        <w:t xml:space="preserve">In civil law systems, </w:t>
      </w:r>
      <w:proofErr w:type="spellStart"/>
      <w:r>
        <w:rPr>
          <w:i/>
          <w:sz w:val="20"/>
        </w:rPr>
        <w:t>lis</w:t>
      </w:r>
      <w:proofErr w:type="spellEnd"/>
      <w:r>
        <w:rPr>
          <w:i/>
          <w:sz w:val="20"/>
        </w:rPr>
        <w:t xml:space="preserve"> </w:t>
      </w:r>
      <w:proofErr w:type="spellStart"/>
      <w:r>
        <w:rPr>
          <w:i/>
          <w:sz w:val="20"/>
        </w:rPr>
        <w:t>pendens</w:t>
      </w:r>
      <w:proofErr w:type="spellEnd"/>
      <w:r>
        <w:rPr>
          <w:sz w:val="20"/>
        </w:rPr>
        <w:t xml:space="preserve"> prohibits all but the first court seized upon from exercising jurisdiction. Common law, however, uses </w:t>
      </w:r>
      <w:r>
        <w:rPr>
          <w:i/>
          <w:sz w:val="20"/>
        </w:rPr>
        <w:t xml:space="preserve">forum non </w:t>
      </w:r>
      <w:proofErr w:type="spellStart"/>
      <w:r>
        <w:rPr>
          <w:i/>
          <w:sz w:val="20"/>
        </w:rPr>
        <w:t>conveniens</w:t>
      </w:r>
      <w:proofErr w:type="spellEnd"/>
      <w:r>
        <w:rPr>
          <w:i/>
          <w:sz w:val="20"/>
        </w:rPr>
        <w:t xml:space="preserve"> </w:t>
      </w:r>
      <w:r>
        <w:rPr>
          <w:sz w:val="20"/>
        </w:rPr>
        <w:t>to find the most appropriate court</w:t>
      </w:r>
    </w:p>
    <w:p w14:paraId="64FCDB57" w14:textId="444D89DC" w:rsidR="00AB1665" w:rsidRPr="00AB1665" w:rsidRDefault="00AB1665" w:rsidP="006D5532">
      <w:pPr>
        <w:pStyle w:val="ListParagraph"/>
        <w:numPr>
          <w:ilvl w:val="1"/>
          <w:numId w:val="8"/>
        </w:numPr>
      </w:pPr>
      <w:r>
        <w:rPr>
          <w:sz w:val="20"/>
        </w:rPr>
        <w:t xml:space="preserve">Under </w:t>
      </w:r>
      <w:r w:rsidR="00524C00" w:rsidRPr="00524C00">
        <w:rPr>
          <w:sz w:val="20"/>
        </w:rPr>
        <w:t>FNC</w:t>
      </w:r>
      <w:r w:rsidR="00524C00">
        <w:rPr>
          <w:sz w:val="20"/>
        </w:rPr>
        <w:t>,</w:t>
      </w:r>
      <w:r>
        <w:rPr>
          <w:sz w:val="20"/>
        </w:rPr>
        <w:t xml:space="preserve"> there are several private and public interest factors to determine the most convenient court. These include ease of access to evidence and witnesses, other practical issues relating to an expeditious and inexpensive resolution, administrative concerns, local interest in having local controversies </w:t>
      </w:r>
      <w:bookmarkStart w:id="0" w:name="_GoBack"/>
      <w:bookmarkEnd w:id="0"/>
      <w:r>
        <w:rPr>
          <w:sz w:val="20"/>
        </w:rPr>
        <w:t>heard at home, and avoiding unnecessary application of foreign law at home (</w:t>
      </w:r>
      <w:r>
        <w:rPr>
          <w:i/>
          <w:sz w:val="20"/>
        </w:rPr>
        <w:t>Gilbert</w:t>
      </w:r>
      <w:r>
        <w:rPr>
          <w:sz w:val="20"/>
        </w:rPr>
        <w:t>)</w:t>
      </w:r>
    </w:p>
    <w:p w14:paraId="359FEA41" w14:textId="228136DE" w:rsidR="00AB1665" w:rsidRPr="00E642E0" w:rsidRDefault="00AB1665" w:rsidP="006D5532">
      <w:pPr>
        <w:pStyle w:val="ListParagraph"/>
        <w:numPr>
          <w:ilvl w:val="2"/>
          <w:numId w:val="8"/>
        </w:numPr>
      </w:pPr>
      <w:r>
        <w:rPr>
          <w:sz w:val="20"/>
        </w:rPr>
        <w:t xml:space="preserve">The possibility of a change in substantive law </w:t>
      </w:r>
      <w:r w:rsidR="00E642E0">
        <w:rPr>
          <w:sz w:val="20"/>
        </w:rPr>
        <w:t>is not dispositive</w:t>
      </w:r>
      <w:r w:rsidR="004C7074">
        <w:rPr>
          <w:sz w:val="20"/>
        </w:rPr>
        <w:t xml:space="preserve"> for FNC</w:t>
      </w:r>
      <w:r>
        <w:rPr>
          <w:sz w:val="20"/>
        </w:rPr>
        <w:t xml:space="preserve"> (</w:t>
      </w:r>
      <w:r>
        <w:rPr>
          <w:i/>
          <w:sz w:val="20"/>
        </w:rPr>
        <w:t>Piper Aircraft</w:t>
      </w:r>
      <w:r>
        <w:rPr>
          <w:sz w:val="20"/>
        </w:rPr>
        <w:t>)</w:t>
      </w:r>
    </w:p>
    <w:p w14:paraId="63BD9EC5" w14:textId="7C80D117" w:rsidR="00E642E0" w:rsidRPr="00870811" w:rsidRDefault="00E642E0" w:rsidP="006D5532">
      <w:pPr>
        <w:pStyle w:val="ListParagraph"/>
        <w:numPr>
          <w:ilvl w:val="3"/>
          <w:numId w:val="8"/>
        </w:numPr>
      </w:pPr>
      <w:r>
        <w:rPr>
          <w:sz w:val="20"/>
        </w:rPr>
        <w:t>FNC is only reviewed for an abuse of discretion</w:t>
      </w:r>
    </w:p>
    <w:p w14:paraId="282F8DFF" w14:textId="0BB0B910" w:rsidR="00870811" w:rsidRPr="00870811" w:rsidRDefault="00870811" w:rsidP="006D5532">
      <w:pPr>
        <w:pStyle w:val="ListParagraph"/>
        <w:numPr>
          <w:ilvl w:val="2"/>
          <w:numId w:val="8"/>
        </w:numPr>
      </w:pPr>
      <w:r>
        <w:rPr>
          <w:sz w:val="20"/>
        </w:rPr>
        <w:t>FNC may be a threshold question, even before consideration of jurisdiction (</w:t>
      </w:r>
      <w:proofErr w:type="spellStart"/>
      <w:r>
        <w:rPr>
          <w:i/>
          <w:sz w:val="20"/>
        </w:rPr>
        <w:t>Sinochem</w:t>
      </w:r>
      <w:proofErr w:type="spellEnd"/>
      <w:r>
        <w:rPr>
          <w:sz w:val="20"/>
        </w:rPr>
        <w:t>)</w:t>
      </w:r>
    </w:p>
    <w:p w14:paraId="7FBEA60A" w14:textId="54C43CC0" w:rsidR="00FF602B" w:rsidRPr="00FF602B" w:rsidRDefault="00870811" w:rsidP="006D5532">
      <w:pPr>
        <w:pStyle w:val="ListParagraph"/>
        <w:numPr>
          <w:ilvl w:val="3"/>
          <w:numId w:val="8"/>
        </w:numPr>
      </w:pPr>
      <w:r>
        <w:rPr>
          <w:sz w:val="20"/>
        </w:rPr>
        <w:t>What if the more convenient forum ma</w:t>
      </w:r>
      <w:r w:rsidR="00FF602B">
        <w:rPr>
          <w:sz w:val="20"/>
        </w:rPr>
        <w:t>y refuse to hear the case?</w:t>
      </w:r>
    </w:p>
    <w:p w14:paraId="691E9197" w14:textId="647C7407" w:rsidR="00FF602B" w:rsidRDefault="00FF602B" w:rsidP="00FF602B">
      <w:pPr>
        <w:pStyle w:val="Heading4"/>
        <w:rPr>
          <w:sz w:val="20"/>
        </w:rPr>
      </w:pPr>
      <w:r w:rsidRPr="00FF602B">
        <w:rPr>
          <w:sz w:val="20"/>
        </w:rPr>
        <w:t>Enforcing Foreign Judgments</w:t>
      </w:r>
    </w:p>
    <w:p w14:paraId="01E0D82F" w14:textId="00D579C9" w:rsidR="00FF602B" w:rsidRDefault="004C7074" w:rsidP="006D5532">
      <w:pPr>
        <w:pStyle w:val="ListParagraph"/>
        <w:numPr>
          <w:ilvl w:val="0"/>
          <w:numId w:val="9"/>
        </w:numPr>
        <w:rPr>
          <w:sz w:val="20"/>
        </w:rPr>
      </w:pPr>
      <w:r>
        <w:rPr>
          <w:sz w:val="20"/>
        </w:rPr>
        <w:t>A foreign judgment not repugnant to public policy that grants or denies recovery of money is entitled to full faith and credit under the Uniform Money-Judgments Recognition Act</w:t>
      </w:r>
    </w:p>
    <w:p w14:paraId="211370B9" w14:textId="7F48A89B" w:rsidR="004D1F78" w:rsidRDefault="004D1F78" w:rsidP="006D5532">
      <w:pPr>
        <w:pStyle w:val="ListParagraph"/>
        <w:numPr>
          <w:ilvl w:val="1"/>
          <w:numId w:val="9"/>
        </w:numPr>
        <w:rPr>
          <w:sz w:val="20"/>
        </w:rPr>
      </w:pPr>
      <w:r>
        <w:rPr>
          <w:sz w:val="20"/>
        </w:rPr>
        <w:t>National political interests are not equivalent to public policy, and cannot impact U.S. obligations under the New York Convention (</w:t>
      </w:r>
      <w:r>
        <w:rPr>
          <w:i/>
          <w:sz w:val="20"/>
        </w:rPr>
        <w:t>Overseas v. RATKA</w:t>
      </w:r>
      <w:r>
        <w:rPr>
          <w:sz w:val="20"/>
        </w:rPr>
        <w:t>)</w:t>
      </w:r>
      <w:r>
        <w:rPr>
          <w:i/>
          <w:sz w:val="20"/>
        </w:rPr>
        <w:t xml:space="preserve"> </w:t>
      </w:r>
    </w:p>
    <w:p w14:paraId="5383C2D0" w14:textId="2596F9C7" w:rsidR="004C7074" w:rsidRDefault="004C7074" w:rsidP="006D5532">
      <w:pPr>
        <w:pStyle w:val="ListParagraph"/>
        <w:numPr>
          <w:ilvl w:val="1"/>
          <w:numId w:val="9"/>
        </w:numPr>
        <w:rPr>
          <w:sz w:val="20"/>
        </w:rPr>
      </w:pPr>
      <w:r>
        <w:rPr>
          <w:sz w:val="20"/>
        </w:rPr>
        <w:t>If the substantive law under which the judgement was reached is repugnant to U.S. law, the policy exception may be invoked (</w:t>
      </w:r>
      <w:proofErr w:type="spellStart"/>
      <w:r>
        <w:rPr>
          <w:i/>
          <w:sz w:val="20"/>
        </w:rPr>
        <w:t>Matusevitch</w:t>
      </w:r>
      <w:proofErr w:type="spellEnd"/>
      <w:r>
        <w:rPr>
          <w:i/>
          <w:sz w:val="20"/>
        </w:rPr>
        <w:t xml:space="preserve"> v. </w:t>
      </w:r>
      <w:proofErr w:type="spellStart"/>
      <w:r>
        <w:rPr>
          <w:i/>
          <w:sz w:val="20"/>
        </w:rPr>
        <w:t>Telnikoff</w:t>
      </w:r>
      <w:proofErr w:type="spellEnd"/>
      <w:r>
        <w:rPr>
          <w:i/>
          <w:sz w:val="20"/>
        </w:rPr>
        <w:t xml:space="preserve"> </w:t>
      </w:r>
      <w:r>
        <w:rPr>
          <w:sz w:val="20"/>
        </w:rPr>
        <w:t>– contradictory libel standards)</w:t>
      </w:r>
    </w:p>
    <w:p w14:paraId="5222A82E" w14:textId="2A4709EF" w:rsidR="004C7074" w:rsidRDefault="004C7074" w:rsidP="006D5532">
      <w:pPr>
        <w:pStyle w:val="ListParagraph"/>
        <w:numPr>
          <w:ilvl w:val="2"/>
          <w:numId w:val="9"/>
        </w:numPr>
        <w:rPr>
          <w:sz w:val="20"/>
        </w:rPr>
      </w:pPr>
      <w:r>
        <w:rPr>
          <w:sz w:val="20"/>
        </w:rPr>
        <w:t xml:space="preserve">This is </w:t>
      </w:r>
      <w:r>
        <w:rPr>
          <w:i/>
          <w:sz w:val="20"/>
        </w:rPr>
        <w:t xml:space="preserve">one </w:t>
      </w:r>
      <w:r>
        <w:rPr>
          <w:sz w:val="20"/>
        </w:rPr>
        <w:t>approach. Another could argue that principles of comity</w:t>
      </w:r>
      <w:r w:rsidR="004D1F78">
        <w:rPr>
          <w:sz w:val="20"/>
        </w:rPr>
        <w:t xml:space="preserve"> and reciprocity</w:t>
      </w:r>
      <w:r>
        <w:rPr>
          <w:sz w:val="20"/>
        </w:rPr>
        <w:t xml:space="preserve"> should render differences in substantive law irrelevant</w:t>
      </w:r>
      <w:r w:rsidR="004D1F78">
        <w:rPr>
          <w:sz w:val="20"/>
        </w:rPr>
        <w:t xml:space="preserve">, a la </w:t>
      </w:r>
      <w:r w:rsidR="004D1F78">
        <w:rPr>
          <w:i/>
          <w:sz w:val="20"/>
        </w:rPr>
        <w:t>Overseas</w:t>
      </w:r>
    </w:p>
    <w:p w14:paraId="2BF904BC" w14:textId="700BDEF5" w:rsidR="004C7074" w:rsidRDefault="004C7074" w:rsidP="006D5532">
      <w:pPr>
        <w:pStyle w:val="ListParagraph"/>
        <w:numPr>
          <w:ilvl w:val="1"/>
          <w:numId w:val="9"/>
        </w:numPr>
        <w:rPr>
          <w:sz w:val="20"/>
        </w:rPr>
      </w:pPr>
      <w:r>
        <w:rPr>
          <w:sz w:val="20"/>
        </w:rPr>
        <w:t>However, courts will not re-try issues found in foreign courts (</w:t>
      </w:r>
      <w:r>
        <w:rPr>
          <w:i/>
          <w:sz w:val="20"/>
        </w:rPr>
        <w:t xml:space="preserve">Lloyd’s v. </w:t>
      </w:r>
      <w:proofErr w:type="spellStart"/>
      <w:r>
        <w:rPr>
          <w:i/>
          <w:sz w:val="20"/>
        </w:rPr>
        <w:t>Siemon-Netto</w:t>
      </w:r>
      <w:proofErr w:type="spellEnd"/>
      <w:r>
        <w:rPr>
          <w:sz w:val="20"/>
        </w:rPr>
        <w:t xml:space="preserve"> – breach of contract finding would not be overturned on public policy grounds)</w:t>
      </w:r>
    </w:p>
    <w:p w14:paraId="0228B4C0" w14:textId="7ADED33E" w:rsidR="004D1F78" w:rsidRDefault="004D1F78" w:rsidP="006D5532">
      <w:pPr>
        <w:pStyle w:val="ListParagraph"/>
        <w:numPr>
          <w:ilvl w:val="2"/>
          <w:numId w:val="9"/>
        </w:numPr>
        <w:rPr>
          <w:sz w:val="20"/>
        </w:rPr>
      </w:pPr>
      <w:r>
        <w:rPr>
          <w:sz w:val="20"/>
        </w:rPr>
        <w:t xml:space="preserve">Re-emphasized in </w:t>
      </w:r>
      <w:r>
        <w:rPr>
          <w:i/>
          <w:sz w:val="20"/>
        </w:rPr>
        <w:t>Overseas</w:t>
      </w:r>
      <w:r>
        <w:rPr>
          <w:sz w:val="20"/>
        </w:rPr>
        <w:t xml:space="preserve"> where arbitral body’s incompetence was alleged</w:t>
      </w:r>
    </w:p>
    <w:p w14:paraId="337446A7" w14:textId="575364E4" w:rsidR="00FF602B" w:rsidRDefault="00FF602B" w:rsidP="00FF602B">
      <w:pPr>
        <w:pStyle w:val="Heading4"/>
        <w:rPr>
          <w:sz w:val="20"/>
        </w:rPr>
      </w:pPr>
      <w:r>
        <w:rPr>
          <w:sz w:val="20"/>
        </w:rPr>
        <w:lastRenderedPageBreak/>
        <w:t>State Defenses to Lawsuits</w:t>
      </w:r>
    </w:p>
    <w:p w14:paraId="71FB78BA" w14:textId="2C248245" w:rsidR="00FF602B" w:rsidRPr="00C7301E" w:rsidRDefault="007F0A11" w:rsidP="006D5532">
      <w:pPr>
        <w:pStyle w:val="ListParagraph"/>
        <w:numPr>
          <w:ilvl w:val="0"/>
          <w:numId w:val="10"/>
        </w:numPr>
      </w:pPr>
      <w:r>
        <w:rPr>
          <w:sz w:val="20"/>
        </w:rPr>
        <w:t xml:space="preserve">Sovereign immunity is an almost complete bar to suit, even in violations of </w:t>
      </w:r>
      <w:r>
        <w:rPr>
          <w:i/>
          <w:sz w:val="20"/>
        </w:rPr>
        <w:t xml:space="preserve">jus </w:t>
      </w:r>
      <w:proofErr w:type="spellStart"/>
      <w:r>
        <w:rPr>
          <w:i/>
          <w:sz w:val="20"/>
        </w:rPr>
        <w:t>cogens</w:t>
      </w:r>
      <w:proofErr w:type="spellEnd"/>
      <w:r>
        <w:rPr>
          <w:i/>
          <w:sz w:val="20"/>
        </w:rPr>
        <w:t xml:space="preserve"> </w:t>
      </w:r>
      <w:r>
        <w:rPr>
          <w:sz w:val="20"/>
        </w:rPr>
        <w:t>norms</w:t>
      </w:r>
    </w:p>
    <w:p w14:paraId="2EFD0809" w14:textId="6F71B9C8" w:rsidR="00C7301E" w:rsidRPr="0013011C" w:rsidRDefault="00C7301E" w:rsidP="006D5532">
      <w:pPr>
        <w:pStyle w:val="ListParagraph"/>
        <w:numPr>
          <w:ilvl w:val="1"/>
          <w:numId w:val="10"/>
        </w:numPr>
      </w:pPr>
      <w:r>
        <w:rPr>
          <w:sz w:val="20"/>
        </w:rPr>
        <w:t>Under the Tate Letter, the State Department will not recommend immunity if a case involves the commercial acts of a foreign government which could have been carried out by private parties</w:t>
      </w:r>
    </w:p>
    <w:p w14:paraId="1D97CB47" w14:textId="635E3237" w:rsidR="0013011C" w:rsidRPr="00C472DC" w:rsidRDefault="0013011C" w:rsidP="006D5532">
      <w:pPr>
        <w:pStyle w:val="ListParagraph"/>
        <w:numPr>
          <w:ilvl w:val="2"/>
          <w:numId w:val="10"/>
        </w:numPr>
      </w:pPr>
      <w:r>
        <w:rPr>
          <w:sz w:val="20"/>
        </w:rPr>
        <w:t>Why is this theory of restrictive immunity superior to absolute immunity?</w:t>
      </w:r>
    </w:p>
    <w:p w14:paraId="133E851B" w14:textId="77777777" w:rsidR="00C472DC" w:rsidRPr="00C472DC" w:rsidRDefault="00C472DC" w:rsidP="006D5532">
      <w:pPr>
        <w:pStyle w:val="ListParagraph"/>
        <w:numPr>
          <w:ilvl w:val="0"/>
          <w:numId w:val="10"/>
        </w:numPr>
      </w:pPr>
      <w:r>
        <w:rPr>
          <w:sz w:val="20"/>
        </w:rPr>
        <w:t>Under the Foreign Sovereign Immunities Act (FSIA), a foreign state (or separate legal entities that are “organs”  of the foreign state or have the foreign state as its majority shareholder) may be sued in U.S. courts</w:t>
      </w:r>
    </w:p>
    <w:p w14:paraId="76245ABA" w14:textId="77777777" w:rsidR="00C472DC" w:rsidRPr="00C472DC" w:rsidRDefault="00C472DC" w:rsidP="006D5532">
      <w:pPr>
        <w:pStyle w:val="ListParagraph"/>
        <w:numPr>
          <w:ilvl w:val="1"/>
          <w:numId w:val="10"/>
        </w:numPr>
      </w:pPr>
      <w:r>
        <w:rPr>
          <w:sz w:val="20"/>
        </w:rPr>
        <w:t>The starting point of determine whether an agency is an “organ” is whether the entity engages in public activity on the foreign government’s behalf</w:t>
      </w:r>
    </w:p>
    <w:p w14:paraId="7933CF30" w14:textId="77777777" w:rsidR="00C472DC" w:rsidRPr="00C472DC" w:rsidRDefault="00C472DC" w:rsidP="006D5532">
      <w:pPr>
        <w:pStyle w:val="ListParagraph"/>
        <w:numPr>
          <w:ilvl w:val="1"/>
          <w:numId w:val="10"/>
        </w:numPr>
      </w:pPr>
      <w:r>
        <w:rPr>
          <w:sz w:val="20"/>
        </w:rPr>
        <w:t>The foreign government must be a direct majority shareholder for FSIA jurisdiction (</w:t>
      </w:r>
      <w:r>
        <w:rPr>
          <w:i/>
          <w:sz w:val="20"/>
        </w:rPr>
        <w:t xml:space="preserve">Dole Food v. </w:t>
      </w:r>
      <w:proofErr w:type="spellStart"/>
      <w:r>
        <w:rPr>
          <w:i/>
          <w:sz w:val="20"/>
        </w:rPr>
        <w:t>Patrickson</w:t>
      </w:r>
      <w:proofErr w:type="spellEnd"/>
      <w:r>
        <w:rPr>
          <w:sz w:val="20"/>
        </w:rPr>
        <w:t>)</w:t>
      </w:r>
    </w:p>
    <w:p w14:paraId="7C1BD9EC" w14:textId="77777777" w:rsidR="00C472DC" w:rsidRPr="00C472DC" w:rsidRDefault="00C472DC" w:rsidP="006D5532">
      <w:pPr>
        <w:pStyle w:val="ListParagraph"/>
        <w:numPr>
          <w:ilvl w:val="1"/>
          <w:numId w:val="10"/>
        </w:numPr>
      </w:pPr>
      <w:r>
        <w:rPr>
          <w:sz w:val="20"/>
        </w:rPr>
        <w:t>There remains a presumption of separateness; showing an instrumentality performed some illegal act is insufficient</w:t>
      </w:r>
    </w:p>
    <w:p w14:paraId="4DDAB119" w14:textId="77777777" w:rsidR="00C472DC" w:rsidRPr="00C472DC" w:rsidRDefault="00C472DC" w:rsidP="006D5532">
      <w:pPr>
        <w:pStyle w:val="ListParagraph"/>
        <w:numPr>
          <w:ilvl w:val="1"/>
          <w:numId w:val="10"/>
        </w:numPr>
      </w:pPr>
      <w:r>
        <w:rPr>
          <w:sz w:val="20"/>
        </w:rPr>
        <w:t xml:space="preserve">A foreign state is subject to U.S. jurisdiction if: </w:t>
      </w:r>
    </w:p>
    <w:p w14:paraId="71DFB6F8" w14:textId="36A041AB" w:rsidR="0013011C" w:rsidRPr="00C472DC" w:rsidRDefault="00C472DC" w:rsidP="006D5532">
      <w:pPr>
        <w:pStyle w:val="ListParagraph"/>
        <w:numPr>
          <w:ilvl w:val="2"/>
          <w:numId w:val="10"/>
        </w:numPr>
      </w:pPr>
      <w:r>
        <w:rPr>
          <w:sz w:val="20"/>
        </w:rPr>
        <w:t>It has expressly (or impliedly) waived its immunity through treaty or contract</w:t>
      </w:r>
    </w:p>
    <w:p w14:paraId="31DFA4E7" w14:textId="7F386999" w:rsidR="00C472DC" w:rsidRPr="0013011C" w:rsidRDefault="00C472DC" w:rsidP="006D5532">
      <w:pPr>
        <w:pStyle w:val="ListParagraph"/>
        <w:numPr>
          <w:ilvl w:val="2"/>
          <w:numId w:val="10"/>
        </w:numPr>
      </w:pPr>
      <w:r>
        <w:rPr>
          <w:sz w:val="20"/>
        </w:rPr>
        <w:t>Its action is based upon a commercial activity with a direct effect in the U.S.</w:t>
      </w:r>
      <w:r w:rsidR="00A34B3F">
        <w:rPr>
          <w:sz w:val="20"/>
        </w:rPr>
        <w:t xml:space="preserve"> </w:t>
      </w:r>
      <w:r>
        <w:rPr>
          <w:sz w:val="20"/>
        </w:rPr>
        <w:t>(</w:t>
      </w:r>
      <w:r>
        <w:rPr>
          <w:i/>
          <w:sz w:val="20"/>
        </w:rPr>
        <w:t xml:space="preserve">Argentina v. </w:t>
      </w:r>
      <w:proofErr w:type="spellStart"/>
      <w:r>
        <w:rPr>
          <w:i/>
          <w:sz w:val="20"/>
        </w:rPr>
        <w:t>Weltover</w:t>
      </w:r>
      <w:proofErr w:type="spellEnd"/>
      <w:r>
        <w:rPr>
          <w:sz w:val="20"/>
        </w:rPr>
        <w:t>)</w:t>
      </w:r>
    </w:p>
    <w:p w14:paraId="04D5CD0E" w14:textId="786BC8E3" w:rsidR="0013011C" w:rsidRPr="0013011C" w:rsidRDefault="0013011C" w:rsidP="006D5532">
      <w:pPr>
        <w:pStyle w:val="ListParagraph"/>
        <w:numPr>
          <w:ilvl w:val="3"/>
          <w:numId w:val="10"/>
        </w:numPr>
      </w:pPr>
      <w:r>
        <w:rPr>
          <w:sz w:val="20"/>
        </w:rPr>
        <w:t>When a foreign government acts, not as a regulator, but as a private player in a market, its actions are commercial under the FSIA</w:t>
      </w:r>
    </w:p>
    <w:p w14:paraId="396BD233" w14:textId="5A06AEEA" w:rsidR="0013011C" w:rsidRPr="00C472DC" w:rsidRDefault="0013011C" w:rsidP="006D5532">
      <w:pPr>
        <w:pStyle w:val="ListParagraph"/>
        <w:numPr>
          <w:ilvl w:val="3"/>
          <w:numId w:val="10"/>
        </w:numPr>
      </w:pPr>
      <w:r>
        <w:rPr>
          <w:sz w:val="20"/>
        </w:rPr>
        <w:t>An effect is direct if it follows as an immediate consequence</w:t>
      </w:r>
    </w:p>
    <w:p w14:paraId="4817DB11" w14:textId="34AA7CB2" w:rsidR="00C472DC" w:rsidRPr="00C472DC" w:rsidRDefault="00C472DC" w:rsidP="006D5532">
      <w:pPr>
        <w:pStyle w:val="ListParagraph"/>
        <w:numPr>
          <w:ilvl w:val="2"/>
          <w:numId w:val="10"/>
        </w:numPr>
      </w:pPr>
      <w:r>
        <w:rPr>
          <w:sz w:val="20"/>
        </w:rPr>
        <w:t>The foreign state commits an act of expropriation of tangible property with a nexus to American commercial activity</w:t>
      </w:r>
    </w:p>
    <w:p w14:paraId="5BC1CB8B" w14:textId="359B0C03" w:rsidR="00C472DC" w:rsidRPr="0013011C" w:rsidRDefault="00C472DC" w:rsidP="006D5532">
      <w:pPr>
        <w:pStyle w:val="ListParagraph"/>
        <w:numPr>
          <w:ilvl w:val="2"/>
          <w:numId w:val="10"/>
        </w:numPr>
      </w:pPr>
      <w:r>
        <w:rPr>
          <w:sz w:val="20"/>
        </w:rPr>
        <w:t>The state is a designated sponsor of terrorist activity</w:t>
      </w:r>
      <w:r w:rsidR="0013011C">
        <w:rPr>
          <w:sz w:val="20"/>
        </w:rPr>
        <w:t>, if the claimant or victim is a U.S. national</w:t>
      </w:r>
    </w:p>
    <w:p w14:paraId="18289B4C" w14:textId="09A7C8FA" w:rsidR="0013011C" w:rsidRPr="009B2D71" w:rsidRDefault="0013011C" w:rsidP="006D5532">
      <w:pPr>
        <w:pStyle w:val="ListParagraph"/>
        <w:numPr>
          <w:ilvl w:val="0"/>
          <w:numId w:val="10"/>
        </w:numPr>
      </w:pPr>
      <w:r>
        <w:rPr>
          <w:sz w:val="20"/>
        </w:rPr>
        <w:t>Under the Act of State doctrine, domestic courts generally decline to sit in judgement on the acts of a foreign government in that government’s territory</w:t>
      </w:r>
    </w:p>
    <w:p w14:paraId="7C2A942A" w14:textId="5CFE4FAF" w:rsidR="009B2D71" w:rsidRPr="009B2D71" w:rsidRDefault="009B2D71" w:rsidP="006D5532">
      <w:pPr>
        <w:pStyle w:val="ListParagraph"/>
        <w:numPr>
          <w:ilvl w:val="1"/>
          <w:numId w:val="10"/>
        </w:numPr>
      </w:pPr>
      <w:r>
        <w:rPr>
          <w:sz w:val="20"/>
        </w:rPr>
        <w:t>A major rationale for this rule is reciprocity</w:t>
      </w:r>
    </w:p>
    <w:p w14:paraId="07F120BC" w14:textId="32E7A826" w:rsidR="009B2D71" w:rsidRPr="0013011C" w:rsidRDefault="009B2D71" w:rsidP="006D5532">
      <w:pPr>
        <w:pStyle w:val="ListParagraph"/>
        <w:numPr>
          <w:ilvl w:val="1"/>
          <w:numId w:val="10"/>
        </w:numPr>
      </w:pPr>
      <w:r>
        <w:rPr>
          <w:sz w:val="20"/>
        </w:rPr>
        <w:t>For the act of state doctrine to apply, the act in question must be one of the government, not individuals within (</w:t>
      </w:r>
      <w:r>
        <w:rPr>
          <w:i/>
          <w:sz w:val="20"/>
        </w:rPr>
        <w:t>Kirkpatrick v. Environmental Tectonics</w:t>
      </w:r>
      <w:r>
        <w:rPr>
          <w:sz w:val="20"/>
        </w:rPr>
        <w:t xml:space="preserve"> – bribery)</w:t>
      </w:r>
      <w:r w:rsidRPr="009B2D71">
        <w:rPr>
          <w:sz w:val="20"/>
        </w:rPr>
        <w:t xml:space="preserve"> </w:t>
      </w:r>
    </w:p>
    <w:p w14:paraId="6D9E0B55" w14:textId="3D1B6F92" w:rsidR="00FF602B" w:rsidRPr="00FF602B" w:rsidRDefault="0013011C" w:rsidP="006D5532">
      <w:pPr>
        <w:pStyle w:val="ListParagraph"/>
        <w:numPr>
          <w:ilvl w:val="1"/>
          <w:numId w:val="10"/>
        </w:numPr>
      </w:pPr>
      <w:r>
        <w:rPr>
          <w:sz w:val="20"/>
        </w:rPr>
        <w:t xml:space="preserve">Customary </w:t>
      </w:r>
      <w:r w:rsidR="00524C00">
        <w:rPr>
          <w:sz w:val="20"/>
        </w:rPr>
        <w:t>int’l</w:t>
      </w:r>
      <w:r>
        <w:rPr>
          <w:sz w:val="20"/>
        </w:rPr>
        <w:t xml:space="preserve"> law does not seem to be a sufficient reason to disregard the act of state doctrine (</w:t>
      </w:r>
      <w:r>
        <w:rPr>
          <w:i/>
          <w:sz w:val="20"/>
        </w:rPr>
        <w:t xml:space="preserve">Banco Nacional de Cuba v. </w:t>
      </w:r>
      <w:proofErr w:type="spellStart"/>
      <w:r>
        <w:rPr>
          <w:i/>
          <w:sz w:val="20"/>
        </w:rPr>
        <w:t>Sabbatino</w:t>
      </w:r>
      <w:proofErr w:type="spellEnd"/>
      <w:r>
        <w:rPr>
          <w:sz w:val="20"/>
        </w:rPr>
        <w:t>)</w:t>
      </w:r>
    </w:p>
    <w:p w14:paraId="3231B642" w14:textId="281C627C" w:rsidR="00C55C81" w:rsidRDefault="00524C00" w:rsidP="00C55C81">
      <w:pPr>
        <w:pStyle w:val="Heading3"/>
      </w:pPr>
      <w:r>
        <w:t>Int’l</w:t>
      </w:r>
      <w:r w:rsidR="00C55C81">
        <w:t xml:space="preserve"> Trade </w:t>
      </w:r>
      <w:r w:rsidR="00A34B3F">
        <w:t xml:space="preserve">&amp; Investment </w:t>
      </w:r>
      <w:r w:rsidR="00C55C81">
        <w:t>Law</w:t>
      </w:r>
    </w:p>
    <w:p w14:paraId="70ED58F6" w14:textId="1248D5E8" w:rsidR="00071021" w:rsidRDefault="00071021" w:rsidP="00071021">
      <w:pPr>
        <w:pStyle w:val="ListParagraph"/>
        <w:numPr>
          <w:ilvl w:val="0"/>
          <w:numId w:val="13"/>
        </w:numPr>
        <w:rPr>
          <w:sz w:val="20"/>
          <w:szCs w:val="20"/>
        </w:rPr>
      </w:pPr>
      <w:r w:rsidRPr="00071021">
        <w:rPr>
          <w:sz w:val="20"/>
          <w:szCs w:val="20"/>
        </w:rPr>
        <w:t xml:space="preserve">Keep trade and investment regimes distinct. Be aware of differences in permitted actors, dispute resolution mechanisms, and </w:t>
      </w:r>
      <w:r w:rsidR="00E1196C">
        <w:rPr>
          <w:sz w:val="20"/>
          <w:szCs w:val="20"/>
        </w:rPr>
        <w:t>availability of damages/awards</w:t>
      </w:r>
    </w:p>
    <w:p w14:paraId="056517A5" w14:textId="4A5A6979" w:rsidR="00E1196C" w:rsidRPr="00071021" w:rsidRDefault="00E1196C" w:rsidP="00071021">
      <w:pPr>
        <w:pStyle w:val="ListParagraph"/>
        <w:numPr>
          <w:ilvl w:val="0"/>
          <w:numId w:val="13"/>
        </w:numPr>
        <w:rPr>
          <w:sz w:val="20"/>
          <w:szCs w:val="20"/>
        </w:rPr>
      </w:pPr>
      <w:r>
        <w:rPr>
          <w:sz w:val="20"/>
          <w:szCs w:val="20"/>
        </w:rPr>
        <w:t>Trade/investment law is amorphous and confusing. This is due to the lack of precedent and variability of judges and panels</w:t>
      </w:r>
    </w:p>
    <w:p w14:paraId="2600A4F6" w14:textId="2E6E96B6" w:rsidR="00AE53A2" w:rsidRPr="00AE53A2" w:rsidRDefault="00524C00" w:rsidP="00AE53A2">
      <w:pPr>
        <w:pStyle w:val="Heading4"/>
        <w:rPr>
          <w:sz w:val="20"/>
        </w:rPr>
      </w:pPr>
      <w:r>
        <w:rPr>
          <w:sz w:val="20"/>
        </w:rPr>
        <w:t>Int’l</w:t>
      </w:r>
      <w:r w:rsidR="00AE53A2" w:rsidRPr="00AE53A2">
        <w:rPr>
          <w:sz w:val="20"/>
        </w:rPr>
        <w:t xml:space="preserve"> Trade Regime</w:t>
      </w:r>
    </w:p>
    <w:p w14:paraId="0EB17A7A" w14:textId="417F991A" w:rsidR="009B2D71" w:rsidRPr="00D75C64" w:rsidRDefault="00D75C64" w:rsidP="006D5532">
      <w:pPr>
        <w:pStyle w:val="ListParagraph"/>
        <w:numPr>
          <w:ilvl w:val="0"/>
          <w:numId w:val="11"/>
        </w:numPr>
      </w:pPr>
      <w:r>
        <w:rPr>
          <w:sz w:val="20"/>
        </w:rPr>
        <w:t>The WTO governs global trade. The major agreement for the WTO is the General Agreement on Tariffs and Trade (GATT)</w:t>
      </w:r>
    </w:p>
    <w:p w14:paraId="57215795" w14:textId="3ED3A469" w:rsidR="00D75C64" w:rsidRPr="00D75C64" w:rsidRDefault="00D75C64" w:rsidP="006D5532">
      <w:pPr>
        <w:pStyle w:val="ListParagraph"/>
        <w:numPr>
          <w:ilvl w:val="0"/>
          <w:numId w:val="11"/>
        </w:numPr>
      </w:pPr>
      <w:r>
        <w:rPr>
          <w:sz w:val="20"/>
        </w:rPr>
        <w:t>Most-favored nation (MFN) clauses prohibit discrimination among trading partners (GATT Art. I)</w:t>
      </w:r>
    </w:p>
    <w:p w14:paraId="58571AC6" w14:textId="58706746" w:rsidR="00D75C64" w:rsidRPr="00AE53A2" w:rsidRDefault="00D75C64" w:rsidP="006D5532">
      <w:pPr>
        <w:pStyle w:val="ListParagraph"/>
        <w:numPr>
          <w:ilvl w:val="1"/>
          <w:numId w:val="11"/>
        </w:numPr>
      </w:pPr>
      <w:r>
        <w:rPr>
          <w:sz w:val="20"/>
        </w:rPr>
        <w:t>There is an exception for Free Trade Agreemen</w:t>
      </w:r>
      <w:r w:rsidR="00AE53A2">
        <w:rPr>
          <w:sz w:val="20"/>
        </w:rPr>
        <w:t xml:space="preserve">ts and customs unions </w:t>
      </w:r>
      <w:r w:rsidR="00845887">
        <w:rPr>
          <w:sz w:val="20"/>
        </w:rPr>
        <w:t xml:space="preserve">if a substantial part of all trade is included in the FTA </w:t>
      </w:r>
      <w:r w:rsidR="00AE53A2">
        <w:rPr>
          <w:sz w:val="20"/>
        </w:rPr>
        <w:t>(GATT Art. XXIV)</w:t>
      </w:r>
    </w:p>
    <w:p w14:paraId="1FA3CE98" w14:textId="3A8D4426" w:rsidR="00AE53A2" w:rsidRPr="00AE53A2" w:rsidRDefault="00AE53A2" w:rsidP="006D5532">
      <w:pPr>
        <w:pStyle w:val="ListParagraph"/>
        <w:numPr>
          <w:ilvl w:val="0"/>
          <w:numId w:val="11"/>
        </w:numPr>
      </w:pPr>
      <w:r>
        <w:rPr>
          <w:sz w:val="20"/>
        </w:rPr>
        <w:t>National treatment clauses prohibit treating imported goods and locally-produced goods differently (GATT Art. III §4)</w:t>
      </w:r>
    </w:p>
    <w:p w14:paraId="77C77981" w14:textId="587C2A10" w:rsidR="00AE53A2" w:rsidRPr="00AE53A2" w:rsidRDefault="00AE53A2" w:rsidP="006D5532">
      <w:pPr>
        <w:pStyle w:val="ListParagraph"/>
        <w:numPr>
          <w:ilvl w:val="1"/>
          <w:numId w:val="11"/>
        </w:numPr>
      </w:pPr>
      <w:r>
        <w:rPr>
          <w:sz w:val="20"/>
        </w:rPr>
        <w:t>National treatment only applies once the good has entered the country</w:t>
      </w:r>
    </w:p>
    <w:p w14:paraId="3B36E2BE" w14:textId="362E36FF" w:rsidR="00AE53A2" w:rsidRPr="008364BC" w:rsidRDefault="00AE53A2" w:rsidP="006D5532">
      <w:pPr>
        <w:pStyle w:val="ListParagraph"/>
        <w:numPr>
          <w:ilvl w:val="0"/>
          <w:numId w:val="11"/>
        </w:numPr>
      </w:pPr>
      <w:r>
        <w:rPr>
          <w:sz w:val="20"/>
        </w:rPr>
        <w:lastRenderedPageBreak/>
        <w:t>Both MFN and National treatment clauses are subject to a series of exceptions. The most common is measures to protect human, plant or animal life and health (GATT Art. XX)</w:t>
      </w:r>
    </w:p>
    <w:p w14:paraId="2C2ABD1C" w14:textId="421AE2C7" w:rsidR="008364BC" w:rsidRPr="008364BC" w:rsidRDefault="008364BC" w:rsidP="006D5532">
      <w:pPr>
        <w:pStyle w:val="ListParagraph"/>
        <w:numPr>
          <w:ilvl w:val="1"/>
          <w:numId w:val="11"/>
        </w:numPr>
      </w:pPr>
      <w:r>
        <w:rPr>
          <w:sz w:val="20"/>
        </w:rPr>
        <w:t xml:space="preserve">Both clauses only apply to “like” products. In the </w:t>
      </w:r>
      <w:r w:rsidR="00845887">
        <w:rPr>
          <w:i/>
          <w:sz w:val="20"/>
        </w:rPr>
        <w:t xml:space="preserve">EC – </w:t>
      </w:r>
      <w:r>
        <w:rPr>
          <w:i/>
          <w:sz w:val="20"/>
        </w:rPr>
        <w:t xml:space="preserve">Asbestos </w:t>
      </w:r>
      <w:r>
        <w:rPr>
          <w:sz w:val="20"/>
        </w:rPr>
        <w:t xml:space="preserve">case, the WTO appellate body delineated four criteria to examine likeness: 1) Product properties, nature and qualities, 2) Product end-uses, 3) Consumers’ tastes and habits and 4) Product tariff classifications. </w:t>
      </w:r>
    </w:p>
    <w:p w14:paraId="7BFF9594" w14:textId="7EA5AA11" w:rsidR="008364BC" w:rsidRPr="002D433C" w:rsidRDefault="008364BC" w:rsidP="006D5532">
      <w:pPr>
        <w:pStyle w:val="ListParagraph"/>
        <w:numPr>
          <w:ilvl w:val="2"/>
          <w:numId w:val="11"/>
        </w:numPr>
      </w:pPr>
      <w:r>
        <w:rPr>
          <w:sz w:val="20"/>
        </w:rPr>
        <w:t>These criteria must be examined separately and distinctly</w:t>
      </w:r>
    </w:p>
    <w:p w14:paraId="1903B323" w14:textId="28F56A9D" w:rsidR="002D433C" w:rsidRPr="002D433C" w:rsidRDefault="002D433C" w:rsidP="006D5532">
      <w:pPr>
        <w:pStyle w:val="ListParagraph"/>
        <w:numPr>
          <w:ilvl w:val="1"/>
          <w:numId w:val="11"/>
        </w:numPr>
      </w:pPr>
      <w:r>
        <w:rPr>
          <w:sz w:val="20"/>
        </w:rPr>
        <w:t>The public health exception may only be invoked if the restriction used is the least restrictive necessary to achieve the stated policy objective</w:t>
      </w:r>
    </w:p>
    <w:p w14:paraId="711732F9" w14:textId="40EAED03" w:rsidR="002D433C" w:rsidRPr="00AE53A2" w:rsidRDefault="002D433C" w:rsidP="006D5532">
      <w:pPr>
        <w:pStyle w:val="ListParagraph"/>
        <w:numPr>
          <w:ilvl w:val="1"/>
          <w:numId w:val="11"/>
        </w:numPr>
      </w:pPr>
      <w:r>
        <w:rPr>
          <w:sz w:val="20"/>
        </w:rPr>
        <w:t>GATT generally applies only to goods; services are exempted from MFN and National treatment</w:t>
      </w:r>
    </w:p>
    <w:p w14:paraId="1F8B156F" w14:textId="6D7B3981" w:rsidR="00AE53A2" w:rsidRPr="00AE53A2" w:rsidRDefault="00524C00" w:rsidP="00AE53A2">
      <w:pPr>
        <w:pStyle w:val="Heading4"/>
        <w:rPr>
          <w:sz w:val="20"/>
        </w:rPr>
      </w:pPr>
      <w:r>
        <w:rPr>
          <w:sz w:val="20"/>
        </w:rPr>
        <w:t>Int’l</w:t>
      </w:r>
      <w:r w:rsidR="00AE53A2" w:rsidRPr="00AE53A2">
        <w:rPr>
          <w:sz w:val="20"/>
        </w:rPr>
        <w:t xml:space="preserve"> Investment Regime</w:t>
      </w:r>
    </w:p>
    <w:p w14:paraId="519E8D77" w14:textId="13362230" w:rsidR="00E1196C" w:rsidRPr="00E1196C" w:rsidRDefault="00E1196C" w:rsidP="006D5532">
      <w:pPr>
        <w:pStyle w:val="ListParagraph"/>
        <w:numPr>
          <w:ilvl w:val="0"/>
          <w:numId w:val="12"/>
        </w:numPr>
      </w:pPr>
      <w:r>
        <w:rPr>
          <w:sz w:val="20"/>
        </w:rPr>
        <w:t>Four regimes were discussed in class: 1) Goods = GATT, 2) Investments = BIT, 3) IP = TRIPS and 4) Government (technical) regulations = TBT</w:t>
      </w:r>
    </w:p>
    <w:p w14:paraId="41A2C716" w14:textId="06245754" w:rsidR="00AE53A2" w:rsidRPr="00AE53A2" w:rsidRDefault="00AE53A2" w:rsidP="006D5532">
      <w:pPr>
        <w:pStyle w:val="ListParagraph"/>
        <w:numPr>
          <w:ilvl w:val="0"/>
          <w:numId w:val="12"/>
        </w:numPr>
      </w:pPr>
      <w:r>
        <w:rPr>
          <w:sz w:val="20"/>
        </w:rPr>
        <w:t>Private parties may get standing to sue governments through a bilateral investment treaty (BIT)</w:t>
      </w:r>
    </w:p>
    <w:p w14:paraId="1CBC7D6C" w14:textId="4BAC3C86" w:rsidR="00AE53A2" w:rsidRPr="00E1196C" w:rsidRDefault="009D4BF9" w:rsidP="006D5532">
      <w:pPr>
        <w:pStyle w:val="ListParagraph"/>
        <w:numPr>
          <w:ilvl w:val="0"/>
          <w:numId w:val="12"/>
        </w:numPr>
      </w:pPr>
      <w:r>
        <w:rPr>
          <w:sz w:val="20"/>
        </w:rPr>
        <w:t>Most BITs have MFN and National treatment clauses similar to GATT</w:t>
      </w:r>
    </w:p>
    <w:p w14:paraId="1CA5F309" w14:textId="51F225BC" w:rsidR="00E1196C" w:rsidRPr="009D4BF9" w:rsidRDefault="00E1196C" w:rsidP="00E1196C">
      <w:pPr>
        <w:pStyle w:val="ListParagraph"/>
        <w:numPr>
          <w:ilvl w:val="1"/>
          <w:numId w:val="12"/>
        </w:numPr>
      </w:pPr>
      <w:r>
        <w:rPr>
          <w:sz w:val="20"/>
        </w:rPr>
        <w:t>Complaints of unequal national treatment may be brought under a disparate impact theory</w:t>
      </w:r>
    </w:p>
    <w:p w14:paraId="299AC130" w14:textId="54BB0091" w:rsidR="009D4BF9" w:rsidRPr="009D4BF9" w:rsidRDefault="009D4BF9" w:rsidP="006D5532">
      <w:pPr>
        <w:pStyle w:val="ListParagraph"/>
        <w:numPr>
          <w:ilvl w:val="0"/>
          <w:numId w:val="12"/>
        </w:numPr>
      </w:pPr>
      <w:r>
        <w:rPr>
          <w:sz w:val="20"/>
        </w:rPr>
        <w:t>Both China and the U.S. have a complex procedure for FDI approval</w:t>
      </w:r>
    </w:p>
    <w:p w14:paraId="30F2267B" w14:textId="335D54C2" w:rsidR="009D4BF9" w:rsidRPr="009D4BF9" w:rsidRDefault="009D4BF9" w:rsidP="006D5532">
      <w:pPr>
        <w:pStyle w:val="ListParagraph"/>
        <w:numPr>
          <w:ilvl w:val="1"/>
          <w:numId w:val="12"/>
        </w:numPr>
      </w:pPr>
      <w:r>
        <w:rPr>
          <w:sz w:val="20"/>
        </w:rPr>
        <w:t>The U.S.’s CFIUS reviews potential issues relating to national security or that results in a foreign state controlling a U.S. company</w:t>
      </w:r>
    </w:p>
    <w:p w14:paraId="7F8BDAFF" w14:textId="1A479DDC" w:rsidR="009D4BF9" w:rsidRPr="009D4BF9" w:rsidRDefault="009D4BF9" w:rsidP="006D5532">
      <w:pPr>
        <w:pStyle w:val="ListParagraph"/>
        <w:numPr>
          <w:ilvl w:val="2"/>
          <w:numId w:val="12"/>
        </w:numPr>
      </w:pPr>
      <w:r>
        <w:rPr>
          <w:sz w:val="20"/>
        </w:rPr>
        <w:t>Most companies do not go through with a CFIUS review, due to the negative publicity associated with an investigation</w:t>
      </w:r>
    </w:p>
    <w:p w14:paraId="1E897484" w14:textId="571CCBA4" w:rsidR="009D4BF9" w:rsidRPr="002D433C" w:rsidRDefault="009D4BF9" w:rsidP="006D5532">
      <w:pPr>
        <w:pStyle w:val="ListParagraph"/>
        <w:numPr>
          <w:ilvl w:val="2"/>
          <w:numId w:val="12"/>
        </w:numPr>
      </w:pPr>
      <w:r>
        <w:rPr>
          <w:sz w:val="20"/>
        </w:rPr>
        <w:t>Purchase of one private corporation by another is usually (but not always) approved</w:t>
      </w:r>
    </w:p>
    <w:p w14:paraId="0E643625" w14:textId="15B350C6" w:rsidR="002D433C" w:rsidRPr="002D433C" w:rsidRDefault="002D433C" w:rsidP="006D5532">
      <w:pPr>
        <w:pStyle w:val="ListParagraph"/>
        <w:numPr>
          <w:ilvl w:val="2"/>
          <w:numId w:val="12"/>
        </w:numPr>
      </w:pPr>
      <w:r>
        <w:rPr>
          <w:sz w:val="20"/>
        </w:rPr>
        <w:t>The President makes ultimate decisions that may or may not reflect CFIUS recommendations. Presidential decisions are not subject to judicial review</w:t>
      </w:r>
    </w:p>
    <w:p w14:paraId="5C3591C7" w14:textId="165F187D" w:rsidR="002D433C" w:rsidRPr="004C1305" w:rsidRDefault="002D433C" w:rsidP="006D5532">
      <w:pPr>
        <w:pStyle w:val="ListParagraph"/>
        <w:numPr>
          <w:ilvl w:val="2"/>
          <w:numId w:val="12"/>
        </w:numPr>
      </w:pPr>
      <w:r>
        <w:rPr>
          <w:sz w:val="20"/>
        </w:rPr>
        <w:t>May be seen as highly political and discretionary (arbitrary) by foreigners</w:t>
      </w:r>
    </w:p>
    <w:p w14:paraId="593B43CF" w14:textId="07A0ECA8" w:rsidR="004C1305" w:rsidRPr="00400718" w:rsidRDefault="004C1305" w:rsidP="006D5532">
      <w:pPr>
        <w:pStyle w:val="ListParagraph"/>
        <w:numPr>
          <w:ilvl w:val="1"/>
          <w:numId w:val="12"/>
        </w:numPr>
      </w:pPr>
      <w:r>
        <w:rPr>
          <w:sz w:val="20"/>
        </w:rPr>
        <w:t xml:space="preserve">China publishes a list </w:t>
      </w:r>
      <w:r w:rsidR="00400718">
        <w:rPr>
          <w:sz w:val="20"/>
        </w:rPr>
        <w:t>of encouraged, restricted and prohibited categories of FDI</w:t>
      </w:r>
    </w:p>
    <w:p w14:paraId="63F04B52" w14:textId="418DD27E" w:rsidR="00400718" w:rsidRPr="00400718" w:rsidRDefault="00400718" w:rsidP="00400718">
      <w:pPr>
        <w:pStyle w:val="ListParagraph"/>
        <w:numPr>
          <w:ilvl w:val="2"/>
          <w:numId w:val="12"/>
        </w:numPr>
      </w:pPr>
      <w:r>
        <w:rPr>
          <w:sz w:val="20"/>
        </w:rPr>
        <w:t>Foreign investors may invest in any non-prohibited category after receiving approval from various levels of Chinese government, including anti-monopoly, national security, land-use, commerce, and local/prefecture government authorities</w:t>
      </w:r>
    </w:p>
    <w:p w14:paraId="6C84E68E" w14:textId="78D0FDD1" w:rsidR="00400718" w:rsidRPr="00071021" w:rsidRDefault="00400718" w:rsidP="00400718">
      <w:pPr>
        <w:pStyle w:val="ListParagraph"/>
        <w:numPr>
          <w:ilvl w:val="2"/>
          <w:numId w:val="12"/>
        </w:numPr>
      </w:pPr>
      <w:r>
        <w:rPr>
          <w:sz w:val="20"/>
        </w:rPr>
        <w:t>Appeals processes are available, but of little practical significance</w:t>
      </w:r>
    </w:p>
    <w:p w14:paraId="6FB1CE75" w14:textId="18771646" w:rsidR="00071021" w:rsidRPr="006A7437" w:rsidRDefault="00071021" w:rsidP="00071021">
      <w:pPr>
        <w:pStyle w:val="ListParagraph"/>
        <w:numPr>
          <w:ilvl w:val="0"/>
          <w:numId w:val="12"/>
        </w:numPr>
      </w:pPr>
      <w:r>
        <w:rPr>
          <w:sz w:val="20"/>
        </w:rPr>
        <w:t>TRIMS is a non-exclusive list of investment restrictions impermissible under GATT. These restrictions includ</w:t>
      </w:r>
      <w:r w:rsidR="006A7437">
        <w:rPr>
          <w:sz w:val="20"/>
        </w:rPr>
        <w:t>e local sourcing and trade-balancing requirements (imports must be related to volume of exports)</w:t>
      </w:r>
    </w:p>
    <w:p w14:paraId="2B9E28C3" w14:textId="3FAFB594" w:rsidR="006A7437" w:rsidRPr="00845887" w:rsidRDefault="006A7437" w:rsidP="006A7437">
      <w:pPr>
        <w:pStyle w:val="ListParagraph"/>
        <w:numPr>
          <w:ilvl w:val="1"/>
          <w:numId w:val="12"/>
        </w:numPr>
      </w:pPr>
      <w:r>
        <w:rPr>
          <w:sz w:val="20"/>
        </w:rPr>
        <w:t>Note that disputes concerning TRIMS violations are brought under the WTO, and thus can only be brought by nation-states, not individual investors</w:t>
      </w:r>
    </w:p>
    <w:p w14:paraId="6B36DDD8" w14:textId="76DA5CB8" w:rsidR="00845887" w:rsidRPr="00845887" w:rsidRDefault="00845887" w:rsidP="00845887">
      <w:pPr>
        <w:pStyle w:val="ListParagraph"/>
        <w:numPr>
          <w:ilvl w:val="2"/>
          <w:numId w:val="12"/>
        </w:numPr>
      </w:pPr>
      <w:r>
        <w:rPr>
          <w:sz w:val="20"/>
        </w:rPr>
        <w:t>Import quotas are quantitative restrictions, in violation of GATT Art. XI (</w:t>
      </w:r>
      <w:r>
        <w:rPr>
          <w:i/>
          <w:sz w:val="20"/>
        </w:rPr>
        <w:t>India – Autos</w:t>
      </w:r>
      <w:r>
        <w:rPr>
          <w:sz w:val="20"/>
        </w:rPr>
        <w:t>)</w:t>
      </w:r>
    </w:p>
    <w:p w14:paraId="3223E4F9" w14:textId="4AEEB102" w:rsidR="00845887" w:rsidRPr="00F85F08" w:rsidRDefault="00F85F08" w:rsidP="00845887">
      <w:pPr>
        <w:pStyle w:val="ListParagraph"/>
        <w:numPr>
          <w:ilvl w:val="0"/>
          <w:numId w:val="12"/>
        </w:numPr>
      </w:pPr>
      <w:r>
        <w:rPr>
          <w:sz w:val="20"/>
        </w:rPr>
        <w:t>NAFTA has similar investment protections for parties, and contains an Investor-State Dispute Settlement (ISDS) clause (NAFTA Art. 1116)</w:t>
      </w:r>
    </w:p>
    <w:p w14:paraId="34CFA2D1" w14:textId="01715E4A" w:rsidR="00E1196C" w:rsidRPr="00E1196C" w:rsidRDefault="00F85F08" w:rsidP="00E1196C">
      <w:pPr>
        <w:pStyle w:val="ListParagraph"/>
        <w:numPr>
          <w:ilvl w:val="1"/>
          <w:numId w:val="12"/>
        </w:numPr>
      </w:pPr>
      <w:r>
        <w:rPr>
          <w:sz w:val="20"/>
        </w:rPr>
        <w:t>States are required to give fair and equitable treatment to foreign investments. This requirement does not create additional, unlisted obligations (such as transparency) (</w:t>
      </w:r>
      <w:r>
        <w:rPr>
          <w:i/>
          <w:sz w:val="20"/>
        </w:rPr>
        <w:t>Mexico v. Metalclad</w:t>
      </w:r>
      <w:r>
        <w:rPr>
          <w:sz w:val="20"/>
        </w:rPr>
        <w:t>)</w:t>
      </w:r>
    </w:p>
    <w:p w14:paraId="753AFAC5" w14:textId="43A17B05" w:rsidR="00E1196C" w:rsidRPr="00E1196C" w:rsidRDefault="00E1196C" w:rsidP="00E1196C">
      <w:pPr>
        <w:pStyle w:val="ListParagraph"/>
        <w:numPr>
          <w:ilvl w:val="0"/>
          <w:numId w:val="12"/>
        </w:numPr>
      </w:pPr>
      <w:r>
        <w:rPr>
          <w:sz w:val="20"/>
        </w:rPr>
        <w:t>Under TBT Art. 2.2, technical regulations shall not be more trade-restrictive than necessary to achieve a legitimate objective</w:t>
      </w:r>
    </w:p>
    <w:p w14:paraId="24F9577E" w14:textId="4160B0E4" w:rsidR="00E1196C" w:rsidRPr="00E1196C" w:rsidRDefault="00E1196C" w:rsidP="00E1196C">
      <w:pPr>
        <w:pStyle w:val="ListParagraph"/>
        <w:numPr>
          <w:ilvl w:val="1"/>
          <w:numId w:val="12"/>
        </w:numPr>
      </w:pPr>
      <w:r>
        <w:rPr>
          <w:sz w:val="20"/>
        </w:rPr>
        <w:t xml:space="preserve">Might present sticky questions of “When is enough,” since not </w:t>
      </w:r>
      <w:r>
        <w:rPr>
          <w:i/>
          <w:sz w:val="20"/>
        </w:rPr>
        <w:t xml:space="preserve">every </w:t>
      </w:r>
      <w:r>
        <w:rPr>
          <w:sz w:val="20"/>
        </w:rPr>
        <w:t xml:space="preserve">measure other than an outright ban has been attempted </w:t>
      </w:r>
      <w:r>
        <w:rPr>
          <w:i/>
          <w:sz w:val="20"/>
        </w:rPr>
        <w:t xml:space="preserve">See Philip Morris Asia v. Australia </w:t>
      </w:r>
      <w:r>
        <w:rPr>
          <w:sz w:val="20"/>
        </w:rPr>
        <w:t>– tobacco plain packaging</w:t>
      </w:r>
    </w:p>
    <w:p w14:paraId="0D318FA7" w14:textId="3ABC2F76" w:rsidR="00E1196C" w:rsidRPr="00E8761D" w:rsidRDefault="00E1196C" w:rsidP="00E1196C">
      <w:pPr>
        <w:pStyle w:val="ListParagraph"/>
        <w:numPr>
          <w:ilvl w:val="2"/>
          <w:numId w:val="12"/>
        </w:numPr>
      </w:pPr>
      <w:r>
        <w:rPr>
          <w:sz w:val="20"/>
        </w:rPr>
        <w:t>Note again, that Philip Morris brought an action under the Hong Kong-Australia BIT, and Ukraine brought an action under GATT, TRIPS and the TBT</w:t>
      </w:r>
    </w:p>
    <w:p w14:paraId="79FBD2CF" w14:textId="7BBCF866" w:rsidR="00E8761D" w:rsidRPr="00E1196C" w:rsidRDefault="00E8761D" w:rsidP="00E8761D">
      <w:pPr>
        <w:pStyle w:val="ListParagraph"/>
        <w:numPr>
          <w:ilvl w:val="3"/>
          <w:numId w:val="12"/>
        </w:numPr>
      </w:pPr>
      <w:r>
        <w:rPr>
          <w:sz w:val="20"/>
        </w:rPr>
        <w:t xml:space="preserve">The BIT provides detailed damage calculations. If the value of the Philip Morris trademark was 0 (as Philip Morris claims) when the proposed legislation was announced, the damages would also be 0! </w:t>
      </w:r>
    </w:p>
    <w:p w14:paraId="7BEC7E74" w14:textId="38AE3B02" w:rsidR="00E1196C" w:rsidRPr="00E1196C" w:rsidRDefault="00E1196C" w:rsidP="00E1196C">
      <w:pPr>
        <w:pStyle w:val="ListParagraph"/>
        <w:numPr>
          <w:ilvl w:val="2"/>
          <w:numId w:val="12"/>
        </w:numPr>
      </w:pPr>
      <w:r>
        <w:rPr>
          <w:sz w:val="20"/>
        </w:rPr>
        <w:lastRenderedPageBreak/>
        <w:t xml:space="preserve">This case animates the debate over the wisdom of ISDS. Should private parties be able to force legislatures to repeal/change laws through </w:t>
      </w:r>
      <w:r w:rsidR="00524C00">
        <w:rPr>
          <w:sz w:val="20"/>
        </w:rPr>
        <w:t>int’l</w:t>
      </w:r>
      <w:r>
        <w:rPr>
          <w:sz w:val="20"/>
        </w:rPr>
        <w:t xml:space="preserve"> lawsuits? </w:t>
      </w:r>
    </w:p>
    <w:p w14:paraId="71C55C5C" w14:textId="6DC1EFB7" w:rsidR="00E1196C" w:rsidRPr="0043691F" w:rsidRDefault="0043691F" w:rsidP="00E1196C">
      <w:pPr>
        <w:pStyle w:val="ListParagraph"/>
        <w:numPr>
          <w:ilvl w:val="0"/>
          <w:numId w:val="12"/>
        </w:numPr>
      </w:pPr>
      <w:r>
        <w:rPr>
          <w:sz w:val="20"/>
        </w:rPr>
        <w:t>TRIPS claims that IP protections should contribute to innovation and technology transfer</w:t>
      </w:r>
    </w:p>
    <w:p w14:paraId="44163604" w14:textId="3321182B" w:rsidR="0043691F" w:rsidRPr="00132AD6" w:rsidRDefault="0043691F" w:rsidP="0043691F">
      <w:pPr>
        <w:pStyle w:val="ListParagraph"/>
        <w:numPr>
          <w:ilvl w:val="1"/>
          <w:numId w:val="12"/>
        </w:numPr>
      </w:pPr>
      <w:r>
        <w:rPr>
          <w:sz w:val="20"/>
        </w:rPr>
        <w:t>Under TRIPS, governments must ensure IP rights are enforceable, with infringement penalties that deter future violations</w:t>
      </w:r>
      <w:r w:rsidR="004F2EDF">
        <w:rPr>
          <w:sz w:val="20"/>
        </w:rPr>
        <w:t xml:space="preserve"> (TRIPS Art. 41)</w:t>
      </w:r>
    </w:p>
    <w:p w14:paraId="0E1E68A4" w14:textId="3F35CE8C" w:rsidR="00132AD6" w:rsidRPr="00132AD6" w:rsidRDefault="00132AD6" w:rsidP="00132AD6">
      <w:pPr>
        <w:pStyle w:val="ListParagraph"/>
        <w:numPr>
          <w:ilvl w:val="2"/>
          <w:numId w:val="12"/>
        </w:numPr>
      </w:pPr>
      <w:r>
        <w:rPr>
          <w:sz w:val="20"/>
        </w:rPr>
        <w:t>TRIPS encourages governments to create processes to deal with IP, without requiring specific results. As a result, China (for example) has the process, but questionable results</w:t>
      </w:r>
    </w:p>
    <w:p w14:paraId="67158254" w14:textId="48EFBB10" w:rsidR="00132AD6" w:rsidRPr="00132AD6" w:rsidRDefault="00132AD6" w:rsidP="00132AD6">
      <w:pPr>
        <w:pStyle w:val="ListParagraph"/>
        <w:numPr>
          <w:ilvl w:val="2"/>
          <w:numId w:val="12"/>
        </w:numPr>
      </w:pPr>
      <w:r>
        <w:rPr>
          <w:sz w:val="20"/>
        </w:rPr>
        <w:t xml:space="preserve">Proving violations is extremely difficult. Is China really doing the best it can to deter systemic IP theft? </w:t>
      </w:r>
    </w:p>
    <w:p w14:paraId="2FE825BD" w14:textId="0A6A0788" w:rsidR="00132AD6" w:rsidRPr="009B2D71" w:rsidRDefault="00132AD6" w:rsidP="00132AD6">
      <w:pPr>
        <w:pStyle w:val="ListParagraph"/>
        <w:numPr>
          <w:ilvl w:val="2"/>
          <w:numId w:val="12"/>
        </w:numPr>
      </w:pPr>
      <w:r>
        <w:rPr>
          <w:sz w:val="20"/>
        </w:rPr>
        <w:t xml:space="preserve">Because TRIPS is enforced locally (and not </w:t>
      </w:r>
      <w:proofErr w:type="spellStart"/>
      <w:r w:rsidR="00524C00">
        <w:rPr>
          <w:sz w:val="20"/>
        </w:rPr>
        <w:t>int’l</w:t>
      </w:r>
      <w:r>
        <w:rPr>
          <w:sz w:val="20"/>
        </w:rPr>
        <w:t>ly</w:t>
      </w:r>
      <w:proofErr w:type="spellEnd"/>
      <w:r>
        <w:rPr>
          <w:sz w:val="20"/>
        </w:rPr>
        <w:t>), it isn’t very effective</w:t>
      </w:r>
    </w:p>
    <w:p w14:paraId="5CD2EB3C" w14:textId="2D645E1F" w:rsidR="00C55C81" w:rsidRDefault="00C55C81" w:rsidP="00C55C81">
      <w:pPr>
        <w:pStyle w:val="Heading3"/>
      </w:pPr>
      <w:r>
        <w:t>Extraterritoriality</w:t>
      </w:r>
    </w:p>
    <w:p w14:paraId="035A4F93" w14:textId="3FBDC28B" w:rsidR="00E259AC" w:rsidRPr="00E259AC" w:rsidRDefault="00E259AC" w:rsidP="00E259AC">
      <w:pPr>
        <w:pStyle w:val="ListParagraph"/>
        <w:numPr>
          <w:ilvl w:val="0"/>
          <w:numId w:val="15"/>
        </w:numPr>
      </w:pPr>
      <w:r>
        <w:rPr>
          <w:sz w:val="20"/>
        </w:rPr>
        <w:t>Is a system where companies may be prosecuted for the same action in multiple countries simultaneously efficient? Desirable?</w:t>
      </w:r>
    </w:p>
    <w:p w14:paraId="6DDD1BF8" w14:textId="5686F240" w:rsidR="00E259AC" w:rsidRPr="00E259AC" w:rsidRDefault="00E259AC" w:rsidP="00E259AC">
      <w:pPr>
        <w:pStyle w:val="ListParagraph"/>
        <w:numPr>
          <w:ilvl w:val="1"/>
          <w:numId w:val="15"/>
        </w:numPr>
      </w:pPr>
      <w:r>
        <w:rPr>
          <w:sz w:val="20"/>
        </w:rPr>
        <w:t>Increases costs for multi-national corporations</w:t>
      </w:r>
    </w:p>
    <w:p w14:paraId="1690A544" w14:textId="3614596D" w:rsidR="00E259AC" w:rsidRPr="00E259AC" w:rsidRDefault="00E259AC" w:rsidP="00E259AC">
      <w:pPr>
        <w:pStyle w:val="ListParagraph"/>
        <w:numPr>
          <w:ilvl w:val="1"/>
          <w:numId w:val="15"/>
        </w:numPr>
      </w:pPr>
      <w:r>
        <w:rPr>
          <w:sz w:val="20"/>
        </w:rPr>
        <w:t xml:space="preserve">Is a system of multiple watchdogs that all define crimes differently more effective at reducing normatively “wrong” behavior? </w:t>
      </w:r>
    </w:p>
    <w:p w14:paraId="45B7803E" w14:textId="2BBF959A" w:rsidR="00E259AC" w:rsidRPr="00E259AC" w:rsidRDefault="00E259AC" w:rsidP="00E259AC">
      <w:pPr>
        <w:pStyle w:val="ListParagraph"/>
        <w:numPr>
          <w:ilvl w:val="1"/>
          <w:numId w:val="15"/>
        </w:numPr>
      </w:pPr>
      <w:r>
        <w:rPr>
          <w:sz w:val="20"/>
        </w:rPr>
        <w:t>Does extraterritoriality place some countries at an advantage, due to relative size and power?</w:t>
      </w:r>
    </w:p>
    <w:p w14:paraId="6FDB0EEE" w14:textId="37FFEE89" w:rsidR="00E259AC" w:rsidRPr="00E259AC" w:rsidRDefault="00E259AC" w:rsidP="00E259AC">
      <w:pPr>
        <w:pStyle w:val="ListParagraph"/>
        <w:numPr>
          <w:ilvl w:val="2"/>
          <w:numId w:val="15"/>
        </w:numPr>
      </w:pPr>
      <w:r>
        <w:rPr>
          <w:sz w:val="20"/>
        </w:rPr>
        <w:t>Can extraterritorial prosecutions become a form of protectionism?</w:t>
      </w:r>
    </w:p>
    <w:p w14:paraId="12087684" w14:textId="3B7870EA" w:rsidR="00E259AC" w:rsidRPr="00E259AC" w:rsidRDefault="00E259AC" w:rsidP="00E259AC">
      <w:pPr>
        <w:pStyle w:val="ListParagraph"/>
        <w:numPr>
          <w:ilvl w:val="1"/>
          <w:numId w:val="15"/>
        </w:numPr>
      </w:pPr>
      <w:r>
        <w:rPr>
          <w:sz w:val="20"/>
        </w:rPr>
        <w:t xml:space="preserve">At what point can countries regulate the actions of others beyond their own shores? </w:t>
      </w:r>
    </w:p>
    <w:p w14:paraId="4E9FC47F" w14:textId="1F230EA5" w:rsidR="001D2419" w:rsidRDefault="007E7D9A" w:rsidP="007E7D9A">
      <w:pPr>
        <w:pStyle w:val="Heading4"/>
        <w:rPr>
          <w:sz w:val="20"/>
        </w:rPr>
      </w:pPr>
      <w:r w:rsidRPr="007E7D9A">
        <w:rPr>
          <w:sz w:val="20"/>
        </w:rPr>
        <w:t>Bribery &amp; Corruption</w:t>
      </w:r>
    </w:p>
    <w:p w14:paraId="68D2B70D" w14:textId="1713914E" w:rsidR="007E7D9A" w:rsidRPr="007E7D9A" w:rsidRDefault="007E7D9A" w:rsidP="007E7D9A">
      <w:pPr>
        <w:pStyle w:val="ListParagraph"/>
        <w:numPr>
          <w:ilvl w:val="0"/>
          <w:numId w:val="14"/>
        </w:numPr>
      </w:pPr>
      <w:r>
        <w:rPr>
          <w:sz w:val="20"/>
        </w:rPr>
        <w:t>Does corruption inhibit growth, or does increased growth reduce corruption?</w:t>
      </w:r>
    </w:p>
    <w:p w14:paraId="1EF584D8" w14:textId="1D2D5ED8" w:rsidR="007E7D9A" w:rsidRPr="007E7D9A" w:rsidRDefault="007E7D9A" w:rsidP="007E7D9A">
      <w:pPr>
        <w:pStyle w:val="ListParagraph"/>
        <w:numPr>
          <w:ilvl w:val="0"/>
          <w:numId w:val="14"/>
        </w:numPr>
      </w:pPr>
      <w:r>
        <w:rPr>
          <w:sz w:val="20"/>
        </w:rPr>
        <w:t>Bribery may present problems of identifying cultural practices of another country as normatively wrong</w:t>
      </w:r>
    </w:p>
    <w:p w14:paraId="2DAE9240" w14:textId="709C43C8" w:rsidR="007E7D9A" w:rsidRPr="007E7D9A" w:rsidRDefault="007E7D9A" w:rsidP="007E7D9A">
      <w:pPr>
        <w:pStyle w:val="ListParagraph"/>
        <w:numPr>
          <w:ilvl w:val="1"/>
          <w:numId w:val="14"/>
        </w:numPr>
      </w:pPr>
      <w:r>
        <w:rPr>
          <w:sz w:val="20"/>
        </w:rPr>
        <w:t>How is the line drawn between legitimate practices (paying extra for express shipping, tipping waiters, taking company executives to sporting events) and bribery?</w:t>
      </w:r>
    </w:p>
    <w:p w14:paraId="64BA22A5" w14:textId="7BCDD45D" w:rsidR="007E7D9A" w:rsidRPr="007E7D9A" w:rsidRDefault="007E7D9A" w:rsidP="007E7D9A">
      <w:pPr>
        <w:pStyle w:val="ListParagraph"/>
        <w:numPr>
          <w:ilvl w:val="0"/>
          <w:numId w:val="14"/>
        </w:numPr>
      </w:pPr>
      <w:r>
        <w:rPr>
          <w:sz w:val="20"/>
        </w:rPr>
        <w:t>In the U.S., the FCPA criminalizes an action that a covered person (a domestic concern, or anyone acting in U.S. territory) takes in furtherance of a payment of anything of value to any foreign official corruptly for the purpose of influencing that person in order to obtain, retain, or direct business to any person</w:t>
      </w:r>
    </w:p>
    <w:p w14:paraId="2258E1EF" w14:textId="20C2FCDF" w:rsidR="007E7D9A" w:rsidRPr="00274C02" w:rsidRDefault="007E7D9A" w:rsidP="007E7D9A">
      <w:pPr>
        <w:pStyle w:val="ListParagraph"/>
        <w:numPr>
          <w:ilvl w:val="1"/>
          <w:numId w:val="14"/>
        </w:numPr>
      </w:pPr>
      <w:r>
        <w:rPr>
          <w:sz w:val="20"/>
        </w:rPr>
        <w:t>The FCPA contains exceptions for “grease payments” to government officials to perform routine governmental action</w:t>
      </w:r>
    </w:p>
    <w:p w14:paraId="1EE394E8" w14:textId="28DB8591" w:rsidR="00274C02" w:rsidRPr="00274C02" w:rsidRDefault="00274C02" w:rsidP="007E7D9A">
      <w:pPr>
        <w:pStyle w:val="ListParagraph"/>
        <w:numPr>
          <w:ilvl w:val="1"/>
          <w:numId w:val="14"/>
        </w:numPr>
      </w:pPr>
      <w:r>
        <w:rPr>
          <w:sz w:val="20"/>
        </w:rPr>
        <w:t>Another affirmative defense is that the payment at issue is legal under the written laws of the foreign official’s country</w:t>
      </w:r>
    </w:p>
    <w:p w14:paraId="089FC1A1" w14:textId="73D3E892" w:rsidR="00274C02" w:rsidRPr="00880E16" w:rsidRDefault="00274C02" w:rsidP="007E7D9A">
      <w:pPr>
        <w:pStyle w:val="ListParagraph"/>
        <w:numPr>
          <w:ilvl w:val="1"/>
          <w:numId w:val="14"/>
        </w:numPr>
      </w:pPr>
      <w:r>
        <w:rPr>
          <w:sz w:val="20"/>
        </w:rPr>
        <w:t>The FCPA requires reasonable assurance that accounting controls will prevent corrupt practices</w:t>
      </w:r>
    </w:p>
    <w:p w14:paraId="7460BFC5" w14:textId="71241EE2" w:rsidR="00880E16" w:rsidRPr="00880E16" w:rsidRDefault="00880E16" w:rsidP="007E7D9A">
      <w:pPr>
        <w:pStyle w:val="ListParagraph"/>
        <w:numPr>
          <w:ilvl w:val="1"/>
          <w:numId w:val="14"/>
        </w:numPr>
      </w:pPr>
      <w:r>
        <w:rPr>
          <w:sz w:val="20"/>
        </w:rPr>
        <w:t>A business nexus between bribes and favorable business treatment may be sufficient to constitute a violation of the FCPA (</w:t>
      </w:r>
      <w:r>
        <w:rPr>
          <w:i/>
          <w:sz w:val="20"/>
        </w:rPr>
        <w:t xml:space="preserve">United States v. Kay </w:t>
      </w:r>
      <w:r>
        <w:rPr>
          <w:sz w:val="20"/>
        </w:rPr>
        <w:t>– tax treatment from custom official)</w:t>
      </w:r>
    </w:p>
    <w:p w14:paraId="61AE55EA" w14:textId="75F8C16A" w:rsidR="00880E16" w:rsidRPr="00474CED" w:rsidRDefault="00880E16" w:rsidP="00880E16">
      <w:pPr>
        <w:pStyle w:val="ListParagraph"/>
        <w:numPr>
          <w:ilvl w:val="0"/>
          <w:numId w:val="14"/>
        </w:numPr>
      </w:pPr>
      <w:r>
        <w:rPr>
          <w:sz w:val="20"/>
        </w:rPr>
        <w:t>Although the OECD has an anti-bribery agreement, it does not create a cause of action, so countries may not sue for treaty violations. Domestic law that complies with the treaty is necessary</w:t>
      </w:r>
    </w:p>
    <w:p w14:paraId="6E378AF1" w14:textId="5308BF75" w:rsidR="00474CED" w:rsidRPr="00474CED" w:rsidRDefault="00474CED" w:rsidP="00474CED">
      <w:pPr>
        <w:pStyle w:val="ListParagraph"/>
        <w:numPr>
          <w:ilvl w:val="1"/>
          <w:numId w:val="14"/>
        </w:numPr>
      </w:pPr>
      <w:r>
        <w:rPr>
          <w:sz w:val="20"/>
        </w:rPr>
        <w:t xml:space="preserve">Why do countries like Russia and Brazil sign on to anti-corruption treaties? </w:t>
      </w:r>
    </w:p>
    <w:p w14:paraId="11A5DF92" w14:textId="4C9B3CB3" w:rsidR="00474CED" w:rsidRPr="00474CED" w:rsidRDefault="00474CED" w:rsidP="00474CED">
      <w:pPr>
        <w:pStyle w:val="ListParagraph"/>
        <w:numPr>
          <w:ilvl w:val="2"/>
          <w:numId w:val="14"/>
        </w:numPr>
      </w:pPr>
      <w:r>
        <w:rPr>
          <w:sz w:val="20"/>
        </w:rPr>
        <w:t>Cynical reasons include to take advantage of extradition provisions</w:t>
      </w:r>
    </w:p>
    <w:p w14:paraId="7A747D49" w14:textId="46245A9A" w:rsidR="00474CED" w:rsidRPr="00474CED" w:rsidRDefault="00474CED" w:rsidP="00474CED">
      <w:pPr>
        <w:pStyle w:val="ListParagraph"/>
        <w:numPr>
          <w:ilvl w:val="2"/>
          <w:numId w:val="14"/>
        </w:numPr>
      </w:pPr>
      <w:r>
        <w:rPr>
          <w:sz w:val="20"/>
        </w:rPr>
        <w:t>Self-interested reasons include not being left out in the cold, potential of being able to join the OECD, and signal good intentions to others</w:t>
      </w:r>
    </w:p>
    <w:p w14:paraId="7BB49E36" w14:textId="6C402F48" w:rsidR="00474CED" w:rsidRPr="00474CED" w:rsidRDefault="00474CED" w:rsidP="00474CED">
      <w:pPr>
        <w:pStyle w:val="ListParagraph"/>
        <w:numPr>
          <w:ilvl w:val="1"/>
          <w:numId w:val="14"/>
        </w:numPr>
      </w:pPr>
      <w:r>
        <w:rPr>
          <w:sz w:val="20"/>
        </w:rPr>
        <w:t>Is the OECD treaty effective, since its only enforcement mechanism is follow-up and monitoring?</w:t>
      </w:r>
    </w:p>
    <w:p w14:paraId="48351F8F" w14:textId="77777777" w:rsidR="00474CED" w:rsidRPr="00474CED" w:rsidRDefault="00474CED" w:rsidP="00474CED">
      <w:pPr>
        <w:pStyle w:val="ListParagraph"/>
        <w:numPr>
          <w:ilvl w:val="0"/>
          <w:numId w:val="14"/>
        </w:numPr>
      </w:pPr>
      <w:r w:rsidRPr="00474CED">
        <w:rPr>
          <w:sz w:val="20"/>
        </w:rPr>
        <w:t>The UK</w:t>
      </w:r>
      <w:r>
        <w:rPr>
          <w:sz w:val="20"/>
        </w:rPr>
        <w:t xml:space="preserve"> Bribery Act is much more far-reaching than the FCPA. It criminalizes: </w:t>
      </w:r>
    </w:p>
    <w:p w14:paraId="5B266D69" w14:textId="188B3BDA" w:rsidR="00474CED" w:rsidRDefault="00474CED" w:rsidP="00474CED">
      <w:pPr>
        <w:pStyle w:val="ListParagraph"/>
        <w:numPr>
          <w:ilvl w:val="1"/>
          <w:numId w:val="14"/>
        </w:numPr>
      </w:pPr>
      <w:r>
        <w:rPr>
          <w:sz w:val="20"/>
        </w:rPr>
        <w:t>Offering or promising an advantageous bribe to persuade another to perform a relevant function improperly or reward that person for doing so</w:t>
      </w:r>
      <w:r>
        <w:t xml:space="preserve"> </w:t>
      </w:r>
    </w:p>
    <w:p w14:paraId="50150C23" w14:textId="4D27A865" w:rsidR="00474CED" w:rsidRPr="00E259AC" w:rsidRDefault="00474CED" w:rsidP="00474CED">
      <w:pPr>
        <w:pStyle w:val="ListParagraph"/>
        <w:numPr>
          <w:ilvl w:val="1"/>
          <w:numId w:val="14"/>
        </w:numPr>
      </w:pPr>
      <w:r>
        <w:rPr>
          <w:sz w:val="20"/>
        </w:rPr>
        <w:t>Accepting a</w:t>
      </w:r>
      <w:r w:rsidR="00E259AC">
        <w:rPr>
          <w:sz w:val="20"/>
        </w:rPr>
        <w:t xml:space="preserve"> valuable bribe with the intent of performing a relevant function improperly</w:t>
      </w:r>
      <w:r>
        <w:rPr>
          <w:sz w:val="20"/>
        </w:rPr>
        <w:t xml:space="preserve">, regardless of whether </w:t>
      </w:r>
      <w:r w:rsidR="00E259AC">
        <w:rPr>
          <w:sz w:val="20"/>
        </w:rPr>
        <w:t>the function is actually improperly performed</w:t>
      </w:r>
    </w:p>
    <w:p w14:paraId="05741132" w14:textId="370CE717" w:rsidR="00E259AC" w:rsidRPr="00474CED" w:rsidRDefault="00E259AC" w:rsidP="00E259AC">
      <w:pPr>
        <w:pStyle w:val="ListParagraph"/>
        <w:numPr>
          <w:ilvl w:val="2"/>
          <w:numId w:val="14"/>
        </w:numPr>
      </w:pPr>
      <w:r>
        <w:rPr>
          <w:sz w:val="20"/>
        </w:rPr>
        <w:t>A defense is possible if the breach is approved in the jurisdiction’s written law</w:t>
      </w:r>
    </w:p>
    <w:p w14:paraId="527F67D1" w14:textId="2C9E8B02" w:rsidR="00474CED" w:rsidRPr="00474CED" w:rsidRDefault="00474CED" w:rsidP="00474CED">
      <w:pPr>
        <w:pStyle w:val="ListParagraph"/>
        <w:numPr>
          <w:ilvl w:val="1"/>
          <w:numId w:val="14"/>
        </w:numPr>
      </w:pPr>
      <w:r>
        <w:rPr>
          <w:sz w:val="20"/>
        </w:rPr>
        <w:lastRenderedPageBreak/>
        <w:t>A company’s failure to prevent bribery (strict liability)</w:t>
      </w:r>
    </w:p>
    <w:p w14:paraId="0D3AB5E3" w14:textId="4AF9459A" w:rsidR="00474CED" w:rsidRPr="00474CED" w:rsidRDefault="00474CED" w:rsidP="00474CED">
      <w:pPr>
        <w:pStyle w:val="ListParagraph"/>
        <w:numPr>
          <w:ilvl w:val="2"/>
          <w:numId w:val="14"/>
        </w:numPr>
      </w:pPr>
      <w:r>
        <w:rPr>
          <w:sz w:val="20"/>
        </w:rPr>
        <w:t>This charge can be rebutted by showing adequate anti-bribery procedures were in place</w:t>
      </w:r>
    </w:p>
    <w:p w14:paraId="58EE59D6" w14:textId="7E93ADAD" w:rsidR="00474CED" w:rsidRPr="00E259AC" w:rsidRDefault="00474CED" w:rsidP="00474CED">
      <w:pPr>
        <w:pStyle w:val="ListParagraph"/>
        <w:numPr>
          <w:ilvl w:val="1"/>
          <w:numId w:val="14"/>
        </w:numPr>
        <w:rPr>
          <w:sz w:val="20"/>
          <w:szCs w:val="20"/>
        </w:rPr>
      </w:pPr>
      <w:r>
        <w:rPr>
          <w:sz w:val="20"/>
        </w:rPr>
        <w:t xml:space="preserve">Any UK citizen or company can be liable for actions taken </w:t>
      </w:r>
      <w:r w:rsidRPr="00E259AC">
        <w:rPr>
          <w:sz w:val="20"/>
          <w:szCs w:val="20"/>
        </w:rPr>
        <w:t>anywhere in the world</w:t>
      </w:r>
    </w:p>
    <w:p w14:paraId="1C460B42" w14:textId="0BED0D42" w:rsidR="00E259AC" w:rsidRDefault="00E259AC" w:rsidP="00E259AC">
      <w:pPr>
        <w:pStyle w:val="ListParagraph"/>
        <w:numPr>
          <w:ilvl w:val="2"/>
          <w:numId w:val="14"/>
        </w:numPr>
        <w:rPr>
          <w:sz w:val="20"/>
          <w:szCs w:val="20"/>
        </w:rPr>
      </w:pPr>
      <w:r w:rsidRPr="00E259AC">
        <w:rPr>
          <w:sz w:val="20"/>
          <w:szCs w:val="20"/>
        </w:rPr>
        <w:t>Bribes offered through third parties are not exempt and may still be prosecuted</w:t>
      </w:r>
    </w:p>
    <w:p w14:paraId="3154D2C6" w14:textId="1E26C2E2" w:rsidR="00E259AC" w:rsidRDefault="00E259AC" w:rsidP="00E259AC">
      <w:pPr>
        <w:pStyle w:val="ListParagraph"/>
        <w:numPr>
          <w:ilvl w:val="2"/>
          <w:numId w:val="14"/>
        </w:numPr>
        <w:rPr>
          <w:sz w:val="20"/>
          <w:szCs w:val="20"/>
        </w:rPr>
      </w:pPr>
      <w:r>
        <w:rPr>
          <w:sz w:val="20"/>
          <w:szCs w:val="20"/>
        </w:rPr>
        <w:t>Grease payments are not exempt as they are in the FCPA</w:t>
      </w:r>
    </w:p>
    <w:p w14:paraId="20225E8B" w14:textId="0D78888F" w:rsidR="00E259AC" w:rsidRDefault="00E259AC" w:rsidP="00E259AC">
      <w:pPr>
        <w:pStyle w:val="ListParagraph"/>
        <w:numPr>
          <w:ilvl w:val="0"/>
          <w:numId w:val="14"/>
        </w:numPr>
        <w:rPr>
          <w:sz w:val="20"/>
          <w:szCs w:val="20"/>
        </w:rPr>
      </w:pPr>
      <w:r>
        <w:rPr>
          <w:sz w:val="20"/>
          <w:szCs w:val="20"/>
        </w:rPr>
        <w:t xml:space="preserve">One of the major concerns with both the FCPA and the UK Bribery Act is its potential for limiting the competitiveness of UK and U.S. companies </w:t>
      </w:r>
      <w:proofErr w:type="spellStart"/>
      <w:r w:rsidR="00524C00">
        <w:rPr>
          <w:sz w:val="20"/>
          <w:szCs w:val="20"/>
        </w:rPr>
        <w:t>int’l</w:t>
      </w:r>
      <w:r>
        <w:rPr>
          <w:sz w:val="20"/>
          <w:szCs w:val="20"/>
        </w:rPr>
        <w:t>ly</w:t>
      </w:r>
      <w:proofErr w:type="spellEnd"/>
    </w:p>
    <w:p w14:paraId="500F207B" w14:textId="6F5DFA5A" w:rsidR="00E259AC" w:rsidRPr="00E259AC" w:rsidRDefault="00E259AC" w:rsidP="00E259AC">
      <w:pPr>
        <w:pStyle w:val="ListParagraph"/>
        <w:numPr>
          <w:ilvl w:val="1"/>
          <w:numId w:val="14"/>
        </w:numPr>
        <w:rPr>
          <w:sz w:val="20"/>
          <w:szCs w:val="20"/>
        </w:rPr>
      </w:pPr>
      <w:r>
        <w:rPr>
          <w:sz w:val="20"/>
          <w:szCs w:val="20"/>
        </w:rPr>
        <w:t>Will U.S. and UK companies avoid developing countries known for widespread corruption?</w:t>
      </w:r>
    </w:p>
    <w:p w14:paraId="7B5D97B4" w14:textId="23843E13" w:rsidR="007E7D9A" w:rsidRPr="007E7D9A" w:rsidRDefault="007E7D9A" w:rsidP="007E7D9A">
      <w:pPr>
        <w:pStyle w:val="Heading4"/>
        <w:rPr>
          <w:sz w:val="20"/>
        </w:rPr>
      </w:pPr>
      <w:r w:rsidRPr="007E7D9A">
        <w:rPr>
          <w:sz w:val="20"/>
        </w:rPr>
        <w:t>Corporate Social Responsibility</w:t>
      </w:r>
    </w:p>
    <w:p w14:paraId="5788507A" w14:textId="1256AB09" w:rsidR="007E7D9A" w:rsidRDefault="003C3F00" w:rsidP="00E259AC">
      <w:pPr>
        <w:pStyle w:val="ListParagraph"/>
        <w:numPr>
          <w:ilvl w:val="0"/>
          <w:numId w:val="16"/>
        </w:numPr>
        <w:rPr>
          <w:sz w:val="20"/>
          <w:szCs w:val="20"/>
        </w:rPr>
      </w:pPr>
      <w:r w:rsidRPr="003C3F00">
        <w:rPr>
          <w:sz w:val="20"/>
          <w:szCs w:val="20"/>
        </w:rPr>
        <w:t xml:space="preserve">The Alien Tort Statute (ATS) provides a </w:t>
      </w:r>
      <w:r>
        <w:rPr>
          <w:sz w:val="20"/>
          <w:szCs w:val="20"/>
        </w:rPr>
        <w:t xml:space="preserve">cause of action against foreign actors that commit torts in violation of customary </w:t>
      </w:r>
      <w:r w:rsidR="00524C00">
        <w:rPr>
          <w:sz w:val="20"/>
          <w:szCs w:val="20"/>
        </w:rPr>
        <w:t>int’l</w:t>
      </w:r>
      <w:r>
        <w:rPr>
          <w:sz w:val="20"/>
          <w:szCs w:val="20"/>
        </w:rPr>
        <w:t xml:space="preserve"> law</w:t>
      </w:r>
    </w:p>
    <w:p w14:paraId="1DB38ABB" w14:textId="7E8796D6" w:rsidR="003C3F00" w:rsidRDefault="003C3F00" w:rsidP="003C3F00">
      <w:pPr>
        <w:pStyle w:val="ListParagraph"/>
        <w:numPr>
          <w:ilvl w:val="1"/>
          <w:numId w:val="16"/>
        </w:numPr>
        <w:rPr>
          <w:sz w:val="20"/>
          <w:szCs w:val="20"/>
        </w:rPr>
      </w:pPr>
      <w:r>
        <w:rPr>
          <w:sz w:val="20"/>
          <w:szCs w:val="20"/>
        </w:rPr>
        <w:t xml:space="preserve">At what point does the ATS begin to kick in? Are corporations liable for aiding and abetting violations of customary </w:t>
      </w:r>
      <w:r w:rsidR="00524C00">
        <w:rPr>
          <w:sz w:val="20"/>
          <w:szCs w:val="20"/>
        </w:rPr>
        <w:t>int’l</w:t>
      </w:r>
      <w:r>
        <w:rPr>
          <w:sz w:val="20"/>
          <w:szCs w:val="20"/>
        </w:rPr>
        <w:t xml:space="preserve"> law?</w:t>
      </w:r>
    </w:p>
    <w:p w14:paraId="2DF61F1C" w14:textId="58414B75" w:rsidR="003C3F00" w:rsidRDefault="003C3F00" w:rsidP="003C3F00">
      <w:pPr>
        <w:pStyle w:val="ListParagraph"/>
        <w:numPr>
          <w:ilvl w:val="1"/>
          <w:numId w:val="16"/>
        </w:numPr>
        <w:rPr>
          <w:sz w:val="20"/>
          <w:szCs w:val="20"/>
        </w:rPr>
      </w:pPr>
      <w:r>
        <w:rPr>
          <w:sz w:val="20"/>
          <w:szCs w:val="20"/>
        </w:rPr>
        <w:t>Applicability of the ATS in a foreign-cubed situation (foreign plaintiff, foreign defendant, tort occurred overseas) is an open question, but highly unlikely (</w:t>
      </w:r>
      <w:proofErr w:type="spellStart"/>
      <w:r>
        <w:rPr>
          <w:i/>
          <w:sz w:val="20"/>
          <w:szCs w:val="20"/>
        </w:rPr>
        <w:t>Kiobel</w:t>
      </w:r>
      <w:proofErr w:type="spellEnd"/>
      <w:r>
        <w:rPr>
          <w:i/>
          <w:sz w:val="20"/>
          <w:szCs w:val="20"/>
        </w:rPr>
        <w:t xml:space="preserve"> v. Royal Dutch Petroleum</w:t>
      </w:r>
      <w:r>
        <w:rPr>
          <w:sz w:val="20"/>
          <w:szCs w:val="20"/>
        </w:rPr>
        <w:t>)</w:t>
      </w:r>
    </w:p>
    <w:p w14:paraId="5BF8B56C" w14:textId="07780413" w:rsidR="003C3F00" w:rsidRDefault="003C3F00" w:rsidP="003C3F00">
      <w:pPr>
        <w:pStyle w:val="ListParagraph"/>
        <w:numPr>
          <w:ilvl w:val="2"/>
          <w:numId w:val="16"/>
        </w:numPr>
        <w:rPr>
          <w:sz w:val="20"/>
          <w:szCs w:val="20"/>
        </w:rPr>
      </w:pPr>
      <w:r>
        <w:rPr>
          <w:i/>
          <w:sz w:val="20"/>
          <w:szCs w:val="20"/>
        </w:rPr>
        <w:t xml:space="preserve">Morrison </w:t>
      </w:r>
      <w:r>
        <w:rPr>
          <w:sz w:val="20"/>
          <w:szCs w:val="20"/>
        </w:rPr>
        <w:t>provides a presumption against a statute’s extraterritorial application</w:t>
      </w:r>
    </w:p>
    <w:p w14:paraId="2240F451" w14:textId="2A6E76DF" w:rsidR="003C3F00" w:rsidRDefault="003C3F00" w:rsidP="00D5129F">
      <w:pPr>
        <w:pStyle w:val="ListParagraph"/>
        <w:numPr>
          <w:ilvl w:val="2"/>
          <w:numId w:val="16"/>
        </w:numPr>
        <w:rPr>
          <w:sz w:val="20"/>
          <w:szCs w:val="20"/>
        </w:rPr>
      </w:pPr>
      <w:r>
        <w:rPr>
          <w:sz w:val="20"/>
          <w:szCs w:val="20"/>
        </w:rPr>
        <w:t>Roberts’ majority opinion presents a test that the claims must touch and concern the U.S. with sufficient force to overcome the presumption</w:t>
      </w:r>
    </w:p>
    <w:p w14:paraId="6AD308D9" w14:textId="452CD528" w:rsidR="003C3F00" w:rsidRDefault="00057446" w:rsidP="00D5129F">
      <w:pPr>
        <w:pStyle w:val="ListParagraph"/>
        <w:numPr>
          <w:ilvl w:val="2"/>
          <w:numId w:val="16"/>
        </w:numPr>
        <w:rPr>
          <w:sz w:val="20"/>
          <w:szCs w:val="20"/>
        </w:rPr>
      </w:pPr>
      <w:r>
        <w:rPr>
          <w:sz w:val="20"/>
          <w:szCs w:val="20"/>
        </w:rPr>
        <w:t>Alito’s test is narrower, denying applicability to any non-universally recognized torts, such as torture and slavery</w:t>
      </w:r>
    </w:p>
    <w:p w14:paraId="2B993A11" w14:textId="078565E0" w:rsidR="00057446" w:rsidRDefault="00057446" w:rsidP="00D5129F">
      <w:pPr>
        <w:pStyle w:val="ListParagraph"/>
        <w:numPr>
          <w:ilvl w:val="2"/>
          <w:numId w:val="16"/>
        </w:numPr>
        <w:rPr>
          <w:sz w:val="20"/>
          <w:szCs w:val="20"/>
        </w:rPr>
      </w:pPr>
      <w:r>
        <w:rPr>
          <w:sz w:val="20"/>
          <w:szCs w:val="20"/>
        </w:rPr>
        <w:t xml:space="preserve">Breyer’s test is broader, arguing that any claim that adversely effects distinct American interest (including the interest in not being a safe harbor for violators of </w:t>
      </w:r>
      <w:r w:rsidR="00524C00">
        <w:rPr>
          <w:sz w:val="20"/>
          <w:szCs w:val="20"/>
        </w:rPr>
        <w:t>int’l</w:t>
      </w:r>
      <w:r>
        <w:rPr>
          <w:sz w:val="20"/>
          <w:szCs w:val="20"/>
        </w:rPr>
        <w:t xml:space="preserve"> law) should be admissible under the ATS, if the tort occurred at home and the defendant is an American national</w:t>
      </w:r>
    </w:p>
    <w:p w14:paraId="63FA2609" w14:textId="2849386A" w:rsidR="00057446" w:rsidRDefault="00057446" w:rsidP="00D5129F">
      <w:pPr>
        <w:pStyle w:val="ListParagraph"/>
        <w:numPr>
          <w:ilvl w:val="3"/>
          <w:numId w:val="16"/>
        </w:numPr>
        <w:rPr>
          <w:sz w:val="20"/>
          <w:szCs w:val="20"/>
        </w:rPr>
      </w:pPr>
      <w:r>
        <w:rPr>
          <w:sz w:val="20"/>
          <w:szCs w:val="20"/>
        </w:rPr>
        <w:t>What exactly is the disagreement between Roberts and Breyer? Breyer’s test lays out three conclusive tests, while Roberts leaves the door open with vague “touch and concern” language</w:t>
      </w:r>
    </w:p>
    <w:p w14:paraId="1C05F81A" w14:textId="74DBC56B" w:rsidR="00057446" w:rsidRDefault="00D5129F" w:rsidP="00057446">
      <w:pPr>
        <w:pStyle w:val="ListParagraph"/>
        <w:numPr>
          <w:ilvl w:val="1"/>
          <w:numId w:val="16"/>
        </w:numPr>
        <w:rPr>
          <w:sz w:val="20"/>
          <w:szCs w:val="20"/>
        </w:rPr>
      </w:pPr>
      <w:proofErr w:type="spellStart"/>
      <w:r>
        <w:rPr>
          <w:i/>
          <w:sz w:val="20"/>
          <w:szCs w:val="20"/>
        </w:rPr>
        <w:t>Shimari</w:t>
      </w:r>
      <w:proofErr w:type="spellEnd"/>
      <w:r>
        <w:rPr>
          <w:i/>
          <w:sz w:val="20"/>
          <w:szCs w:val="20"/>
        </w:rPr>
        <w:t xml:space="preserve"> v. CACI </w:t>
      </w:r>
      <w:r>
        <w:rPr>
          <w:sz w:val="20"/>
          <w:szCs w:val="20"/>
        </w:rPr>
        <w:t>was not a foreign-cubed case, since the defendant is not foreign, and (arguably) did not occur overseas (at Abu Ghraib prison). The appellate court allowed the case to proceed</w:t>
      </w:r>
    </w:p>
    <w:p w14:paraId="629E3F7E" w14:textId="27406D15" w:rsidR="00D5129F" w:rsidRDefault="00D5129F" w:rsidP="00D5129F">
      <w:pPr>
        <w:pStyle w:val="ListParagraph"/>
        <w:numPr>
          <w:ilvl w:val="0"/>
          <w:numId w:val="16"/>
        </w:numPr>
        <w:rPr>
          <w:sz w:val="20"/>
          <w:szCs w:val="20"/>
        </w:rPr>
      </w:pPr>
      <w:r>
        <w:rPr>
          <w:sz w:val="20"/>
          <w:szCs w:val="20"/>
        </w:rPr>
        <w:t xml:space="preserve">Whose job is it to regulate the </w:t>
      </w:r>
      <w:r w:rsidR="00524C00">
        <w:rPr>
          <w:sz w:val="20"/>
          <w:szCs w:val="20"/>
        </w:rPr>
        <w:t>int’l</w:t>
      </w:r>
      <w:r>
        <w:rPr>
          <w:sz w:val="20"/>
          <w:szCs w:val="20"/>
        </w:rPr>
        <w:t xml:space="preserve"> economy? Which aspects are deserving of </w:t>
      </w:r>
      <w:r w:rsidR="00524C00">
        <w:rPr>
          <w:sz w:val="20"/>
          <w:szCs w:val="20"/>
        </w:rPr>
        <w:t>int’l</w:t>
      </w:r>
      <w:r>
        <w:rPr>
          <w:sz w:val="20"/>
          <w:szCs w:val="20"/>
        </w:rPr>
        <w:t xml:space="preserve"> regulation? Labor (Rama Plaza disaster)? Environmental? IP violations?</w:t>
      </w:r>
    </w:p>
    <w:p w14:paraId="2E319581" w14:textId="6CB6F3B1" w:rsidR="00D5129F" w:rsidRPr="003C3F00" w:rsidRDefault="00D5129F" w:rsidP="00D5129F">
      <w:pPr>
        <w:pStyle w:val="ListParagraph"/>
        <w:numPr>
          <w:ilvl w:val="1"/>
          <w:numId w:val="16"/>
        </w:numPr>
        <w:rPr>
          <w:sz w:val="20"/>
          <w:szCs w:val="20"/>
        </w:rPr>
      </w:pPr>
      <w:r>
        <w:rPr>
          <w:sz w:val="20"/>
          <w:szCs w:val="20"/>
        </w:rPr>
        <w:t xml:space="preserve">Does intense </w:t>
      </w:r>
      <w:r w:rsidR="00524C00">
        <w:rPr>
          <w:sz w:val="20"/>
          <w:szCs w:val="20"/>
        </w:rPr>
        <w:t>int’l</w:t>
      </w:r>
      <w:r>
        <w:rPr>
          <w:sz w:val="20"/>
          <w:szCs w:val="20"/>
        </w:rPr>
        <w:t xml:space="preserve"> regulation create barriers to entry to the </w:t>
      </w:r>
      <w:r w:rsidR="00524C00">
        <w:rPr>
          <w:sz w:val="20"/>
          <w:szCs w:val="20"/>
        </w:rPr>
        <w:t>int’l</w:t>
      </w:r>
      <w:r>
        <w:rPr>
          <w:sz w:val="20"/>
          <w:szCs w:val="20"/>
        </w:rPr>
        <w:t xml:space="preserve"> market for smaller start-up companies or entities out of developing nations?  </w:t>
      </w:r>
    </w:p>
    <w:sectPr w:rsidR="00D5129F" w:rsidRPr="003C3F00" w:rsidSect="007B552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85A37" w14:textId="77777777" w:rsidR="00DE5740" w:rsidRDefault="00DE5740" w:rsidP="004E6C45">
      <w:pPr>
        <w:spacing w:after="0" w:line="240" w:lineRule="auto"/>
      </w:pPr>
      <w:r>
        <w:separator/>
      </w:r>
    </w:p>
  </w:endnote>
  <w:endnote w:type="continuationSeparator" w:id="0">
    <w:p w14:paraId="7D909B93" w14:textId="77777777" w:rsidR="00DE5740" w:rsidRDefault="00DE5740" w:rsidP="004E6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035764"/>
      <w:docPartObj>
        <w:docPartGallery w:val="Page Numbers (Bottom of Page)"/>
        <w:docPartUnique/>
      </w:docPartObj>
    </w:sdtPr>
    <w:sdtEndPr>
      <w:rPr>
        <w:noProof/>
      </w:rPr>
    </w:sdtEndPr>
    <w:sdtContent>
      <w:p w14:paraId="00CC82AF" w14:textId="5A1DCD32" w:rsidR="00FE1387" w:rsidRDefault="00FE1387">
        <w:pPr>
          <w:pStyle w:val="Footer"/>
          <w:jc w:val="center"/>
        </w:pPr>
        <w:r>
          <w:fldChar w:fldCharType="begin"/>
        </w:r>
        <w:r>
          <w:instrText xml:space="preserve"> PAGE   \* MERGEFORMAT </w:instrText>
        </w:r>
        <w:r>
          <w:fldChar w:fldCharType="separate"/>
        </w:r>
        <w:r w:rsidR="00524C00">
          <w:rPr>
            <w:noProof/>
          </w:rPr>
          <w:t>4</w:t>
        </w:r>
        <w:r>
          <w:rPr>
            <w:noProof/>
          </w:rPr>
          <w:fldChar w:fldCharType="end"/>
        </w:r>
      </w:p>
    </w:sdtContent>
  </w:sdt>
  <w:p w14:paraId="6090F31E" w14:textId="77777777" w:rsidR="00FE1387" w:rsidRDefault="00FE1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FBC30" w14:textId="77777777" w:rsidR="00DE5740" w:rsidRDefault="00DE5740" w:rsidP="004E6C45">
      <w:pPr>
        <w:spacing w:after="0" w:line="240" w:lineRule="auto"/>
      </w:pPr>
      <w:r>
        <w:separator/>
      </w:r>
    </w:p>
  </w:footnote>
  <w:footnote w:type="continuationSeparator" w:id="0">
    <w:p w14:paraId="6F97627F" w14:textId="77777777" w:rsidR="00DE5740" w:rsidRDefault="00DE5740" w:rsidP="004E6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D69" w14:textId="4F2190B2" w:rsidR="00FE1387" w:rsidRDefault="00C55C81" w:rsidP="004E2655">
    <w:pPr>
      <w:pStyle w:val="Header"/>
      <w:ind w:right="110"/>
      <w:jc w:val="right"/>
    </w:pPr>
    <w:r>
      <w:t xml:space="preserve">Law &amp; </w:t>
    </w:r>
    <w:r w:rsidR="00524C00">
      <w:t>Int’l</w:t>
    </w:r>
    <w:r>
      <w:t xml:space="preserve"> Economy</w:t>
    </w:r>
    <w:r w:rsidR="00FE1387">
      <w:t xml:space="preserve"> Mini-Outline</w:t>
    </w:r>
  </w:p>
  <w:p w14:paraId="2E1A2D8B" w14:textId="77777777" w:rsidR="00FE1387" w:rsidRDefault="00FE1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C442F"/>
    <w:multiLevelType w:val="hybridMultilevel"/>
    <w:tmpl w:val="CC5A20EC"/>
    <w:lvl w:ilvl="0" w:tplc="1868D7A4">
      <w:start w:val="1"/>
      <w:numFmt w:val="decimal"/>
      <w:lvlText w:val="%1."/>
      <w:lvlJc w:val="left"/>
      <w:pPr>
        <w:ind w:left="720" w:hanging="360"/>
      </w:pPr>
      <w:rPr>
        <w:rFonts w:hint="default"/>
        <w:sz w:val="20"/>
      </w:rPr>
    </w:lvl>
    <w:lvl w:ilvl="1" w:tplc="B498BCC0">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5D66AE96">
      <w:start w:val="1"/>
      <w:numFmt w:val="decimal"/>
      <w:lvlText w:val="%4."/>
      <w:lvlJc w:val="left"/>
      <w:pPr>
        <w:ind w:left="2880" w:hanging="360"/>
      </w:pPr>
      <w:rPr>
        <w:sz w:val="20"/>
      </w:rPr>
    </w:lvl>
    <w:lvl w:ilvl="4" w:tplc="4F782DD6">
      <w:start w:val="1"/>
      <w:numFmt w:val="lowerLetter"/>
      <w:lvlText w:val="%5."/>
      <w:lvlJc w:val="left"/>
      <w:pPr>
        <w:ind w:left="3600" w:hanging="360"/>
      </w:pPr>
      <w:rPr>
        <w:sz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D1AD3"/>
    <w:multiLevelType w:val="hybridMultilevel"/>
    <w:tmpl w:val="31ECB102"/>
    <w:lvl w:ilvl="0" w:tplc="DC0A1FCC">
      <w:start w:val="1"/>
      <w:numFmt w:val="decimal"/>
      <w:lvlText w:val="%1."/>
      <w:lvlJc w:val="left"/>
      <w:pPr>
        <w:ind w:left="720" w:hanging="360"/>
      </w:pPr>
      <w:rPr>
        <w:rFonts w:hint="default"/>
        <w:sz w:val="20"/>
      </w:rPr>
    </w:lvl>
    <w:lvl w:ilvl="1" w:tplc="AE28ABDA">
      <w:start w:val="1"/>
      <w:numFmt w:val="lowerLetter"/>
      <w:lvlText w:val="%2."/>
      <w:lvlJc w:val="left"/>
      <w:pPr>
        <w:ind w:left="1440" w:hanging="360"/>
      </w:pPr>
      <w:rPr>
        <w:sz w:val="20"/>
      </w:rPr>
    </w:lvl>
    <w:lvl w:ilvl="2" w:tplc="1F5E9B7E">
      <w:start w:val="1"/>
      <w:numFmt w:val="lowerRoman"/>
      <w:lvlText w:val="%3."/>
      <w:lvlJc w:val="right"/>
      <w:pPr>
        <w:ind w:left="2160" w:hanging="180"/>
      </w:pPr>
      <w:rPr>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C1211"/>
    <w:multiLevelType w:val="hybridMultilevel"/>
    <w:tmpl w:val="31ECB102"/>
    <w:lvl w:ilvl="0" w:tplc="DC0A1FCC">
      <w:start w:val="1"/>
      <w:numFmt w:val="decimal"/>
      <w:lvlText w:val="%1."/>
      <w:lvlJc w:val="left"/>
      <w:pPr>
        <w:ind w:left="720" w:hanging="360"/>
      </w:pPr>
      <w:rPr>
        <w:rFonts w:hint="default"/>
        <w:sz w:val="20"/>
      </w:rPr>
    </w:lvl>
    <w:lvl w:ilvl="1" w:tplc="AE28ABDA">
      <w:start w:val="1"/>
      <w:numFmt w:val="lowerLetter"/>
      <w:lvlText w:val="%2."/>
      <w:lvlJc w:val="left"/>
      <w:pPr>
        <w:ind w:left="1440" w:hanging="360"/>
      </w:pPr>
      <w:rPr>
        <w:sz w:val="20"/>
      </w:rPr>
    </w:lvl>
    <w:lvl w:ilvl="2" w:tplc="1F5E9B7E">
      <w:start w:val="1"/>
      <w:numFmt w:val="lowerRoman"/>
      <w:lvlText w:val="%3."/>
      <w:lvlJc w:val="right"/>
      <w:pPr>
        <w:ind w:left="2160" w:hanging="180"/>
      </w:pPr>
      <w:rPr>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C76E8D"/>
    <w:multiLevelType w:val="hybridMultilevel"/>
    <w:tmpl w:val="CF80E352"/>
    <w:lvl w:ilvl="0" w:tplc="1868D7A4">
      <w:start w:val="1"/>
      <w:numFmt w:val="decimal"/>
      <w:lvlText w:val="%1."/>
      <w:lvlJc w:val="left"/>
      <w:pPr>
        <w:ind w:left="720" w:hanging="360"/>
      </w:pPr>
      <w:rPr>
        <w:rFonts w:hint="default"/>
        <w:sz w:val="20"/>
      </w:rPr>
    </w:lvl>
    <w:lvl w:ilvl="1" w:tplc="B498BCC0">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5D66AE96">
      <w:start w:val="1"/>
      <w:numFmt w:val="decimal"/>
      <w:lvlText w:val="%4."/>
      <w:lvlJc w:val="left"/>
      <w:pPr>
        <w:ind w:left="2880" w:hanging="360"/>
      </w:pPr>
      <w:rPr>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0198B"/>
    <w:multiLevelType w:val="hybridMultilevel"/>
    <w:tmpl w:val="CC5A20EC"/>
    <w:lvl w:ilvl="0" w:tplc="1868D7A4">
      <w:start w:val="1"/>
      <w:numFmt w:val="decimal"/>
      <w:lvlText w:val="%1."/>
      <w:lvlJc w:val="left"/>
      <w:pPr>
        <w:ind w:left="720" w:hanging="360"/>
      </w:pPr>
      <w:rPr>
        <w:rFonts w:hint="default"/>
        <w:sz w:val="20"/>
      </w:rPr>
    </w:lvl>
    <w:lvl w:ilvl="1" w:tplc="B498BCC0">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5D66AE96">
      <w:start w:val="1"/>
      <w:numFmt w:val="decimal"/>
      <w:lvlText w:val="%4."/>
      <w:lvlJc w:val="left"/>
      <w:pPr>
        <w:ind w:left="2880" w:hanging="360"/>
      </w:pPr>
      <w:rPr>
        <w:sz w:val="20"/>
      </w:rPr>
    </w:lvl>
    <w:lvl w:ilvl="4" w:tplc="4F782DD6">
      <w:start w:val="1"/>
      <w:numFmt w:val="lowerLetter"/>
      <w:lvlText w:val="%5."/>
      <w:lvlJc w:val="left"/>
      <w:pPr>
        <w:ind w:left="3600" w:hanging="360"/>
      </w:pPr>
      <w:rPr>
        <w:sz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9D0390"/>
    <w:multiLevelType w:val="hybridMultilevel"/>
    <w:tmpl w:val="CF80E352"/>
    <w:lvl w:ilvl="0" w:tplc="1868D7A4">
      <w:start w:val="1"/>
      <w:numFmt w:val="decimal"/>
      <w:lvlText w:val="%1."/>
      <w:lvlJc w:val="left"/>
      <w:pPr>
        <w:ind w:left="720" w:hanging="360"/>
      </w:pPr>
      <w:rPr>
        <w:rFonts w:hint="default"/>
        <w:sz w:val="20"/>
      </w:rPr>
    </w:lvl>
    <w:lvl w:ilvl="1" w:tplc="B498BCC0">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5D66AE96">
      <w:start w:val="1"/>
      <w:numFmt w:val="decimal"/>
      <w:lvlText w:val="%4."/>
      <w:lvlJc w:val="left"/>
      <w:pPr>
        <w:ind w:left="2880" w:hanging="360"/>
      </w:pPr>
      <w:rPr>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983D46"/>
    <w:multiLevelType w:val="hybridMultilevel"/>
    <w:tmpl w:val="CF80E352"/>
    <w:lvl w:ilvl="0" w:tplc="1868D7A4">
      <w:start w:val="1"/>
      <w:numFmt w:val="decimal"/>
      <w:lvlText w:val="%1."/>
      <w:lvlJc w:val="left"/>
      <w:pPr>
        <w:ind w:left="720" w:hanging="360"/>
      </w:pPr>
      <w:rPr>
        <w:rFonts w:hint="default"/>
        <w:sz w:val="20"/>
      </w:rPr>
    </w:lvl>
    <w:lvl w:ilvl="1" w:tplc="B498BCC0">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5D66AE96">
      <w:start w:val="1"/>
      <w:numFmt w:val="decimal"/>
      <w:lvlText w:val="%4."/>
      <w:lvlJc w:val="left"/>
      <w:pPr>
        <w:ind w:left="2880" w:hanging="360"/>
      </w:pPr>
      <w:rPr>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CC7B3B"/>
    <w:multiLevelType w:val="hybridMultilevel"/>
    <w:tmpl w:val="CC5A20EC"/>
    <w:lvl w:ilvl="0" w:tplc="1868D7A4">
      <w:start w:val="1"/>
      <w:numFmt w:val="decimal"/>
      <w:lvlText w:val="%1."/>
      <w:lvlJc w:val="left"/>
      <w:pPr>
        <w:ind w:left="720" w:hanging="360"/>
      </w:pPr>
      <w:rPr>
        <w:rFonts w:hint="default"/>
        <w:sz w:val="20"/>
      </w:rPr>
    </w:lvl>
    <w:lvl w:ilvl="1" w:tplc="B498BCC0">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5D66AE96">
      <w:start w:val="1"/>
      <w:numFmt w:val="decimal"/>
      <w:lvlText w:val="%4."/>
      <w:lvlJc w:val="left"/>
      <w:pPr>
        <w:ind w:left="2880" w:hanging="360"/>
      </w:pPr>
      <w:rPr>
        <w:sz w:val="20"/>
      </w:rPr>
    </w:lvl>
    <w:lvl w:ilvl="4" w:tplc="4F782DD6">
      <w:start w:val="1"/>
      <w:numFmt w:val="lowerLetter"/>
      <w:lvlText w:val="%5."/>
      <w:lvlJc w:val="left"/>
      <w:pPr>
        <w:ind w:left="3600" w:hanging="360"/>
      </w:pPr>
      <w:rPr>
        <w:sz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F21754"/>
    <w:multiLevelType w:val="hybridMultilevel"/>
    <w:tmpl w:val="31ECB102"/>
    <w:lvl w:ilvl="0" w:tplc="DC0A1FCC">
      <w:start w:val="1"/>
      <w:numFmt w:val="decimal"/>
      <w:lvlText w:val="%1."/>
      <w:lvlJc w:val="left"/>
      <w:pPr>
        <w:ind w:left="720" w:hanging="360"/>
      </w:pPr>
      <w:rPr>
        <w:rFonts w:hint="default"/>
        <w:sz w:val="20"/>
      </w:rPr>
    </w:lvl>
    <w:lvl w:ilvl="1" w:tplc="AE28ABDA">
      <w:start w:val="1"/>
      <w:numFmt w:val="lowerLetter"/>
      <w:lvlText w:val="%2."/>
      <w:lvlJc w:val="left"/>
      <w:pPr>
        <w:ind w:left="1440" w:hanging="360"/>
      </w:pPr>
      <w:rPr>
        <w:sz w:val="20"/>
      </w:rPr>
    </w:lvl>
    <w:lvl w:ilvl="2" w:tplc="1F5E9B7E">
      <w:start w:val="1"/>
      <w:numFmt w:val="lowerRoman"/>
      <w:lvlText w:val="%3."/>
      <w:lvlJc w:val="right"/>
      <w:pPr>
        <w:ind w:left="2160" w:hanging="180"/>
      </w:pPr>
      <w:rPr>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30537D"/>
    <w:multiLevelType w:val="hybridMultilevel"/>
    <w:tmpl w:val="CC5A20EC"/>
    <w:lvl w:ilvl="0" w:tplc="1868D7A4">
      <w:start w:val="1"/>
      <w:numFmt w:val="decimal"/>
      <w:lvlText w:val="%1."/>
      <w:lvlJc w:val="left"/>
      <w:pPr>
        <w:ind w:left="720" w:hanging="360"/>
      </w:pPr>
      <w:rPr>
        <w:rFonts w:hint="default"/>
        <w:sz w:val="20"/>
      </w:rPr>
    </w:lvl>
    <w:lvl w:ilvl="1" w:tplc="B498BCC0">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5D66AE96">
      <w:start w:val="1"/>
      <w:numFmt w:val="decimal"/>
      <w:lvlText w:val="%4."/>
      <w:lvlJc w:val="left"/>
      <w:pPr>
        <w:ind w:left="2880" w:hanging="360"/>
      </w:pPr>
      <w:rPr>
        <w:sz w:val="20"/>
      </w:rPr>
    </w:lvl>
    <w:lvl w:ilvl="4" w:tplc="4F782DD6">
      <w:start w:val="1"/>
      <w:numFmt w:val="lowerLetter"/>
      <w:lvlText w:val="%5."/>
      <w:lvlJc w:val="left"/>
      <w:pPr>
        <w:ind w:left="3600" w:hanging="360"/>
      </w:pPr>
      <w:rPr>
        <w:sz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A1792D"/>
    <w:multiLevelType w:val="hybridMultilevel"/>
    <w:tmpl w:val="CC5A20EC"/>
    <w:lvl w:ilvl="0" w:tplc="1868D7A4">
      <w:start w:val="1"/>
      <w:numFmt w:val="decimal"/>
      <w:lvlText w:val="%1."/>
      <w:lvlJc w:val="left"/>
      <w:pPr>
        <w:ind w:left="720" w:hanging="360"/>
      </w:pPr>
      <w:rPr>
        <w:rFonts w:hint="default"/>
        <w:sz w:val="20"/>
      </w:rPr>
    </w:lvl>
    <w:lvl w:ilvl="1" w:tplc="B498BCC0">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5D66AE96">
      <w:start w:val="1"/>
      <w:numFmt w:val="decimal"/>
      <w:lvlText w:val="%4."/>
      <w:lvlJc w:val="left"/>
      <w:pPr>
        <w:ind w:left="2880" w:hanging="360"/>
      </w:pPr>
      <w:rPr>
        <w:sz w:val="20"/>
      </w:rPr>
    </w:lvl>
    <w:lvl w:ilvl="4" w:tplc="4F782DD6">
      <w:start w:val="1"/>
      <w:numFmt w:val="lowerLetter"/>
      <w:lvlText w:val="%5."/>
      <w:lvlJc w:val="left"/>
      <w:pPr>
        <w:ind w:left="3600" w:hanging="360"/>
      </w:pPr>
      <w:rPr>
        <w:sz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55894"/>
    <w:multiLevelType w:val="hybridMultilevel"/>
    <w:tmpl w:val="CF80E352"/>
    <w:lvl w:ilvl="0" w:tplc="1868D7A4">
      <w:start w:val="1"/>
      <w:numFmt w:val="decimal"/>
      <w:lvlText w:val="%1."/>
      <w:lvlJc w:val="left"/>
      <w:pPr>
        <w:ind w:left="720" w:hanging="360"/>
      </w:pPr>
      <w:rPr>
        <w:rFonts w:hint="default"/>
        <w:sz w:val="20"/>
      </w:rPr>
    </w:lvl>
    <w:lvl w:ilvl="1" w:tplc="B498BCC0">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5D66AE96">
      <w:start w:val="1"/>
      <w:numFmt w:val="decimal"/>
      <w:lvlText w:val="%4."/>
      <w:lvlJc w:val="left"/>
      <w:pPr>
        <w:ind w:left="2880" w:hanging="360"/>
      </w:pPr>
      <w:rPr>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431609"/>
    <w:multiLevelType w:val="hybridMultilevel"/>
    <w:tmpl w:val="E15E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177ACE"/>
    <w:multiLevelType w:val="hybridMultilevel"/>
    <w:tmpl w:val="31ECB102"/>
    <w:lvl w:ilvl="0" w:tplc="DC0A1FCC">
      <w:start w:val="1"/>
      <w:numFmt w:val="decimal"/>
      <w:lvlText w:val="%1."/>
      <w:lvlJc w:val="left"/>
      <w:pPr>
        <w:ind w:left="720" w:hanging="360"/>
      </w:pPr>
      <w:rPr>
        <w:rFonts w:hint="default"/>
        <w:sz w:val="20"/>
      </w:rPr>
    </w:lvl>
    <w:lvl w:ilvl="1" w:tplc="AE28ABDA">
      <w:start w:val="1"/>
      <w:numFmt w:val="lowerLetter"/>
      <w:lvlText w:val="%2."/>
      <w:lvlJc w:val="left"/>
      <w:pPr>
        <w:ind w:left="1440" w:hanging="360"/>
      </w:pPr>
      <w:rPr>
        <w:sz w:val="20"/>
      </w:rPr>
    </w:lvl>
    <w:lvl w:ilvl="2" w:tplc="1F5E9B7E">
      <w:start w:val="1"/>
      <w:numFmt w:val="lowerRoman"/>
      <w:lvlText w:val="%3."/>
      <w:lvlJc w:val="right"/>
      <w:pPr>
        <w:ind w:left="2160" w:hanging="180"/>
      </w:pPr>
      <w:rPr>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9D036B"/>
    <w:multiLevelType w:val="hybridMultilevel"/>
    <w:tmpl w:val="CC5A20EC"/>
    <w:lvl w:ilvl="0" w:tplc="1868D7A4">
      <w:start w:val="1"/>
      <w:numFmt w:val="decimal"/>
      <w:lvlText w:val="%1."/>
      <w:lvlJc w:val="left"/>
      <w:pPr>
        <w:ind w:left="720" w:hanging="360"/>
      </w:pPr>
      <w:rPr>
        <w:rFonts w:hint="default"/>
        <w:sz w:val="20"/>
      </w:rPr>
    </w:lvl>
    <w:lvl w:ilvl="1" w:tplc="B498BCC0">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5D66AE96">
      <w:start w:val="1"/>
      <w:numFmt w:val="decimal"/>
      <w:lvlText w:val="%4."/>
      <w:lvlJc w:val="left"/>
      <w:pPr>
        <w:ind w:left="2880" w:hanging="360"/>
      </w:pPr>
      <w:rPr>
        <w:sz w:val="20"/>
      </w:rPr>
    </w:lvl>
    <w:lvl w:ilvl="4" w:tplc="4F782DD6">
      <w:start w:val="1"/>
      <w:numFmt w:val="lowerLetter"/>
      <w:lvlText w:val="%5."/>
      <w:lvlJc w:val="left"/>
      <w:pPr>
        <w:ind w:left="3600" w:hanging="360"/>
      </w:pPr>
      <w:rPr>
        <w:sz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D31CE9"/>
    <w:multiLevelType w:val="hybridMultilevel"/>
    <w:tmpl w:val="CC5A20EC"/>
    <w:lvl w:ilvl="0" w:tplc="1868D7A4">
      <w:start w:val="1"/>
      <w:numFmt w:val="decimal"/>
      <w:lvlText w:val="%1."/>
      <w:lvlJc w:val="left"/>
      <w:pPr>
        <w:ind w:left="720" w:hanging="360"/>
      </w:pPr>
      <w:rPr>
        <w:rFonts w:hint="default"/>
        <w:sz w:val="20"/>
      </w:rPr>
    </w:lvl>
    <w:lvl w:ilvl="1" w:tplc="B498BCC0">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5D66AE96">
      <w:start w:val="1"/>
      <w:numFmt w:val="decimal"/>
      <w:lvlText w:val="%4."/>
      <w:lvlJc w:val="left"/>
      <w:pPr>
        <w:ind w:left="2880" w:hanging="360"/>
      </w:pPr>
      <w:rPr>
        <w:sz w:val="20"/>
      </w:rPr>
    </w:lvl>
    <w:lvl w:ilvl="4" w:tplc="4F782DD6">
      <w:start w:val="1"/>
      <w:numFmt w:val="lowerLetter"/>
      <w:lvlText w:val="%5."/>
      <w:lvlJc w:val="left"/>
      <w:pPr>
        <w:ind w:left="3600" w:hanging="360"/>
      </w:pPr>
      <w:rPr>
        <w:sz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2"/>
  </w:num>
  <w:num w:numId="4">
    <w:abstractNumId w:val="1"/>
  </w:num>
  <w:num w:numId="5">
    <w:abstractNumId w:val="8"/>
  </w:num>
  <w:num w:numId="6">
    <w:abstractNumId w:val="2"/>
  </w:num>
  <w:num w:numId="7">
    <w:abstractNumId w:val="5"/>
  </w:num>
  <w:num w:numId="8">
    <w:abstractNumId w:val="6"/>
  </w:num>
  <w:num w:numId="9">
    <w:abstractNumId w:val="11"/>
  </w:num>
  <w:num w:numId="10">
    <w:abstractNumId w:val="4"/>
  </w:num>
  <w:num w:numId="11">
    <w:abstractNumId w:val="15"/>
  </w:num>
  <w:num w:numId="12">
    <w:abstractNumId w:val="9"/>
  </w:num>
  <w:num w:numId="13">
    <w:abstractNumId w:val="7"/>
  </w:num>
  <w:num w:numId="14">
    <w:abstractNumId w:val="0"/>
  </w:num>
  <w:num w:numId="15">
    <w:abstractNumId w:val="10"/>
  </w:num>
  <w:num w:numId="1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db76d7b2-b514-4a95-8b91-4b76bea34362"/>
  </w:docVars>
  <w:rsids>
    <w:rsidRoot w:val="00505123"/>
    <w:rsid w:val="00002344"/>
    <w:rsid w:val="000027B5"/>
    <w:rsid w:val="000107D3"/>
    <w:rsid w:val="00022760"/>
    <w:rsid w:val="00026809"/>
    <w:rsid w:val="00030BEB"/>
    <w:rsid w:val="000419C8"/>
    <w:rsid w:val="00042840"/>
    <w:rsid w:val="0004322B"/>
    <w:rsid w:val="00045817"/>
    <w:rsid w:val="00052B7A"/>
    <w:rsid w:val="0005426B"/>
    <w:rsid w:val="000554FD"/>
    <w:rsid w:val="000558A1"/>
    <w:rsid w:val="00057446"/>
    <w:rsid w:val="0006029C"/>
    <w:rsid w:val="0006279D"/>
    <w:rsid w:val="00067A01"/>
    <w:rsid w:val="00071021"/>
    <w:rsid w:val="000805F1"/>
    <w:rsid w:val="00080E82"/>
    <w:rsid w:val="00090332"/>
    <w:rsid w:val="00091A57"/>
    <w:rsid w:val="0009326C"/>
    <w:rsid w:val="00093B2A"/>
    <w:rsid w:val="0009548B"/>
    <w:rsid w:val="00096DDD"/>
    <w:rsid w:val="000B154F"/>
    <w:rsid w:val="000B42E6"/>
    <w:rsid w:val="000C08E7"/>
    <w:rsid w:val="000C32F0"/>
    <w:rsid w:val="000C3FAC"/>
    <w:rsid w:val="000C5602"/>
    <w:rsid w:val="000C6652"/>
    <w:rsid w:val="000D0013"/>
    <w:rsid w:val="000D1FBC"/>
    <w:rsid w:val="000D748B"/>
    <w:rsid w:val="000E12AF"/>
    <w:rsid w:val="000E2A78"/>
    <w:rsid w:val="000E375C"/>
    <w:rsid w:val="000E38DB"/>
    <w:rsid w:val="000E39D8"/>
    <w:rsid w:val="000E4CA8"/>
    <w:rsid w:val="000E6F86"/>
    <w:rsid w:val="000F6CE2"/>
    <w:rsid w:val="000F6EB1"/>
    <w:rsid w:val="000F724E"/>
    <w:rsid w:val="000F7527"/>
    <w:rsid w:val="00100B1B"/>
    <w:rsid w:val="001018CE"/>
    <w:rsid w:val="00102829"/>
    <w:rsid w:val="00104CB7"/>
    <w:rsid w:val="001210CA"/>
    <w:rsid w:val="00127B68"/>
    <w:rsid w:val="0013011C"/>
    <w:rsid w:val="001303C2"/>
    <w:rsid w:val="00132AD6"/>
    <w:rsid w:val="00141718"/>
    <w:rsid w:val="00141913"/>
    <w:rsid w:val="00145D1D"/>
    <w:rsid w:val="00147582"/>
    <w:rsid w:val="00150E5C"/>
    <w:rsid w:val="00151766"/>
    <w:rsid w:val="00151A3F"/>
    <w:rsid w:val="001607C7"/>
    <w:rsid w:val="00170C48"/>
    <w:rsid w:val="001801A7"/>
    <w:rsid w:val="0018043C"/>
    <w:rsid w:val="00180CD1"/>
    <w:rsid w:val="00181424"/>
    <w:rsid w:val="001829F6"/>
    <w:rsid w:val="001867DB"/>
    <w:rsid w:val="001919EE"/>
    <w:rsid w:val="00193A0D"/>
    <w:rsid w:val="00195D40"/>
    <w:rsid w:val="00195F9B"/>
    <w:rsid w:val="001A2DF7"/>
    <w:rsid w:val="001A5C3C"/>
    <w:rsid w:val="001A6071"/>
    <w:rsid w:val="001A656F"/>
    <w:rsid w:val="001B04B3"/>
    <w:rsid w:val="001B5F3B"/>
    <w:rsid w:val="001C2EE2"/>
    <w:rsid w:val="001C457B"/>
    <w:rsid w:val="001C512B"/>
    <w:rsid w:val="001D1216"/>
    <w:rsid w:val="001D2419"/>
    <w:rsid w:val="001D47D5"/>
    <w:rsid w:val="001D670C"/>
    <w:rsid w:val="001D68A3"/>
    <w:rsid w:val="001D76BA"/>
    <w:rsid w:val="001E06C4"/>
    <w:rsid w:val="001E25CA"/>
    <w:rsid w:val="001E691B"/>
    <w:rsid w:val="001F2214"/>
    <w:rsid w:val="001F3B6D"/>
    <w:rsid w:val="001F5B14"/>
    <w:rsid w:val="00206309"/>
    <w:rsid w:val="00213182"/>
    <w:rsid w:val="00216778"/>
    <w:rsid w:val="00217021"/>
    <w:rsid w:val="002171B6"/>
    <w:rsid w:val="00220AE9"/>
    <w:rsid w:val="0022229F"/>
    <w:rsid w:val="00232CBA"/>
    <w:rsid w:val="00234984"/>
    <w:rsid w:val="0023576A"/>
    <w:rsid w:val="00237244"/>
    <w:rsid w:val="00241BFE"/>
    <w:rsid w:val="0024343E"/>
    <w:rsid w:val="00243EFE"/>
    <w:rsid w:val="00245824"/>
    <w:rsid w:val="00255623"/>
    <w:rsid w:val="00257FA0"/>
    <w:rsid w:val="0026608E"/>
    <w:rsid w:val="00267752"/>
    <w:rsid w:val="0027056C"/>
    <w:rsid w:val="00274C02"/>
    <w:rsid w:val="002775B9"/>
    <w:rsid w:val="002834E3"/>
    <w:rsid w:val="00286089"/>
    <w:rsid w:val="00287167"/>
    <w:rsid w:val="002908B2"/>
    <w:rsid w:val="0029304C"/>
    <w:rsid w:val="00294DDA"/>
    <w:rsid w:val="002A4A22"/>
    <w:rsid w:val="002A55A7"/>
    <w:rsid w:val="002A7BCC"/>
    <w:rsid w:val="002B1FA1"/>
    <w:rsid w:val="002B76F5"/>
    <w:rsid w:val="002C1BE7"/>
    <w:rsid w:val="002C2152"/>
    <w:rsid w:val="002C2F7E"/>
    <w:rsid w:val="002C3468"/>
    <w:rsid w:val="002C49EB"/>
    <w:rsid w:val="002D2B2D"/>
    <w:rsid w:val="002D39C2"/>
    <w:rsid w:val="002D433C"/>
    <w:rsid w:val="002F4F0F"/>
    <w:rsid w:val="002F51C9"/>
    <w:rsid w:val="003007DD"/>
    <w:rsid w:val="00304103"/>
    <w:rsid w:val="003050E3"/>
    <w:rsid w:val="00311F6A"/>
    <w:rsid w:val="00316B95"/>
    <w:rsid w:val="00317D22"/>
    <w:rsid w:val="00321033"/>
    <w:rsid w:val="003215B0"/>
    <w:rsid w:val="003313F7"/>
    <w:rsid w:val="003320A9"/>
    <w:rsid w:val="00333281"/>
    <w:rsid w:val="0033713A"/>
    <w:rsid w:val="0033774B"/>
    <w:rsid w:val="00337A73"/>
    <w:rsid w:val="00340AC5"/>
    <w:rsid w:val="00343B46"/>
    <w:rsid w:val="00344559"/>
    <w:rsid w:val="00351701"/>
    <w:rsid w:val="00356049"/>
    <w:rsid w:val="00360022"/>
    <w:rsid w:val="00364AD4"/>
    <w:rsid w:val="00364BFC"/>
    <w:rsid w:val="0036528A"/>
    <w:rsid w:val="0036600E"/>
    <w:rsid w:val="003709C2"/>
    <w:rsid w:val="00372566"/>
    <w:rsid w:val="0038139C"/>
    <w:rsid w:val="0038243A"/>
    <w:rsid w:val="003837C6"/>
    <w:rsid w:val="003841A6"/>
    <w:rsid w:val="00385668"/>
    <w:rsid w:val="00391957"/>
    <w:rsid w:val="00392198"/>
    <w:rsid w:val="00392B7A"/>
    <w:rsid w:val="00396085"/>
    <w:rsid w:val="00397376"/>
    <w:rsid w:val="003A1174"/>
    <w:rsid w:val="003A4F8F"/>
    <w:rsid w:val="003A54DE"/>
    <w:rsid w:val="003A63C4"/>
    <w:rsid w:val="003B2709"/>
    <w:rsid w:val="003B3F01"/>
    <w:rsid w:val="003B585A"/>
    <w:rsid w:val="003B6352"/>
    <w:rsid w:val="003C3F00"/>
    <w:rsid w:val="003C5914"/>
    <w:rsid w:val="003C637B"/>
    <w:rsid w:val="003D10AE"/>
    <w:rsid w:val="003D1945"/>
    <w:rsid w:val="003D44DA"/>
    <w:rsid w:val="003D662F"/>
    <w:rsid w:val="003E5980"/>
    <w:rsid w:val="003F302F"/>
    <w:rsid w:val="003F7B4A"/>
    <w:rsid w:val="00400718"/>
    <w:rsid w:val="00402855"/>
    <w:rsid w:val="00407F09"/>
    <w:rsid w:val="00410131"/>
    <w:rsid w:val="0041783E"/>
    <w:rsid w:val="004216A8"/>
    <w:rsid w:val="00425155"/>
    <w:rsid w:val="00433771"/>
    <w:rsid w:val="00435180"/>
    <w:rsid w:val="004353F1"/>
    <w:rsid w:val="0043691F"/>
    <w:rsid w:val="00437021"/>
    <w:rsid w:val="00440F1C"/>
    <w:rsid w:val="00441E63"/>
    <w:rsid w:val="00442FA0"/>
    <w:rsid w:val="00447C0F"/>
    <w:rsid w:val="00453982"/>
    <w:rsid w:val="0047003A"/>
    <w:rsid w:val="00474CED"/>
    <w:rsid w:val="0047537B"/>
    <w:rsid w:val="00480BC9"/>
    <w:rsid w:val="00492D34"/>
    <w:rsid w:val="00497699"/>
    <w:rsid w:val="004A1D21"/>
    <w:rsid w:val="004A5EA5"/>
    <w:rsid w:val="004A647C"/>
    <w:rsid w:val="004A6AF4"/>
    <w:rsid w:val="004A762D"/>
    <w:rsid w:val="004B2F66"/>
    <w:rsid w:val="004B3C29"/>
    <w:rsid w:val="004B6648"/>
    <w:rsid w:val="004B778B"/>
    <w:rsid w:val="004C1305"/>
    <w:rsid w:val="004C2C58"/>
    <w:rsid w:val="004C5541"/>
    <w:rsid w:val="004C7074"/>
    <w:rsid w:val="004C7931"/>
    <w:rsid w:val="004D1C51"/>
    <w:rsid w:val="004D1F78"/>
    <w:rsid w:val="004E2655"/>
    <w:rsid w:val="004E6655"/>
    <w:rsid w:val="004E6C45"/>
    <w:rsid w:val="004F06A9"/>
    <w:rsid w:val="004F1661"/>
    <w:rsid w:val="004F2EDF"/>
    <w:rsid w:val="004F44BE"/>
    <w:rsid w:val="00505123"/>
    <w:rsid w:val="0050520C"/>
    <w:rsid w:val="00512498"/>
    <w:rsid w:val="00515639"/>
    <w:rsid w:val="00523184"/>
    <w:rsid w:val="00524C00"/>
    <w:rsid w:val="005257DE"/>
    <w:rsid w:val="005266BC"/>
    <w:rsid w:val="00527B77"/>
    <w:rsid w:val="005300BC"/>
    <w:rsid w:val="00531E8A"/>
    <w:rsid w:val="00532120"/>
    <w:rsid w:val="005366B5"/>
    <w:rsid w:val="00537EF3"/>
    <w:rsid w:val="00542D4E"/>
    <w:rsid w:val="0054381B"/>
    <w:rsid w:val="005478A6"/>
    <w:rsid w:val="00550B1C"/>
    <w:rsid w:val="00552EF4"/>
    <w:rsid w:val="00554DC4"/>
    <w:rsid w:val="005658A0"/>
    <w:rsid w:val="00575E6F"/>
    <w:rsid w:val="0057642D"/>
    <w:rsid w:val="00587CD4"/>
    <w:rsid w:val="005908B8"/>
    <w:rsid w:val="005910DC"/>
    <w:rsid w:val="00594646"/>
    <w:rsid w:val="0059673B"/>
    <w:rsid w:val="005A3737"/>
    <w:rsid w:val="005A5437"/>
    <w:rsid w:val="005A5441"/>
    <w:rsid w:val="005A5CC3"/>
    <w:rsid w:val="005B15BB"/>
    <w:rsid w:val="005C03A4"/>
    <w:rsid w:val="005C1A0F"/>
    <w:rsid w:val="005D240D"/>
    <w:rsid w:val="005D3DBB"/>
    <w:rsid w:val="005D4E56"/>
    <w:rsid w:val="005E0BC7"/>
    <w:rsid w:val="005E1854"/>
    <w:rsid w:val="005E3E75"/>
    <w:rsid w:val="005E6BD3"/>
    <w:rsid w:val="005F06EC"/>
    <w:rsid w:val="005F1D26"/>
    <w:rsid w:val="005F6894"/>
    <w:rsid w:val="00602CC1"/>
    <w:rsid w:val="00603F2A"/>
    <w:rsid w:val="0060762E"/>
    <w:rsid w:val="006113B8"/>
    <w:rsid w:val="00611ECA"/>
    <w:rsid w:val="00612C91"/>
    <w:rsid w:val="00613D1C"/>
    <w:rsid w:val="00615D70"/>
    <w:rsid w:val="00620956"/>
    <w:rsid w:val="00625AD3"/>
    <w:rsid w:val="00634F75"/>
    <w:rsid w:val="006423A8"/>
    <w:rsid w:val="006455E0"/>
    <w:rsid w:val="00645DF9"/>
    <w:rsid w:val="0064756B"/>
    <w:rsid w:val="00672051"/>
    <w:rsid w:val="00684F51"/>
    <w:rsid w:val="006A48C5"/>
    <w:rsid w:val="006A7437"/>
    <w:rsid w:val="006A764D"/>
    <w:rsid w:val="006B6B81"/>
    <w:rsid w:val="006C1962"/>
    <w:rsid w:val="006C4DD2"/>
    <w:rsid w:val="006C5752"/>
    <w:rsid w:val="006C7490"/>
    <w:rsid w:val="006D2005"/>
    <w:rsid w:val="006D5532"/>
    <w:rsid w:val="006D67E8"/>
    <w:rsid w:val="006D7943"/>
    <w:rsid w:val="006E2850"/>
    <w:rsid w:val="006E2F87"/>
    <w:rsid w:val="006E36FA"/>
    <w:rsid w:val="006E453E"/>
    <w:rsid w:val="006E7BBF"/>
    <w:rsid w:val="00700AC6"/>
    <w:rsid w:val="00702857"/>
    <w:rsid w:val="00702F19"/>
    <w:rsid w:val="00703963"/>
    <w:rsid w:val="007042B5"/>
    <w:rsid w:val="00712397"/>
    <w:rsid w:val="00715617"/>
    <w:rsid w:val="007158EA"/>
    <w:rsid w:val="007164A5"/>
    <w:rsid w:val="00725FC6"/>
    <w:rsid w:val="007264C5"/>
    <w:rsid w:val="00726E12"/>
    <w:rsid w:val="00731E45"/>
    <w:rsid w:val="00735C42"/>
    <w:rsid w:val="007375D8"/>
    <w:rsid w:val="00737699"/>
    <w:rsid w:val="00740451"/>
    <w:rsid w:val="0074151B"/>
    <w:rsid w:val="00743437"/>
    <w:rsid w:val="00743B94"/>
    <w:rsid w:val="0075324F"/>
    <w:rsid w:val="00754E25"/>
    <w:rsid w:val="00755B89"/>
    <w:rsid w:val="00755E34"/>
    <w:rsid w:val="00760774"/>
    <w:rsid w:val="00765E1F"/>
    <w:rsid w:val="00765F9F"/>
    <w:rsid w:val="007668DC"/>
    <w:rsid w:val="00770C69"/>
    <w:rsid w:val="00771CAC"/>
    <w:rsid w:val="00772DC3"/>
    <w:rsid w:val="00776A85"/>
    <w:rsid w:val="007823B6"/>
    <w:rsid w:val="00784F5D"/>
    <w:rsid w:val="007875D3"/>
    <w:rsid w:val="007B08E2"/>
    <w:rsid w:val="007B1DAC"/>
    <w:rsid w:val="007B5520"/>
    <w:rsid w:val="007B59FB"/>
    <w:rsid w:val="007C1E5D"/>
    <w:rsid w:val="007D0BA0"/>
    <w:rsid w:val="007D0D43"/>
    <w:rsid w:val="007D1D9A"/>
    <w:rsid w:val="007D4749"/>
    <w:rsid w:val="007E0B0D"/>
    <w:rsid w:val="007E0B1D"/>
    <w:rsid w:val="007E18BA"/>
    <w:rsid w:val="007E27EF"/>
    <w:rsid w:val="007E6024"/>
    <w:rsid w:val="007E6AE1"/>
    <w:rsid w:val="007E7D9A"/>
    <w:rsid w:val="007F079A"/>
    <w:rsid w:val="007F0A11"/>
    <w:rsid w:val="007F130D"/>
    <w:rsid w:val="007F165E"/>
    <w:rsid w:val="007F1C46"/>
    <w:rsid w:val="007F20AE"/>
    <w:rsid w:val="007F3361"/>
    <w:rsid w:val="007F4A0A"/>
    <w:rsid w:val="007F6C85"/>
    <w:rsid w:val="007F7409"/>
    <w:rsid w:val="008002D9"/>
    <w:rsid w:val="008012F9"/>
    <w:rsid w:val="0080651D"/>
    <w:rsid w:val="00807E78"/>
    <w:rsid w:val="00810206"/>
    <w:rsid w:val="0081198C"/>
    <w:rsid w:val="00812744"/>
    <w:rsid w:val="00816C9D"/>
    <w:rsid w:val="008211D9"/>
    <w:rsid w:val="0082672C"/>
    <w:rsid w:val="00831556"/>
    <w:rsid w:val="008342C5"/>
    <w:rsid w:val="008364BC"/>
    <w:rsid w:val="008367FE"/>
    <w:rsid w:val="00842CC1"/>
    <w:rsid w:val="00845887"/>
    <w:rsid w:val="00845B27"/>
    <w:rsid w:val="008461D7"/>
    <w:rsid w:val="0085170E"/>
    <w:rsid w:val="00854B5F"/>
    <w:rsid w:val="00854E61"/>
    <w:rsid w:val="0085596C"/>
    <w:rsid w:val="00860F5F"/>
    <w:rsid w:val="00864424"/>
    <w:rsid w:val="00866A7A"/>
    <w:rsid w:val="00870811"/>
    <w:rsid w:val="00871130"/>
    <w:rsid w:val="00872607"/>
    <w:rsid w:val="008738B2"/>
    <w:rsid w:val="00880E16"/>
    <w:rsid w:val="008849A1"/>
    <w:rsid w:val="00892722"/>
    <w:rsid w:val="00894108"/>
    <w:rsid w:val="00894625"/>
    <w:rsid w:val="008953F6"/>
    <w:rsid w:val="008959B6"/>
    <w:rsid w:val="00896B1C"/>
    <w:rsid w:val="008A0AAB"/>
    <w:rsid w:val="008A324E"/>
    <w:rsid w:val="008A586C"/>
    <w:rsid w:val="008A74AB"/>
    <w:rsid w:val="008B20CF"/>
    <w:rsid w:val="008B23EA"/>
    <w:rsid w:val="008B4ABF"/>
    <w:rsid w:val="008B5FA3"/>
    <w:rsid w:val="008B6D74"/>
    <w:rsid w:val="008C206A"/>
    <w:rsid w:val="008C5A7D"/>
    <w:rsid w:val="008C5C61"/>
    <w:rsid w:val="008D0F1C"/>
    <w:rsid w:val="008D25F4"/>
    <w:rsid w:val="008D40E3"/>
    <w:rsid w:val="008D7CCD"/>
    <w:rsid w:val="008E5605"/>
    <w:rsid w:val="008E7E48"/>
    <w:rsid w:val="008F3F0F"/>
    <w:rsid w:val="008F4103"/>
    <w:rsid w:val="008F5F55"/>
    <w:rsid w:val="008F6187"/>
    <w:rsid w:val="008F6D52"/>
    <w:rsid w:val="00903AAC"/>
    <w:rsid w:val="00906B31"/>
    <w:rsid w:val="009126D4"/>
    <w:rsid w:val="0091586B"/>
    <w:rsid w:val="00917BFF"/>
    <w:rsid w:val="00922A12"/>
    <w:rsid w:val="00924276"/>
    <w:rsid w:val="009301C4"/>
    <w:rsid w:val="00936C24"/>
    <w:rsid w:val="00943CC5"/>
    <w:rsid w:val="009457E7"/>
    <w:rsid w:val="00945AE0"/>
    <w:rsid w:val="009509B0"/>
    <w:rsid w:val="00953A7C"/>
    <w:rsid w:val="009570F3"/>
    <w:rsid w:val="00961040"/>
    <w:rsid w:val="00970A17"/>
    <w:rsid w:val="00973987"/>
    <w:rsid w:val="00980842"/>
    <w:rsid w:val="00987DCA"/>
    <w:rsid w:val="009A2D37"/>
    <w:rsid w:val="009A49C9"/>
    <w:rsid w:val="009A64A3"/>
    <w:rsid w:val="009B2D71"/>
    <w:rsid w:val="009B44CC"/>
    <w:rsid w:val="009B5459"/>
    <w:rsid w:val="009B62B3"/>
    <w:rsid w:val="009B6BCC"/>
    <w:rsid w:val="009C26FC"/>
    <w:rsid w:val="009C31D9"/>
    <w:rsid w:val="009C3646"/>
    <w:rsid w:val="009C7DCE"/>
    <w:rsid w:val="009D4BF9"/>
    <w:rsid w:val="009E25B3"/>
    <w:rsid w:val="009E6F8C"/>
    <w:rsid w:val="009F07B6"/>
    <w:rsid w:val="009F2A77"/>
    <w:rsid w:val="009F6515"/>
    <w:rsid w:val="00A0684F"/>
    <w:rsid w:val="00A11843"/>
    <w:rsid w:val="00A1269E"/>
    <w:rsid w:val="00A13553"/>
    <w:rsid w:val="00A170B5"/>
    <w:rsid w:val="00A252F8"/>
    <w:rsid w:val="00A25679"/>
    <w:rsid w:val="00A272E1"/>
    <w:rsid w:val="00A30822"/>
    <w:rsid w:val="00A3474A"/>
    <w:rsid w:val="00A34B3F"/>
    <w:rsid w:val="00A463F7"/>
    <w:rsid w:val="00A46728"/>
    <w:rsid w:val="00A47256"/>
    <w:rsid w:val="00A50CFB"/>
    <w:rsid w:val="00A5380A"/>
    <w:rsid w:val="00A56798"/>
    <w:rsid w:val="00A579B1"/>
    <w:rsid w:val="00A63B2C"/>
    <w:rsid w:val="00A643BC"/>
    <w:rsid w:val="00A67126"/>
    <w:rsid w:val="00A67884"/>
    <w:rsid w:val="00A71372"/>
    <w:rsid w:val="00A75247"/>
    <w:rsid w:val="00A752CD"/>
    <w:rsid w:val="00A76250"/>
    <w:rsid w:val="00A76D22"/>
    <w:rsid w:val="00A82AB7"/>
    <w:rsid w:val="00A87AAB"/>
    <w:rsid w:val="00A90E5B"/>
    <w:rsid w:val="00A911AC"/>
    <w:rsid w:val="00A92117"/>
    <w:rsid w:val="00AA29FD"/>
    <w:rsid w:val="00AA38A8"/>
    <w:rsid w:val="00AA466E"/>
    <w:rsid w:val="00AA7E54"/>
    <w:rsid w:val="00AB1665"/>
    <w:rsid w:val="00AB325F"/>
    <w:rsid w:val="00AB685F"/>
    <w:rsid w:val="00AB7664"/>
    <w:rsid w:val="00AC462E"/>
    <w:rsid w:val="00AC7655"/>
    <w:rsid w:val="00AD12A7"/>
    <w:rsid w:val="00AD1E4F"/>
    <w:rsid w:val="00AD202B"/>
    <w:rsid w:val="00AD3DE3"/>
    <w:rsid w:val="00AD624A"/>
    <w:rsid w:val="00AD6AA1"/>
    <w:rsid w:val="00AE0676"/>
    <w:rsid w:val="00AE0793"/>
    <w:rsid w:val="00AE276D"/>
    <w:rsid w:val="00AE4858"/>
    <w:rsid w:val="00AE4A5C"/>
    <w:rsid w:val="00AE53A2"/>
    <w:rsid w:val="00AE7EEC"/>
    <w:rsid w:val="00AF4DCB"/>
    <w:rsid w:val="00AF653F"/>
    <w:rsid w:val="00B01967"/>
    <w:rsid w:val="00B02624"/>
    <w:rsid w:val="00B05F65"/>
    <w:rsid w:val="00B07AE6"/>
    <w:rsid w:val="00B103E8"/>
    <w:rsid w:val="00B11AC9"/>
    <w:rsid w:val="00B133F6"/>
    <w:rsid w:val="00B210C6"/>
    <w:rsid w:val="00B2421C"/>
    <w:rsid w:val="00B277FD"/>
    <w:rsid w:val="00B2784A"/>
    <w:rsid w:val="00B30F9C"/>
    <w:rsid w:val="00B334F4"/>
    <w:rsid w:val="00B350B4"/>
    <w:rsid w:val="00B36D16"/>
    <w:rsid w:val="00B3720C"/>
    <w:rsid w:val="00B37CF8"/>
    <w:rsid w:val="00B41592"/>
    <w:rsid w:val="00B435DD"/>
    <w:rsid w:val="00B44158"/>
    <w:rsid w:val="00B44481"/>
    <w:rsid w:val="00B50053"/>
    <w:rsid w:val="00B565EC"/>
    <w:rsid w:val="00B56E4F"/>
    <w:rsid w:val="00B60B52"/>
    <w:rsid w:val="00B62626"/>
    <w:rsid w:val="00B64457"/>
    <w:rsid w:val="00B64959"/>
    <w:rsid w:val="00B7140F"/>
    <w:rsid w:val="00B71A6E"/>
    <w:rsid w:val="00B73DC2"/>
    <w:rsid w:val="00B75772"/>
    <w:rsid w:val="00B82F6A"/>
    <w:rsid w:val="00B93FB5"/>
    <w:rsid w:val="00BA782C"/>
    <w:rsid w:val="00BB0805"/>
    <w:rsid w:val="00BB6827"/>
    <w:rsid w:val="00BB7A0E"/>
    <w:rsid w:val="00BC5F33"/>
    <w:rsid w:val="00BD18B3"/>
    <w:rsid w:val="00BD337C"/>
    <w:rsid w:val="00BD57B3"/>
    <w:rsid w:val="00BD6DC2"/>
    <w:rsid w:val="00BE1AE9"/>
    <w:rsid w:val="00BE1CC4"/>
    <w:rsid w:val="00BE2A58"/>
    <w:rsid w:val="00BE414C"/>
    <w:rsid w:val="00BE4FB7"/>
    <w:rsid w:val="00BF0722"/>
    <w:rsid w:val="00BF1301"/>
    <w:rsid w:val="00BF3CC5"/>
    <w:rsid w:val="00BF3CF1"/>
    <w:rsid w:val="00BF4FE8"/>
    <w:rsid w:val="00BF6980"/>
    <w:rsid w:val="00C0351C"/>
    <w:rsid w:val="00C10098"/>
    <w:rsid w:val="00C106C0"/>
    <w:rsid w:val="00C13B3E"/>
    <w:rsid w:val="00C1417D"/>
    <w:rsid w:val="00C24B72"/>
    <w:rsid w:val="00C25F53"/>
    <w:rsid w:val="00C4059F"/>
    <w:rsid w:val="00C408C4"/>
    <w:rsid w:val="00C410B1"/>
    <w:rsid w:val="00C4641A"/>
    <w:rsid w:val="00C472DC"/>
    <w:rsid w:val="00C472F6"/>
    <w:rsid w:val="00C478EA"/>
    <w:rsid w:val="00C50D1C"/>
    <w:rsid w:val="00C51667"/>
    <w:rsid w:val="00C51AB3"/>
    <w:rsid w:val="00C55C81"/>
    <w:rsid w:val="00C665D3"/>
    <w:rsid w:val="00C70FBB"/>
    <w:rsid w:val="00C7301E"/>
    <w:rsid w:val="00C87C45"/>
    <w:rsid w:val="00C905DA"/>
    <w:rsid w:val="00C92473"/>
    <w:rsid w:val="00CA0DB8"/>
    <w:rsid w:val="00CA4AF1"/>
    <w:rsid w:val="00CA6419"/>
    <w:rsid w:val="00CA72AA"/>
    <w:rsid w:val="00CA7CDE"/>
    <w:rsid w:val="00CB06BB"/>
    <w:rsid w:val="00CC00E1"/>
    <w:rsid w:val="00CC46DF"/>
    <w:rsid w:val="00CD27BC"/>
    <w:rsid w:val="00CE5204"/>
    <w:rsid w:val="00CE5E14"/>
    <w:rsid w:val="00CF15D2"/>
    <w:rsid w:val="00CF34DF"/>
    <w:rsid w:val="00CF4810"/>
    <w:rsid w:val="00D01745"/>
    <w:rsid w:val="00D04C1C"/>
    <w:rsid w:val="00D10B3A"/>
    <w:rsid w:val="00D123BD"/>
    <w:rsid w:val="00D25371"/>
    <w:rsid w:val="00D35267"/>
    <w:rsid w:val="00D4032F"/>
    <w:rsid w:val="00D41D14"/>
    <w:rsid w:val="00D42739"/>
    <w:rsid w:val="00D43C56"/>
    <w:rsid w:val="00D43D65"/>
    <w:rsid w:val="00D46044"/>
    <w:rsid w:val="00D477A3"/>
    <w:rsid w:val="00D5129F"/>
    <w:rsid w:val="00D5213B"/>
    <w:rsid w:val="00D54153"/>
    <w:rsid w:val="00D56622"/>
    <w:rsid w:val="00D57440"/>
    <w:rsid w:val="00D644BB"/>
    <w:rsid w:val="00D65C2D"/>
    <w:rsid w:val="00D67D88"/>
    <w:rsid w:val="00D75C64"/>
    <w:rsid w:val="00D84BDC"/>
    <w:rsid w:val="00D9510B"/>
    <w:rsid w:val="00D969EB"/>
    <w:rsid w:val="00D973C7"/>
    <w:rsid w:val="00DA35C7"/>
    <w:rsid w:val="00DA3711"/>
    <w:rsid w:val="00DA5107"/>
    <w:rsid w:val="00DA5820"/>
    <w:rsid w:val="00DA623D"/>
    <w:rsid w:val="00DA782C"/>
    <w:rsid w:val="00DC3E36"/>
    <w:rsid w:val="00DC446A"/>
    <w:rsid w:val="00DC6BD7"/>
    <w:rsid w:val="00DD2B86"/>
    <w:rsid w:val="00DD6458"/>
    <w:rsid w:val="00DE5740"/>
    <w:rsid w:val="00DE5FD2"/>
    <w:rsid w:val="00DF4094"/>
    <w:rsid w:val="00DF5B59"/>
    <w:rsid w:val="00E0030C"/>
    <w:rsid w:val="00E03496"/>
    <w:rsid w:val="00E1196C"/>
    <w:rsid w:val="00E128D4"/>
    <w:rsid w:val="00E161B4"/>
    <w:rsid w:val="00E16666"/>
    <w:rsid w:val="00E259AC"/>
    <w:rsid w:val="00E2618A"/>
    <w:rsid w:val="00E264BB"/>
    <w:rsid w:val="00E34619"/>
    <w:rsid w:val="00E34D2C"/>
    <w:rsid w:val="00E35753"/>
    <w:rsid w:val="00E418B7"/>
    <w:rsid w:val="00E45062"/>
    <w:rsid w:val="00E45FB6"/>
    <w:rsid w:val="00E465F8"/>
    <w:rsid w:val="00E46A59"/>
    <w:rsid w:val="00E51FB2"/>
    <w:rsid w:val="00E520DF"/>
    <w:rsid w:val="00E55BF9"/>
    <w:rsid w:val="00E565E3"/>
    <w:rsid w:val="00E612A4"/>
    <w:rsid w:val="00E642E0"/>
    <w:rsid w:val="00E678BC"/>
    <w:rsid w:val="00E73DB9"/>
    <w:rsid w:val="00E85C39"/>
    <w:rsid w:val="00E86000"/>
    <w:rsid w:val="00E8761D"/>
    <w:rsid w:val="00E91CB3"/>
    <w:rsid w:val="00E93290"/>
    <w:rsid w:val="00E93590"/>
    <w:rsid w:val="00E94327"/>
    <w:rsid w:val="00E9682D"/>
    <w:rsid w:val="00E97B20"/>
    <w:rsid w:val="00EA017A"/>
    <w:rsid w:val="00EA69C7"/>
    <w:rsid w:val="00EB1BFD"/>
    <w:rsid w:val="00EB3914"/>
    <w:rsid w:val="00EB3BE9"/>
    <w:rsid w:val="00EB40CA"/>
    <w:rsid w:val="00EC03E6"/>
    <w:rsid w:val="00EC20CF"/>
    <w:rsid w:val="00ED0103"/>
    <w:rsid w:val="00ED6043"/>
    <w:rsid w:val="00ED741A"/>
    <w:rsid w:val="00EE5004"/>
    <w:rsid w:val="00EE564C"/>
    <w:rsid w:val="00EE5F54"/>
    <w:rsid w:val="00EF1B48"/>
    <w:rsid w:val="00EF4434"/>
    <w:rsid w:val="00EF67F9"/>
    <w:rsid w:val="00F00B8E"/>
    <w:rsid w:val="00F0315D"/>
    <w:rsid w:val="00F05695"/>
    <w:rsid w:val="00F15A36"/>
    <w:rsid w:val="00F163C2"/>
    <w:rsid w:val="00F16C4A"/>
    <w:rsid w:val="00F20A56"/>
    <w:rsid w:val="00F236A1"/>
    <w:rsid w:val="00F30A47"/>
    <w:rsid w:val="00F40D34"/>
    <w:rsid w:val="00F4244A"/>
    <w:rsid w:val="00F45670"/>
    <w:rsid w:val="00F45C9F"/>
    <w:rsid w:val="00F46A20"/>
    <w:rsid w:val="00F47F46"/>
    <w:rsid w:val="00F503DC"/>
    <w:rsid w:val="00F50603"/>
    <w:rsid w:val="00F50832"/>
    <w:rsid w:val="00F51AAC"/>
    <w:rsid w:val="00F5370A"/>
    <w:rsid w:val="00F53CAB"/>
    <w:rsid w:val="00F61AA5"/>
    <w:rsid w:val="00F61F68"/>
    <w:rsid w:val="00F623EF"/>
    <w:rsid w:val="00F64EAF"/>
    <w:rsid w:val="00F64F71"/>
    <w:rsid w:val="00F703EF"/>
    <w:rsid w:val="00F75D17"/>
    <w:rsid w:val="00F76694"/>
    <w:rsid w:val="00F857B8"/>
    <w:rsid w:val="00F85F08"/>
    <w:rsid w:val="00F9290C"/>
    <w:rsid w:val="00FA3205"/>
    <w:rsid w:val="00FB0193"/>
    <w:rsid w:val="00FB0B07"/>
    <w:rsid w:val="00FB113F"/>
    <w:rsid w:val="00FB4118"/>
    <w:rsid w:val="00FB4848"/>
    <w:rsid w:val="00FB48BA"/>
    <w:rsid w:val="00FC72F0"/>
    <w:rsid w:val="00FD2EB2"/>
    <w:rsid w:val="00FD680D"/>
    <w:rsid w:val="00FD6B1D"/>
    <w:rsid w:val="00FE005F"/>
    <w:rsid w:val="00FE1387"/>
    <w:rsid w:val="00FE4957"/>
    <w:rsid w:val="00FE6803"/>
    <w:rsid w:val="00FE6BA1"/>
    <w:rsid w:val="00FF5AE9"/>
    <w:rsid w:val="00FF5E15"/>
    <w:rsid w:val="00FF602B"/>
    <w:rsid w:val="00FF6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A1FD5"/>
  <w15:chartTrackingRefBased/>
  <w15:docId w15:val="{A185C9FA-7FBE-4590-9915-6B5C62D6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1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51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51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0512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1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512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0512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05123"/>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505123"/>
    <w:pPr>
      <w:ind w:left="720"/>
      <w:contextualSpacing/>
    </w:pPr>
  </w:style>
  <w:style w:type="paragraph" w:styleId="Header">
    <w:name w:val="header"/>
    <w:basedOn w:val="Normal"/>
    <w:link w:val="HeaderChar"/>
    <w:uiPriority w:val="99"/>
    <w:unhideWhenUsed/>
    <w:rsid w:val="004E6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C45"/>
  </w:style>
  <w:style w:type="paragraph" w:styleId="Footer">
    <w:name w:val="footer"/>
    <w:basedOn w:val="Normal"/>
    <w:link w:val="FooterChar"/>
    <w:uiPriority w:val="99"/>
    <w:unhideWhenUsed/>
    <w:rsid w:val="004E6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C45"/>
  </w:style>
  <w:style w:type="table" w:styleId="TableGrid">
    <w:name w:val="Table Grid"/>
    <w:basedOn w:val="TableNormal"/>
    <w:uiPriority w:val="39"/>
    <w:rsid w:val="00D96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2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CD178-5B4B-4170-926F-340019871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4763</TotalTime>
  <Pages>7</Pages>
  <Words>3279</Words>
  <Characters>18696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Richards</dc:creator>
  <cp:keywords/>
  <dc:description/>
  <cp:lastModifiedBy>Ben Richards</cp:lastModifiedBy>
  <cp:revision>23</cp:revision>
  <cp:lastPrinted>2014-12-15T15:48:00Z</cp:lastPrinted>
  <dcterms:created xsi:type="dcterms:W3CDTF">2015-05-01T15:20:00Z</dcterms:created>
  <dcterms:modified xsi:type="dcterms:W3CDTF">2015-05-07T14:48:00Z</dcterms:modified>
</cp:coreProperties>
</file>