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77DA6" w14:textId="59636B9B" w:rsidR="00245824" w:rsidRPr="00505123" w:rsidRDefault="00B12655" w:rsidP="00D969EB">
      <w:pPr>
        <w:pStyle w:val="Heading3"/>
        <w:spacing w:before="0"/>
        <w:jc w:val="center"/>
      </w:pPr>
      <w:r>
        <w:t>Corporations</w:t>
      </w:r>
    </w:p>
    <w:p w14:paraId="51D320D2" w14:textId="07D918BB" w:rsidR="00743437" w:rsidRDefault="00B12655" w:rsidP="00743437">
      <w:pPr>
        <w:pStyle w:val="Heading3"/>
        <w:spacing w:before="0"/>
        <w:rPr>
          <w:sz w:val="22"/>
        </w:rPr>
      </w:pPr>
      <w:r>
        <w:rPr>
          <w:sz w:val="22"/>
        </w:rPr>
        <w:t>Agency</w:t>
      </w:r>
    </w:p>
    <w:p w14:paraId="3968BB23" w14:textId="46729948" w:rsidR="00B12655" w:rsidRPr="00B12655" w:rsidRDefault="00B12655" w:rsidP="00FD0BEC">
      <w:pPr>
        <w:pStyle w:val="ListParagraph"/>
        <w:numPr>
          <w:ilvl w:val="0"/>
          <w:numId w:val="1"/>
        </w:numPr>
      </w:pPr>
      <w:r>
        <w:rPr>
          <w:sz w:val="20"/>
        </w:rPr>
        <w:t xml:space="preserve">Three elements of agency (R.2d </w:t>
      </w:r>
      <w:r w:rsidR="008832DB">
        <w:rPr>
          <w:sz w:val="20"/>
        </w:rPr>
        <w:t>§1)</w:t>
      </w:r>
      <w:r>
        <w:rPr>
          <w:sz w:val="20"/>
        </w:rPr>
        <w:t>:</w:t>
      </w:r>
    </w:p>
    <w:p w14:paraId="5B2E86B8" w14:textId="3244DC20" w:rsidR="00B12655" w:rsidRPr="00B12655" w:rsidRDefault="00B12655" w:rsidP="00FD0BEC">
      <w:pPr>
        <w:pStyle w:val="ListParagraph"/>
        <w:numPr>
          <w:ilvl w:val="1"/>
          <w:numId w:val="1"/>
        </w:numPr>
      </w:pPr>
      <w:r>
        <w:rPr>
          <w:sz w:val="20"/>
        </w:rPr>
        <w:t>A consents to agency</w:t>
      </w:r>
    </w:p>
    <w:p w14:paraId="16BD96DD" w14:textId="1A051344" w:rsidR="00B12655" w:rsidRPr="00B12655" w:rsidRDefault="00B12655" w:rsidP="00FD0BEC">
      <w:pPr>
        <w:pStyle w:val="ListParagraph"/>
        <w:numPr>
          <w:ilvl w:val="1"/>
          <w:numId w:val="1"/>
        </w:numPr>
      </w:pPr>
      <w:r>
        <w:rPr>
          <w:sz w:val="20"/>
        </w:rPr>
        <w:t>B acts on behalf of A</w:t>
      </w:r>
    </w:p>
    <w:p w14:paraId="4FC0D226" w14:textId="697BA587" w:rsidR="00B12655" w:rsidRPr="00942C35" w:rsidRDefault="00B12655" w:rsidP="00FD0BEC">
      <w:pPr>
        <w:pStyle w:val="ListParagraph"/>
        <w:numPr>
          <w:ilvl w:val="1"/>
          <w:numId w:val="1"/>
        </w:numPr>
      </w:pPr>
      <w:proofErr w:type="gramStart"/>
      <w:r>
        <w:rPr>
          <w:sz w:val="20"/>
        </w:rPr>
        <w:t>A</w:t>
      </w:r>
      <w:proofErr w:type="gramEnd"/>
      <w:r>
        <w:rPr>
          <w:sz w:val="20"/>
        </w:rPr>
        <w:t xml:space="preserve"> exercises control over B</w:t>
      </w:r>
    </w:p>
    <w:p w14:paraId="4E8FDCB8" w14:textId="04A2C756" w:rsidR="00C4213C" w:rsidRPr="00C4213C" w:rsidRDefault="00C4213C" w:rsidP="00FD0BEC">
      <w:pPr>
        <w:pStyle w:val="ListParagraph"/>
        <w:numPr>
          <w:ilvl w:val="2"/>
          <w:numId w:val="1"/>
        </w:numPr>
      </w:pPr>
      <w:r>
        <w:rPr>
          <w:sz w:val="20"/>
        </w:rPr>
        <w:t xml:space="preserve">Placement of conditions can be used to identify control, leading to agency relationship – </w:t>
      </w:r>
      <w:r>
        <w:rPr>
          <w:i/>
          <w:sz w:val="20"/>
        </w:rPr>
        <w:t>Gorton v. Doty</w:t>
      </w:r>
      <w:r>
        <w:rPr>
          <w:sz w:val="20"/>
        </w:rPr>
        <w:t xml:space="preserve"> (football coach in car accident)</w:t>
      </w:r>
    </w:p>
    <w:p w14:paraId="478A11A5" w14:textId="6AB47077" w:rsidR="00942C35" w:rsidRPr="00591552" w:rsidRDefault="00942C35" w:rsidP="00FD0BEC">
      <w:pPr>
        <w:pStyle w:val="ListParagraph"/>
        <w:numPr>
          <w:ilvl w:val="2"/>
          <w:numId w:val="1"/>
        </w:numPr>
      </w:pPr>
      <w:r>
        <w:rPr>
          <w:sz w:val="20"/>
        </w:rPr>
        <w:t xml:space="preserve">Totality of circumstances can create an agency relationship – </w:t>
      </w:r>
      <w:r>
        <w:rPr>
          <w:i/>
          <w:sz w:val="20"/>
        </w:rPr>
        <w:t xml:space="preserve">Cargill </w:t>
      </w:r>
      <w:r w:rsidR="00D879FE">
        <w:rPr>
          <w:sz w:val="20"/>
        </w:rPr>
        <w:t xml:space="preserve">(control over grain elevator transformed relationship </w:t>
      </w:r>
      <w:r w:rsidR="00605706">
        <w:rPr>
          <w:sz w:val="20"/>
        </w:rPr>
        <w:t xml:space="preserve">from </w:t>
      </w:r>
      <w:r w:rsidR="00D879FE">
        <w:rPr>
          <w:sz w:val="20"/>
        </w:rPr>
        <w:t>buyer-supplier to principal-agent)</w:t>
      </w:r>
    </w:p>
    <w:p w14:paraId="06DB927F" w14:textId="170B78FD" w:rsidR="00591552" w:rsidRPr="008832DB" w:rsidRDefault="00591552" w:rsidP="00FD0BEC">
      <w:pPr>
        <w:pStyle w:val="ListParagraph"/>
        <w:numPr>
          <w:ilvl w:val="3"/>
          <w:numId w:val="1"/>
        </w:numPr>
      </w:pPr>
      <w:r>
        <w:rPr>
          <w:sz w:val="20"/>
        </w:rPr>
        <w:t>Clark thinks both of these cases are stretches</w:t>
      </w:r>
    </w:p>
    <w:p w14:paraId="128782C3" w14:textId="4555E0FF" w:rsidR="008832DB" w:rsidRPr="008832DB" w:rsidRDefault="008832DB" w:rsidP="00FD0BEC">
      <w:pPr>
        <w:pStyle w:val="ListParagraph"/>
        <w:numPr>
          <w:ilvl w:val="0"/>
          <w:numId w:val="1"/>
        </w:numPr>
      </w:pPr>
      <w:r>
        <w:rPr>
          <w:sz w:val="20"/>
        </w:rPr>
        <w:t>Five types of agency authority:</w:t>
      </w:r>
    </w:p>
    <w:p w14:paraId="0AA56517" w14:textId="5C4B9165" w:rsidR="008832DB" w:rsidRPr="00942C35" w:rsidRDefault="008832DB" w:rsidP="00FD0BEC">
      <w:pPr>
        <w:pStyle w:val="ListParagraph"/>
        <w:numPr>
          <w:ilvl w:val="1"/>
          <w:numId w:val="1"/>
        </w:numPr>
        <w:spacing w:line="240" w:lineRule="auto"/>
      </w:pPr>
      <w:r>
        <w:rPr>
          <w:sz w:val="20"/>
        </w:rPr>
        <w:t xml:space="preserve">Actual (R.2d </w:t>
      </w:r>
      <w:r w:rsidR="00942C35">
        <w:rPr>
          <w:sz w:val="20"/>
        </w:rPr>
        <w:t>§7)</w:t>
      </w:r>
    </w:p>
    <w:p w14:paraId="5A15C999" w14:textId="6286E62A" w:rsidR="00942C35" w:rsidRPr="00942C35" w:rsidRDefault="00942C35" w:rsidP="00FD0BEC">
      <w:pPr>
        <w:pStyle w:val="ListParagraph"/>
        <w:numPr>
          <w:ilvl w:val="2"/>
          <w:numId w:val="1"/>
        </w:numPr>
        <w:spacing w:line="240" w:lineRule="auto"/>
      </w:pPr>
      <w:r>
        <w:rPr>
          <w:sz w:val="20"/>
        </w:rPr>
        <w:t>Can be classified as either implied actual authority or express actual authority</w:t>
      </w:r>
    </w:p>
    <w:p w14:paraId="6C38D676" w14:textId="4B4C11A4" w:rsidR="00942C35" w:rsidRPr="00942C35" w:rsidRDefault="00942C35" w:rsidP="00FD0BEC">
      <w:pPr>
        <w:pStyle w:val="ListParagraph"/>
        <w:numPr>
          <w:ilvl w:val="3"/>
          <w:numId w:val="1"/>
        </w:numPr>
        <w:spacing w:line="240" w:lineRule="auto"/>
      </w:pPr>
      <w:r>
        <w:rPr>
          <w:sz w:val="20"/>
        </w:rPr>
        <w:t>Implied authority is authority principal intended agent to have</w:t>
      </w:r>
    </w:p>
    <w:p w14:paraId="404DAFB2" w14:textId="76692AB4" w:rsidR="00942C35" w:rsidRPr="008832DB" w:rsidRDefault="00942C35" w:rsidP="00FD0BEC">
      <w:pPr>
        <w:pStyle w:val="ListParagraph"/>
        <w:numPr>
          <w:ilvl w:val="3"/>
          <w:numId w:val="1"/>
        </w:numPr>
        <w:spacing w:line="240" w:lineRule="auto"/>
      </w:pPr>
      <w:r>
        <w:rPr>
          <w:sz w:val="20"/>
        </w:rPr>
        <w:t xml:space="preserve">Agent’s reasonable belief that principal wanted him to have authority is critical </w:t>
      </w:r>
      <w:r>
        <w:rPr>
          <w:i/>
          <w:sz w:val="20"/>
        </w:rPr>
        <w:t xml:space="preserve">– Mill Street Church </w:t>
      </w:r>
      <w:r>
        <w:rPr>
          <w:sz w:val="20"/>
        </w:rPr>
        <w:t>(contractor hired brother, not church member)</w:t>
      </w:r>
    </w:p>
    <w:p w14:paraId="43B7C66C" w14:textId="1AD152AB" w:rsidR="008832DB" w:rsidRPr="00D879FE" w:rsidRDefault="008832DB" w:rsidP="00FD0BEC">
      <w:pPr>
        <w:pStyle w:val="ListParagraph"/>
        <w:numPr>
          <w:ilvl w:val="1"/>
          <w:numId w:val="1"/>
        </w:numPr>
      </w:pPr>
      <w:r>
        <w:rPr>
          <w:sz w:val="20"/>
        </w:rPr>
        <w:t>Apparent</w:t>
      </w:r>
      <w:r w:rsidR="00942C35">
        <w:rPr>
          <w:sz w:val="20"/>
        </w:rPr>
        <w:t xml:space="preserve"> (R.2d §8)</w:t>
      </w:r>
    </w:p>
    <w:p w14:paraId="1664835B" w14:textId="7A6E2B9D" w:rsidR="00D879FE" w:rsidRPr="00D879FE" w:rsidRDefault="00D879FE" w:rsidP="00FD0BEC">
      <w:pPr>
        <w:pStyle w:val="ListParagraph"/>
        <w:numPr>
          <w:ilvl w:val="2"/>
          <w:numId w:val="1"/>
        </w:numPr>
      </w:pPr>
      <w:r>
        <w:rPr>
          <w:sz w:val="20"/>
        </w:rPr>
        <w:t xml:space="preserve">Exists when a principal leads a reasonably prudent person to believe that agent has specific authority </w:t>
      </w:r>
      <w:r w:rsidR="00DC3119">
        <w:rPr>
          <w:sz w:val="20"/>
        </w:rPr>
        <w:t xml:space="preserve">– </w:t>
      </w:r>
      <w:proofErr w:type="spellStart"/>
      <w:r w:rsidR="00DC3119">
        <w:rPr>
          <w:i/>
          <w:sz w:val="20"/>
        </w:rPr>
        <w:t>Ampex</w:t>
      </w:r>
      <w:proofErr w:type="spellEnd"/>
      <w:r w:rsidR="00DC3119">
        <w:rPr>
          <w:sz w:val="20"/>
        </w:rPr>
        <w:t xml:space="preserve"> (salesman should have authority to bind principal to sell)</w:t>
      </w:r>
    </w:p>
    <w:p w14:paraId="6109A662" w14:textId="5916B57E" w:rsidR="00D879FE" w:rsidRPr="008832DB" w:rsidRDefault="00D879FE" w:rsidP="00FD0BEC">
      <w:pPr>
        <w:pStyle w:val="ListParagraph"/>
        <w:numPr>
          <w:ilvl w:val="3"/>
          <w:numId w:val="1"/>
        </w:numPr>
      </w:pPr>
      <w:r>
        <w:rPr>
          <w:sz w:val="20"/>
        </w:rPr>
        <w:t>Formal limits on authority only matter if third parties know of the limitation</w:t>
      </w:r>
    </w:p>
    <w:p w14:paraId="658FE4AD" w14:textId="301253D5" w:rsidR="008832DB" w:rsidRPr="00D879FE" w:rsidRDefault="008832DB" w:rsidP="00FD0BEC">
      <w:pPr>
        <w:pStyle w:val="ListParagraph"/>
        <w:numPr>
          <w:ilvl w:val="1"/>
          <w:numId w:val="1"/>
        </w:numPr>
      </w:pPr>
      <w:r>
        <w:rPr>
          <w:sz w:val="20"/>
        </w:rPr>
        <w:t>Inherent</w:t>
      </w:r>
      <w:r w:rsidR="00942C35">
        <w:rPr>
          <w:sz w:val="20"/>
        </w:rPr>
        <w:t xml:space="preserve"> (R.2d §8A)</w:t>
      </w:r>
    </w:p>
    <w:p w14:paraId="4A26E314" w14:textId="7454A3F5" w:rsidR="00D879FE" w:rsidRPr="00C4213C" w:rsidRDefault="00D879FE" w:rsidP="00FD0BEC">
      <w:pPr>
        <w:pStyle w:val="ListParagraph"/>
        <w:numPr>
          <w:ilvl w:val="2"/>
          <w:numId w:val="1"/>
        </w:numPr>
      </w:pPr>
      <w:r>
        <w:rPr>
          <w:sz w:val="20"/>
        </w:rPr>
        <w:t xml:space="preserve">Principal is bound by agent’s actions that are within the scope of authority usually given to agents, despite lack of actual authority (or even undisclosed principal) – </w:t>
      </w:r>
      <w:r>
        <w:rPr>
          <w:i/>
          <w:sz w:val="20"/>
        </w:rPr>
        <w:t>Watteau</w:t>
      </w:r>
      <w:r>
        <w:rPr>
          <w:sz w:val="20"/>
        </w:rPr>
        <w:t xml:space="preserve"> (bartender may purchase bread)</w:t>
      </w:r>
      <w:r w:rsidR="00DC3119">
        <w:rPr>
          <w:sz w:val="20"/>
        </w:rPr>
        <w:t xml:space="preserve"> – see also R.2d §194</w:t>
      </w:r>
      <w:r w:rsidR="00C4213C">
        <w:rPr>
          <w:sz w:val="20"/>
        </w:rPr>
        <w:t>-95</w:t>
      </w:r>
    </w:p>
    <w:p w14:paraId="0239A15E" w14:textId="50C3251C" w:rsidR="00C4213C" w:rsidRPr="008832DB" w:rsidRDefault="00C4213C" w:rsidP="00FD0BEC">
      <w:pPr>
        <w:pStyle w:val="ListParagraph"/>
        <w:numPr>
          <w:ilvl w:val="3"/>
          <w:numId w:val="1"/>
        </w:numPr>
      </w:pPr>
      <w:r>
        <w:rPr>
          <w:sz w:val="20"/>
        </w:rPr>
        <w:t>But see R.3d §2.06, which might introduce a notice requirement for principals – without notice of third party’s reliance, principal is not bound?</w:t>
      </w:r>
    </w:p>
    <w:p w14:paraId="1B105B1B" w14:textId="6BDBF593" w:rsidR="00942C35" w:rsidRPr="003B588B" w:rsidRDefault="008832DB" w:rsidP="00FD0BEC">
      <w:pPr>
        <w:pStyle w:val="ListParagraph"/>
        <w:numPr>
          <w:ilvl w:val="1"/>
          <w:numId w:val="1"/>
        </w:numPr>
      </w:pPr>
      <w:r>
        <w:rPr>
          <w:sz w:val="20"/>
        </w:rPr>
        <w:t>Estoppel</w:t>
      </w:r>
      <w:r w:rsidR="00942C35">
        <w:rPr>
          <w:sz w:val="20"/>
        </w:rPr>
        <w:t xml:space="preserve"> (R.2d §8B)</w:t>
      </w:r>
    </w:p>
    <w:p w14:paraId="7068F0DA" w14:textId="779B380F" w:rsidR="003B588B" w:rsidRPr="008832DB" w:rsidRDefault="003B588B" w:rsidP="00FD0BEC">
      <w:pPr>
        <w:pStyle w:val="ListParagraph"/>
        <w:numPr>
          <w:ilvl w:val="2"/>
          <w:numId w:val="1"/>
        </w:numPr>
      </w:pPr>
      <w:r>
        <w:rPr>
          <w:sz w:val="20"/>
        </w:rPr>
        <w:t>Agency by estoppel requires 1) principal’s intentional or careless acts/omissions causing the appearance of authority, 2) reasonable, good faith reliance on that authority, and 3) a detrimental change of position</w:t>
      </w:r>
      <w:r w:rsidR="00BA1331">
        <w:rPr>
          <w:sz w:val="20"/>
        </w:rPr>
        <w:t xml:space="preserve"> – </w:t>
      </w:r>
      <w:proofErr w:type="spellStart"/>
      <w:r w:rsidR="00BA1331">
        <w:rPr>
          <w:i/>
          <w:sz w:val="20"/>
        </w:rPr>
        <w:t>Hoddeson</w:t>
      </w:r>
      <w:proofErr w:type="spellEnd"/>
      <w:r w:rsidR="00BA1331">
        <w:rPr>
          <w:i/>
          <w:sz w:val="20"/>
        </w:rPr>
        <w:t xml:space="preserve"> v. </w:t>
      </w:r>
      <w:proofErr w:type="spellStart"/>
      <w:r w:rsidR="00BA1331">
        <w:rPr>
          <w:i/>
          <w:sz w:val="20"/>
        </w:rPr>
        <w:t>Koos</w:t>
      </w:r>
      <w:proofErr w:type="spellEnd"/>
      <w:r w:rsidR="00BA1331">
        <w:rPr>
          <w:i/>
          <w:sz w:val="20"/>
        </w:rPr>
        <w:t xml:space="preserve"> Bros </w:t>
      </w:r>
      <w:r w:rsidR="00BA1331">
        <w:rPr>
          <w:sz w:val="20"/>
        </w:rPr>
        <w:t>(furniture store)</w:t>
      </w:r>
      <w:r w:rsidR="00BA1331">
        <w:t xml:space="preserve"> </w:t>
      </w:r>
    </w:p>
    <w:p w14:paraId="1B674C95" w14:textId="7E073476" w:rsidR="008832DB" w:rsidRPr="00C55499" w:rsidRDefault="008832DB" w:rsidP="00FD0BEC">
      <w:pPr>
        <w:pStyle w:val="ListParagraph"/>
        <w:numPr>
          <w:ilvl w:val="1"/>
          <w:numId w:val="1"/>
        </w:numPr>
      </w:pPr>
      <w:r>
        <w:rPr>
          <w:sz w:val="20"/>
        </w:rPr>
        <w:t>Ratification</w:t>
      </w:r>
      <w:r w:rsidR="00942C35">
        <w:rPr>
          <w:sz w:val="20"/>
        </w:rPr>
        <w:t xml:space="preserve"> (R.2d §82)</w:t>
      </w:r>
    </w:p>
    <w:p w14:paraId="323B9F6A" w14:textId="475696C4" w:rsidR="00C55499" w:rsidRPr="00C55499" w:rsidRDefault="00C55499" w:rsidP="00FD0BEC">
      <w:pPr>
        <w:pStyle w:val="ListParagraph"/>
        <w:numPr>
          <w:ilvl w:val="2"/>
          <w:numId w:val="1"/>
        </w:numPr>
      </w:pPr>
      <w:r>
        <w:rPr>
          <w:sz w:val="20"/>
        </w:rPr>
        <w:t xml:space="preserve">Ratification requires 1) acceptance of results, 2) intent to ratify agent’s actions, and 3) full knowledge of all material circumstances – </w:t>
      </w:r>
      <w:proofErr w:type="spellStart"/>
      <w:r>
        <w:rPr>
          <w:i/>
          <w:sz w:val="20"/>
        </w:rPr>
        <w:t>Botticello</w:t>
      </w:r>
      <w:proofErr w:type="spellEnd"/>
      <w:r>
        <w:rPr>
          <w:i/>
          <w:sz w:val="20"/>
        </w:rPr>
        <w:t xml:space="preserve"> </w:t>
      </w:r>
      <w:r>
        <w:rPr>
          <w:sz w:val="20"/>
        </w:rPr>
        <w:t>(wife’s acceptance of rent payments was not ratification)</w:t>
      </w:r>
      <w:r>
        <w:rPr>
          <w:i/>
          <w:sz w:val="20"/>
        </w:rPr>
        <w:t xml:space="preserve"> </w:t>
      </w:r>
    </w:p>
    <w:p w14:paraId="14412D6E" w14:textId="11B18F0E" w:rsidR="00605706" w:rsidRPr="007F79AC" w:rsidRDefault="00FF041D" w:rsidP="00FD0BEC">
      <w:pPr>
        <w:pStyle w:val="ListParagraph"/>
        <w:numPr>
          <w:ilvl w:val="2"/>
          <w:numId w:val="1"/>
        </w:numPr>
      </w:pPr>
      <w:r>
        <w:rPr>
          <w:sz w:val="20"/>
        </w:rPr>
        <w:t xml:space="preserve">Also </w:t>
      </w:r>
      <w:r w:rsidR="00C55499">
        <w:rPr>
          <w:sz w:val="20"/>
        </w:rPr>
        <w:t>found if</w:t>
      </w:r>
      <w:r>
        <w:rPr>
          <w:sz w:val="20"/>
        </w:rPr>
        <w:t xml:space="preserve"> principal receives benefit from</w:t>
      </w:r>
      <w:r w:rsidR="00C55499">
        <w:rPr>
          <w:sz w:val="20"/>
        </w:rPr>
        <w:t xml:space="preserve"> agr</w:t>
      </w:r>
      <w:r>
        <w:rPr>
          <w:sz w:val="20"/>
        </w:rPr>
        <w:t>eement and fails to repudiate</w:t>
      </w:r>
      <w:r w:rsidR="00C55499">
        <w:rPr>
          <w:sz w:val="20"/>
        </w:rPr>
        <w:t xml:space="preserve"> – R.2d §98</w:t>
      </w:r>
    </w:p>
    <w:p w14:paraId="127ECF1A" w14:textId="5052F36D" w:rsidR="00926E45" w:rsidRDefault="00926E45" w:rsidP="00FD0BEC">
      <w:pPr>
        <w:pStyle w:val="ListParagraph"/>
        <w:numPr>
          <w:ilvl w:val="0"/>
          <w:numId w:val="1"/>
        </w:numPr>
        <w:rPr>
          <w:sz w:val="20"/>
          <w:szCs w:val="20"/>
        </w:rPr>
      </w:pPr>
      <w:r>
        <w:rPr>
          <w:sz w:val="20"/>
          <w:szCs w:val="20"/>
        </w:rPr>
        <w:t>Master is a principal who employs an agent to perform service and has the right to control the physical conduct of the servant (manner of the work)</w:t>
      </w:r>
      <w:r w:rsidR="0006306E">
        <w:rPr>
          <w:sz w:val="20"/>
          <w:szCs w:val="20"/>
        </w:rPr>
        <w:t xml:space="preserve"> </w:t>
      </w:r>
      <w:r>
        <w:rPr>
          <w:sz w:val="20"/>
          <w:szCs w:val="20"/>
        </w:rPr>
        <w:t>– R.2d §2</w:t>
      </w:r>
      <w:r w:rsidR="0006306E">
        <w:rPr>
          <w:sz w:val="20"/>
          <w:szCs w:val="20"/>
        </w:rPr>
        <w:t>(2)</w:t>
      </w:r>
    </w:p>
    <w:p w14:paraId="61FD2F06" w14:textId="4810FD46" w:rsidR="00605706" w:rsidRDefault="007F79AC" w:rsidP="00FD0BEC">
      <w:pPr>
        <w:pStyle w:val="ListParagraph"/>
        <w:numPr>
          <w:ilvl w:val="1"/>
          <w:numId w:val="1"/>
        </w:numPr>
        <w:rPr>
          <w:sz w:val="20"/>
          <w:szCs w:val="20"/>
        </w:rPr>
      </w:pPr>
      <w:r>
        <w:rPr>
          <w:sz w:val="20"/>
          <w:szCs w:val="20"/>
        </w:rPr>
        <w:t>F</w:t>
      </w:r>
      <w:r w:rsidR="004D4FBA">
        <w:rPr>
          <w:sz w:val="20"/>
          <w:szCs w:val="20"/>
        </w:rPr>
        <w:t>actors in determining if</w:t>
      </w:r>
      <w:r w:rsidR="00605706">
        <w:rPr>
          <w:sz w:val="20"/>
          <w:szCs w:val="20"/>
        </w:rPr>
        <w:t xml:space="preserve"> an actor is a servant or an independent contractor</w:t>
      </w:r>
      <w:r>
        <w:rPr>
          <w:sz w:val="20"/>
          <w:szCs w:val="20"/>
        </w:rPr>
        <w:t xml:space="preserve">: (R.2d §220(2)) </w:t>
      </w:r>
    </w:p>
    <w:p w14:paraId="4901DFF2" w14:textId="77777777" w:rsidR="00605706" w:rsidRDefault="00605706" w:rsidP="00617B02">
      <w:pPr>
        <w:pStyle w:val="ListParagraph"/>
        <w:numPr>
          <w:ilvl w:val="2"/>
          <w:numId w:val="1"/>
        </w:numPr>
        <w:rPr>
          <w:sz w:val="20"/>
          <w:szCs w:val="20"/>
        </w:rPr>
      </w:pPr>
      <w:r>
        <w:rPr>
          <w:sz w:val="20"/>
          <w:szCs w:val="20"/>
        </w:rPr>
        <w:t>Extent of control which the master may exercise over the work’s details</w:t>
      </w:r>
    </w:p>
    <w:p w14:paraId="67F91224" w14:textId="574E54C9" w:rsidR="00605706" w:rsidRDefault="00064F64" w:rsidP="00617B02">
      <w:pPr>
        <w:pStyle w:val="ListParagraph"/>
        <w:numPr>
          <w:ilvl w:val="3"/>
          <w:numId w:val="1"/>
        </w:numPr>
        <w:rPr>
          <w:sz w:val="20"/>
          <w:szCs w:val="20"/>
        </w:rPr>
      </w:pPr>
      <w:r>
        <w:rPr>
          <w:sz w:val="20"/>
          <w:szCs w:val="20"/>
        </w:rPr>
        <w:t xml:space="preserve">Almost carries dispositive weight </w:t>
      </w:r>
      <w:r w:rsidR="00605706">
        <w:rPr>
          <w:sz w:val="20"/>
          <w:szCs w:val="20"/>
        </w:rPr>
        <w:t xml:space="preserve">in </w:t>
      </w:r>
      <w:r w:rsidR="00605706">
        <w:rPr>
          <w:i/>
          <w:sz w:val="20"/>
          <w:szCs w:val="20"/>
        </w:rPr>
        <w:t xml:space="preserve">Humble Oil </w:t>
      </w:r>
      <w:r w:rsidR="00605706">
        <w:rPr>
          <w:sz w:val="20"/>
          <w:szCs w:val="20"/>
        </w:rPr>
        <w:t xml:space="preserve">and </w:t>
      </w:r>
      <w:r w:rsidR="00605706">
        <w:rPr>
          <w:i/>
          <w:sz w:val="20"/>
          <w:szCs w:val="20"/>
        </w:rPr>
        <w:t>Sun Oil</w:t>
      </w:r>
    </w:p>
    <w:p w14:paraId="5939D701" w14:textId="20C42E12" w:rsidR="00605706" w:rsidRDefault="00605706" w:rsidP="00FD0BEC">
      <w:pPr>
        <w:pStyle w:val="ListParagraph"/>
        <w:numPr>
          <w:ilvl w:val="2"/>
          <w:numId w:val="1"/>
        </w:numPr>
        <w:rPr>
          <w:sz w:val="20"/>
          <w:szCs w:val="20"/>
        </w:rPr>
      </w:pPr>
      <w:r>
        <w:rPr>
          <w:sz w:val="20"/>
          <w:szCs w:val="20"/>
        </w:rPr>
        <w:t>Is employee is engaged in a distinct occupation/business</w:t>
      </w:r>
      <w:r w:rsidR="005710F9">
        <w:rPr>
          <w:sz w:val="20"/>
          <w:szCs w:val="20"/>
        </w:rPr>
        <w:t>?</w:t>
      </w:r>
    </w:p>
    <w:p w14:paraId="1AFA18BB" w14:textId="77777777" w:rsidR="00605706" w:rsidRDefault="00605706" w:rsidP="00FD0BEC">
      <w:pPr>
        <w:pStyle w:val="ListParagraph"/>
        <w:numPr>
          <w:ilvl w:val="2"/>
          <w:numId w:val="1"/>
        </w:numPr>
        <w:rPr>
          <w:sz w:val="20"/>
          <w:szCs w:val="20"/>
        </w:rPr>
      </w:pPr>
      <w:r>
        <w:rPr>
          <w:sz w:val="20"/>
          <w:szCs w:val="20"/>
        </w:rPr>
        <w:t>Is the kind of work that usually done without supervision?</w:t>
      </w:r>
    </w:p>
    <w:p w14:paraId="07938FD6" w14:textId="77777777" w:rsidR="00605706" w:rsidRDefault="00605706" w:rsidP="00FD0BEC">
      <w:pPr>
        <w:pStyle w:val="ListParagraph"/>
        <w:numPr>
          <w:ilvl w:val="2"/>
          <w:numId w:val="1"/>
        </w:numPr>
        <w:rPr>
          <w:sz w:val="20"/>
          <w:szCs w:val="20"/>
        </w:rPr>
      </w:pPr>
      <w:r>
        <w:rPr>
          <w:sz w:val="20"/>
          <w:szCs w:val="20"/>
        </w:rPr>
        <w:t>Level of skill required</w:t>
      </w:r>
    </w:p>
    <w:p w14:paraId="4301A64F" w14:textId="4621FEBD" w:rsidR="00605706" w:rsidRDefault="00605706" w:rsidP="00FD0BEC">
      <w:pPr>
        <w:pStyle w:val="ListParagraph"/>
        <w:numPr>
          <w:ilvl w:val="2"/>
          <w:numId w:val="1"/>
        </w:numPr>
        <w:rPr>
          <w:sz w:val="20"/>
          <w:szCs w:val="20"/>
        </w:rPr>
      </w:pPr>
      <w:r>
        <w:rPr>
          <w:sz w:val="20"/>
          <w:szCs w:val="20"/>
        </w:rPr>
        <w:t>Who supplies the tools and workplace for the employee</w:t>
      </w:r>
      <w:r w:rsidR="005710F9">
        <w:rPr>
          <w:sz w:val="20"/>
          <w:szCs w:val="20"/>
        </w:rPr>
        <w:t>?</w:t>
      </w:r>
    </w:p>
    <w:p w14:paraId="31560CED" w14:textId="77777777" w:rsidR="00605706" w:rsidRDefault="00605706" w:rsidP="00FD0BEC">
      <w:pPr>
        <w:pStyle w:val="ListParagraph"/>
        <w:numPr>
          <w:ilvl w:val="2"/>
          <w:numId w:val="1"/>
        </w:numPr>
        <w:rPr>
          <w:sz w:val="20"/>
          <w:szCs w:val="20"/>
        </w:rPr>
      </w:pPr>
      <w:r>
        <w:rPr>
          <w:sz w:val="20"/>
          <w:szCs w:val="20"/>
        </w:rPr>
        <w:t>Length of time for which the person is employed</w:t>
      </w:r>
    </w:p>
    <w:p w14:paraId="4D3AACF9" w14:textId="77777777" w:rsidR="00605706" w:rsidRDefault="00605706" w:rsidP="00FD0BEC">
      <w:pPr>
        <w:pStyle w:val="ListParagraph"/>
        <w:numPr>
          <w:ilvl w:val="2"/>
          <w:numId w:val="1"/>
        </w:numPr>
        <w:rPr>
          <w:sz w:val="20"/>
          <w:szCs w:val="20"/>
        </w:rPr>
      </w:pPr>
      <w:r>
        <w:rPr>
          <w:sz w:val="20"/>
          <w:szCs w:val="20"/>
        </w:rPr>
        <w:t>Method of payment (hourly or commission)</w:t>
      </w:r>
    </w:p>
    <w:p w14:paraId="5F0AB43B" w14:textId="56CB55EE" w:rsidR="00605706" w:rsidRDefault="00926E45" w:rsidP="00FD0BEC">
      <w:pPr>
        <w:pStyle w:val="ListParagraph"/>
        <w:numPr>
          <w:ilvl w:val="2"/>
          <w:numId w:val="1"/>
        </w:numPr>
        <w:rPr>
          <w:sz w:val="20"/>
          <w:szCs w:val="20"/>
        </w:rPr>
      </w:pPr>
      <w:r>
        <w:rPr>
          <w:sz w:val="20"/>
          <w:szCs w:val="20"/>
        </w:rPr>
        <w:t>Is</w:t>
      </w:r>
      <w:r w:rsidR="00605706">
        <w:rPr>
          <w:sz w:val="20"/>
          <w:szCs w:val="20"/>
        </w:rPr>
        <w:t xml:space="preserve"> the work part of the employer’s regular business</w:t>
      </w:r>
      <w:r w:rsidR="005710F9">
        <w:rPr>
          <w:sz w:val="20"/>
          <w:szCs w:val="20"/>
        </w:rPr>
        <w:t>?</w:t>
      </w:r>
    </w:p>
    <w:p w14:paraId="38B12B3A" w14:textId="659DA039" w:rsidR="00605706" w:rsidRDefault="00605706" w:rsidP="00FD0BEC">
      <w:pPr>
        <w:pStyle w:val="ListParagraph"/>
        <w:numPr>
          <w:ilvl w:val="2"/>
          <w:numId w:val="1"/>
        </w:numPr>
        <w:rPr>
          <w:sz w:val="20"/>
          <w:szCs w:val="20"/>
        </w:rPr>
      </w:pPr>
      <w:r>
        <w:rPr>
          <w:sz w:val="20"/>
          <w:szCs w:val="20"/>
        </w:rPr>
        <w:t>Do the parties believe they are creating a master-servant relationship</w:t>
      </w:r>
      <w:r w:rsidR="005710F9">
        <w:rPr>
          <w:sz w:val="20"/>
          <w:szCs w:val="20"/>
        </w:rPr>
        <w:t>?</w:t>
      </w:r>
    </w:p>
    <w:p w14:paraId="7FD42A35" w14:textId="77777777" w:rsidR="00605706" w:rsidRDefault="00605706" w:rsidP="00FD0BEC">
      <w:pPr>
        <w:pStyle w:val="ListParagraph"/>
        <w:numPr>
          <w:ilvl w:val="3"/>
          <w:numId w:val="1"/>
        </w:numPr>
        <w:rPr>
          <w:sz w:val="20"/>
          <w:szCs w:val="20"/>
        </w:rPr>
      </w:pPr>
      <w:r>
        <w:rPr>
          <w:sz w:val="20"/>
          <w:szCs w:val="20"/>
        </w:rPr>
        <w:lastRenderedPageBreak/>
        <w:t xml:space="preserve">Carries very little weight in </w:t>
      </w:r>
      <w:r>
        <w:rPr>
          <w:i/>
          <w:sz w:val="20"/>
          <w:szCs w:val="20"/>
        </w:rPr>
        <w:t>Humble Oil</w:t>
      </w:r>
    </w:p>
    <w:p w14:paraId="096420CE" w14:textId="359838D8" w:rsidR="00605706" w:rsidRDefault="00605706" w:rsidP="00FD0BEC">
      <w:pPr>
        <w:pStyle w:val="ListParagraph"/>
        <w:numPr>
          <w:ilvl w:val="2"/>
          <w:numId w:val="1"/>
        </w:numPr>
        <w:rPr>
          <w:sz w:val="20"/>
          <w:szCs w:val="20"/>
        </w:rPr>
      </w:pPr>
      <w:r>
        <w:rPr>
          <w:sz w:val="20"/>
          <w:szCs w:val="20"/>
        </w:rPr>
        <w:t>Is the principal in business</w:t>
      </w:r>
      <w:r w:rsidR="005710F9">
        <w:rPr>
          <w:sz w:val="20"/>
          <w:szCs w:val="20"/>
        </w:rPr>
        <w:t>?</w:t>
      </w:r>
    </w:p>
    <w:p w14:paraId="3C791BAA" w14:textId="661F6269" w:rsidR="002254B7" w:rsidRDefault="002048EC" w:rsidP="00FD0BEC">
      <w:pPr>
        <w:pStyle w:val="ListParagraph"/>
        <w:numPr>
          <w:ilvl w:val="1"/>
          <w:numId w:val="1"/>
        </w:numPr>
        <w:rPr>
          <w:sz w:val="20"/>
          <w:szCs w:val="20"/>
        </w:rPr>
      </w:pPr>
      <w:r>
        <w:rPr>
          <w:sz w:val="20"/>
          <w:szCs w:val="20"/>
        </w:rPr>
        <w:t xml:space="preserve">Usually, masters are not liable for </w:t>
      </w:r>
      <w:r w:rsidR="006A7E6B">
        <w:rPr>
          <w:sz w:val="20"/>
          <w:szCs w:val="20"/>
        </w:rPr>
        <w:t xml:space="preserve">servants’ </w:t>
      </w:r>
      <w:r>
        <w:rPr>
          <w:sz w:val="20"/>
          <w:szCs w:val="20"/>
        </w:rPr>
        <w:t>torts unless committed</w:t>
      </w:r>
      <w:r w:rsidR="00843457">
        <w:rPr>
          <w:sz w:val="20"/>
          <w:szCs w:val="20"/>
        </w:rPr>
        <w:t xml:space="preserve"> within</w:t>
      </w:r>
      <w:r w:rsidR="006A7E6B">
        <w:rPr>
          <w:sz w:val="20"/>
          <w:szCs w:val="20"/>
        </w:rPr>
        <w:t xml:space="preserve"> scope of </w:t>
      </w:r>
      <w:r>
        <w:rPr>
          <w:sz w:val="20"/>
          <w:szCs w:val="20"/>
        </w:rPr>
        <w:t>employment</w:t>
      </w:r>
    </w:p>
    <w:p w14:paraId="2BC980B9" w14:textId="5F00B942" w:rsidR="00BA1331" w:rsidRDefault="002254B7" w:rsidP="00FD0BEC">
      <w:pPr>
        <w:pStyle w:val="ListParagraph"/>
        <w:numPr>
          <w:ilvl w:val="2"/>
          <w:numId w:val="1"/>
        </w:numPr>
        <w:rPr>
          <w:sz w:val="20"/>
          <w:szCs w:val="20"/>
        </w:rPr>
      </w:pPr>
      <w:r>
        <w:rPr>
          <w:sz w:val="20"/>
          <w:szCs w:val="20"/>
        </w:rPr>
        <w:t xml:space="preserve">Exceptions for master’s negligence/recklessness, master’s intent </w:t>
      </w:r>
      <w:r w:rsidR="00064F64">
        <w:rPr>
          <w:sz w:val="20"/>
          <w:szCs w:val="20"/>
        </w:rPr>
        <w:t>of conduct/</w:t>
      </w:r>
      <w:r>
        <w:rPr>
          <w:sz w:val="20"/>
          <w:szCs w:val="20"/>
        </w:rPr>
        <w:t>consequences, and servant’s apparent authority – R.2d §219(2)</w:t>
      </w:r>
    </w:p>
    <w:p w14:paraId="516A9693" w14:textId="55E5969C" w:rsidR="00365452" w:rsidRPr="00365452" w:rsidRDefault="00365452" w:rsidP="00FD0BEC">
      <w:pPr>
        <w:pStyle w:val="ListParagraph"/>
        <w:numPr>
          <w:ilvl w:val="2"/>
          <w:numId w:val="1"/>
        </w:numPr>
        <w:rPr>
          <w:sz w:val="20"/>
          <w:szCs w:val="20"/>
        </w:rPr>
      </w:pPr>
      <w:r>
        <w:rPr>
          <w:sz w:val="20"/>
          <w:szCs w:val="20"/>
        </w:rPr>
        <w:t>Scope of employment doctrine allows for efficient loss spreading – places cost of loss on party most likely to be able to prevent a repeat incident</w:t>
      </w:r>
    </w:p>
    <w:p w14:paraId="52E7C093" w14:textId="442CFB5B" w:rsidR="002048EC" w:rsidRDefault="002048EC" w:rsidP="00FD0BEC">
      <w:pPr>
        <w:pStyle w:val="ListParagraph"/>
        <w:numPr>
          <w:ilvl w:val="2"/>
          <w:numId w:val="1"/>
        </w:numPr>
        <w:rPr>
          <w:sz w:val="20"/>
          <w:szCs w:val="20"/>
        </w:rPr>
      </w:pPr>
      <w:r>
        <w:rPr>
          <w:sz w:val="20"/>
          <w:szCs w:val="20"/>
        </w:rPr>
        <w:t>An employee’s conduct is within the scope of employment if:</w:t>
      </w:r>
      <w:r w:rsidR="00365452">
        <w:rPr>
          <w:sz w:val="20"/>
          <w:szCs w:val="20"/>
        </w:rPr>
        <w:t xml:space="preserve"> (R.2d §228)</w:t>
      </w:r>
    </w:p>
    <w:p w14:paraId="16A90076" w14:textId="24AD4284" w:rsidR="002048EC" w:rsidRDefault="002048EC" w:rsidP="00FD0BEC">
      <w:pPr>
        <w:pStyle w:val="ListParagraph"/>
        <w:numPr>
          <w:ilvl w:val="3"/>
          <w:numId w:val="1"/>
        </w:numPr>
        <w:rPr>
          <w:sz w:val="20"/>
          <w:szCs w:val="20"/>
        </w:rPr>
      </w:pPr>
      <w:r>
        <w:rPr>
          <w:sz w:val="20"/>
          <w:szCs w:val="20"/>
        </w:rPr>
        <w:t>It is of the kind he is employed to perform</w:t>
      </w:r>
    </w:p>
    <w:p w14:paraId="48D8BEAF" w14:textId="4D9AE6CA" w:rsidR="002048EC" w:rsidRDefault="002048EC" w:rsidP="00FD0BEC">
      <w:pPr>
        <w:pStyle w:val="ListParagraph"/>
        <w:numPr>
          <w:ilvl w:val="3"/>
          <w:numId w:val="1"/>
        </w:numPr>
        <w:rPr>
          <w:sz w:val="20"/>
          <w:szCs w:val="20"/>
        </w:rPr>
      </w:pPr>
      <w:r>
        <w:rPr>
          <w:sz w:val="20"/>
          <w:szCs w:val="20"/>
        </w:rPr>
        <w:t>It occurs substantially within authorized time/space limits</w:t>
      </w:r>
    </w:p>
    <w:p w14:paraId="4A94AA73" w14:textId="632FA50F" w:rsidR="002048EC" w:rsidRDefault="002048EC" w:rsidP="00FD0BEC">
      <w:pPr>
        <w:pStyle w:val="ListParagraph"/>
        <w:numPr>
          <w:ilvl w:val="3"/>
          <w:numId w:val="1"/>
        </w:numPr>
        <w:rPr>
          <w:sz w:val="20"/>
          <w:szCs w:val="20"/>
        </w:rPr>
      </w:pPr>
      <w:r>
        <w:rPr>
          <w:sz w:val="20"/>
          <w:szCs w:val="20"/>
        </w:rPr>
        <w:t>It is actuated at least in part by a purpose to serve the master</w:t>
      </w:r>
    </w:p>
    <w:p w14:paraId="24025103" w14:textId="77777777" w:rsidR="00937A1E" w:rsidRDefault="007F79AC" w:rsidP="00FD0BEC">
      <w:pPr>
        <w:pStyle w:val="ListParagraph"/>
        <w:numPr>
          <w:ilvl w:val="4"/>
          <w:numId w:val="1"/>
        </w:numPr>
        <w:rPr>
          <w:sz w:val="20"/>
          <w:szCs w:val="20"/>
        </w:rPr>
      </w:pPr>
      <w:r>
        <w:rPr>
          <w:sz w:val="20"/>
          <w:szCs w:val="20"/>
        </w:rPr>
        <w:t xml:space="preserve">But see </w:t>
      </w:r>
      <w:r>
        <w:rPr>
          <w:i/>
          <w:sz w:val="20"/>
          <w:szCs w:val="20"/>
        </w:rPr>
        <w:t xml:space="preserve">Ira S. </w:t>
      </w:r>
      <w:proofErr w:type="spellStart"/>
      <w:r>
        <w:rPr>
          <w:i/>
          <w:sz w:val="20"/>
          <w:szCs w:val="20"/>
        </w:rPr>
        <w:t>Bushey</w:t>
      </w:r>
      <w:proofErr w:type="spellEnd"/>
      <w:r>
        <w:rPr>
          <w:i/>
          <w:sz w:val="20"/>
          <w:szCs w:val="20"/>
        </w:rPr>
        <w:t xml:space="preserve"> </w:t>
      </w:r>
      <w:r>
        <w:rPr>
          <w:sz w:val="20"/>
          <w:szCs w:val="20"/>
        </w:rPr>
        <w:t>(drunken sailor damages dry</w:t>
      </w:r>
      <w:r w:rsidR="00064F64">
        <w:rPr>
          <w:sz w:val="20"/>
          <w:szCs w:val="20"/>
        </w:rPr>
        <w:t xml:space="preserve"> </w:t>
      </w:r>
      <w:r>
        <w:rPr>
          <w:sz w:val="20"/>
          <w:szCs w:val="20"/>
        </w:rPr>
        <w:t xml:space="preserve">dock) </w:t>
      </w:r>
      <w:r w:rsidR="00064F64">
        <w:rPr>
          <w:sz w:val="20"/>
          <w:szCs w:val="20"/>
        </w:rPr>
        <w:t xml:space="preserve">– </w:t>
      </w:r>
      <w:r>
        <w:rPr>
          <w:sz w:val="20"/>
          <w:szCs w:val="20"/>
        </w:rPr>
        <w:t>scope of employment includes activities t</w:t>
      </w:r>
      <w:r w:rsidR="00937A1E">
        <w:rPr>
          <w:sz w:val="20"/>
          <w:szCs w:val="20"/>
        </w:rPr>
        <w:t>hat are reasonably foreseeable</w:t>
      </w:r>
    </w:p>
    <w:p w14:paraId="35DC1873" w14:textId="6FD0455F" w:rsidR="007F79AC" w:rsidRPr="007F79AC" w:rsidRDefault="00064F64" w:rsidP="00937A1E">
      <w:pPr>
        <w:pStyle w:val="ListParagraph"/>
        <w:numPr>
          <w:ilvl w:val="5"/>
          <w:numId w:val="1"/>
        </w:numPr>
        <w:rPr>
          <w:sz w:val="20"/>
          <w:szCs w:val="20"/>
        </w:rPr>
      </w:pPr>
      <w:r>
        <w:rPr>
          <w:sz w:val="20"/>
          <w:szCs w:val="20"/>
        </w:rPr>
        <w:t>B</w:t>
      </w:r>
      <w:r w:rsidR="007F79AC">
        <w:rPr>
          <w:sz w:val="20"/>
          <w:szCs w:val="20"/>
        </w:rPr>
        <w:t>usiness cannot disclaim responsibility for accidents c</w:t>
      </w:r>
      <w:r>
        <w:rPr>
          <w:sz w:val="20"/>
          <w:szCs w:val="20"/>
        </w:rPr>
        <w:t>haracteristic of its activities</w:t>
      </w:r>
    </w:p>
    <w:p w14:paraId="42B03257" w14:textId="2FC33C8D" w:rsidR="00365452" w:rsidRDefault="002048EC" w:rsidP="00FD0BEC">
      <w:pPr>
        <w:pStyle w:val="ListParagraph"/>
        <w:numPr>
          <w:ilvl w:val="3"/>
          <w:numId w:val="1"/>
        </w:numPr>
        <w:rPr>
          <w:sz w:val="20"/>
          <w:szCs w:val="20"/>
        </w:rPr>
      </w:pPr>
      <w:r>
        <w:rPr>
          <w:sz w:val="20"/>
          <w:szCs w:val="20"/>
        </w:rPr>
        <w:t>If force is intentionally used, such use is not unexpected by the master</w:t>
      </w:r>
    </w:p>
    <w:p w14:paraId="1D0231D3" w14:textId="49932B30" w:rsidR="00365452" w:rsidRDefault="00365452" w:rsidP="00FD0BEC">
      <w:pPr>
        <w:pStyle w:val="ListParagraph"/>
        <w:numPr>
          <w:ilvl w:val="4"/>
          <w:numId w:val="1"/>
        </w:numPr>
        <w:rPr>
          <w:sz w:val="20"/>
          <w:szCs w:val="20"/>
        </w:rPr>
      </w:pPr>
      <w:r>
        <w:rPr>
          <w:sz w:val="20"/>
          <w:szCs w:val="20"/>
        </w:rPr>
        <w:t xml:space="preserve">But see </w:t>
      </w:r>
      <w:r>
        <w:rPr>
          <w:i/>
          <w:sz w:val="20"/>
          <w:szCs w:val="20"/>
        </w:rPr>
        <w:t xml:space="preserve">Manning v. </w:t>
      </w:r>
      <w:proofErr w:type="spellStart"/>
      <w:r>
        <w:rPr>
          <w:i/>
          <w:sz w:val="20"/>
          <w:szCs w:val="20"/>
        </w:rPr>
        <w:t>Grimsley</w:t>
      </w:r>
      <w:proofErr w:type="spellEnd"/>
      <w:r>
        <w:rPr>
          <w:i/>
          <w:sz w:val="20"/>
          <w:szCs w:val="20"/>
        </w:rPr>
        <w:t xml:space="preserve"> </w:t>
      </w:r>
      <w:r>
        <w:rPr>
          <w:sz w:val="20"/>
          <w:szCs w:val="20"/>
        </w:rPr>
        <w:t>(baseball chin music at fan) – plaintiff must show employee’s assault was in response to plaintiff’s conduct which was presently interfering with em</w:t>
      </w:r>
      <w:r w:rsidR="00B67AD0">
        <w:rPr>
          <w:sz w:val="20"/>
          <w:szCs w:val="20"/>
        </w:rPr>
        <w:t xml:space="preserve">ployee’s ability to perform </w:t>
      </w:r>
      <w:r>
        <w:rPr>
          <w:sz w:val="20"/>
          <w:szCs w:val="20"/>
        </w:rPr>
        <w:t>duties successfully</w:t>
      </w:r>
    </w:p>
    <w:p w14:paraId="36DA8194" w14:textId="6702C301" w:rsidR="00365452" w:rsidRDefault="00843457" w:rsidP="00FD0BEC">
      <w:pPr>
        <w:pStyle w:val="ListParagraph"/>
        <w:numPr>
          <w:ilvl w:val="2"/>
          <w:numId w:val="1"/>
        </w:numPr>
        <w:rPr>
          <w:sz w:val="20"/>
          <w:szCs w:val="20"/>
        </w:rPr>
      </w:pPr>
      <w:r>
        <w:rPr>
          <w:sz w:val="20"/>
          <w:szCs w:val="20"/>
        </w:rPr>
        <w:t>In determining if</w:t>
      </w:r>
      <w:r w:rsidR="00365452">
        <w:rPr>
          <w:sz w:val="20"/>
          <w:szCs w:val="20"/>
        </w:rPr>
        <w:t xml:space="preserve"> condu</w:t>
      </w:r>
      <w:r>
        <w:rPr>
          <w:sz w:val="20"/>
          <w:szCs w:val="20"/>
        </w:rPr>
        <w:t>ct is sufficiently similar/</w:t>
      </w:r>
      <w:r w:rsidR="00365452">
        <w:rPr>
          <w:sz w:val="20"/>
          <w:szCs w:val="20"/>
        </w:rPr>
        <w:t xml:space="preserve">incidental to authorized conduct </w:t>
      </w:r>
      <w:r w:rsidR="00926E45">
        <w:rPr>
          <w:sz w:val="20"/>
          <w:szCs w:val="20"/>
        </w:rPr>
        <w:t>as to be</w:t>
      </w:r>
      <w:r w:rsidR="00365452">
        <w:rPr>
          <w:sz w:val="20"/>
          <w:szCs w:val="20"/>
        </w:rPr>
        <w:t xml:space="preserve"> within the scope of employment, </w:t>
      </w:r>
      <w:r w:rsidR="00926E45">
        <w:rPr>
          <w:sz w:val="20"/>
          <w:szCs w:val="20"/>
        </w:rPr>
        <w:t xml:space="preserve">the following factors are </w:t>
      </w:r>
      <w:r w:rsidR="00365452">
        <w:rPr>
          <w:sz w:val="20"/>
          <w:szCs w:val="20"/>
        </w:rPr>
        <w:t>considered: (R.2d §229)</w:t>
      </w:r>
    </w:p>
    <w:p w14:paraId="7964AF75" w14:textId="2EB2CBAB" w:rsidR="00365452" w:rsidRDefault="00365452" w:rsidP="00FD0BEC">
      <w:pPr>
        <w:pStyle w:val="ListParagraph"/>
        <w:numPr>
          <w:ilvl w:val="3"/>
          <w:numId w:val="1"/>
        </w:numPr>
        <w:rPr>
          <w:sz w:val="20"/>
          <w:szCs w:val="20"/>
        </w:rPr>
      </w:pPr>
      <w:r>
        <w:rPr>
          <w:sz w:val="20"/>
          <w:szCs w:val="20"/>
        </w:rPr>
        <w:t>Whether the act is one commonly done by such servants</w:t>
      </w:r>
    </w:p>
    <w:p w14:paraId="1C3C361E" w14:textId="21F8AFBA" w:rsidR="00365452" w:rsidRDefault="00AA5083" w:rsidP="00FD0BEC">
      <w:pPr>
        <w:pStyle w:val="ListParagraph"/>
        <w:numPr>
          <w:ilvl w:val="3"/>
          <w:numId w:val="1"/>
        </w:numPr>
        <w:rPr>
          <w:sz w:val="20"/>
          <w:szCs w:val="20"/>
        </w:rPr>
      </w:pPr>
      <w:r>
        <w:rPr>
          <w:sz w:val="20"/>
          <w:szCs w:val="20"/>
        </w:rPr>
        <w:t>T</w:t>
      </w:r>
      <w:r w:rsidR="00365452">
        <w:rPr>
          <w:sz w:val="20"/>
          <w:szCs w:val="20"/>
        </w:rPr>
        <w:t>ime, place, and purpose of the act</w:t>
      </w:r>
    </w:p>
    <w:p w14:paraId="62A17A83" w14:textId="45D70B55" w:rsidR="00365452" w:rsidRDefault="00AA5083" w:rsidP="00FD0BEC">
      <w:pPr>
        <w:pStyle w:val="ListParagraph"/>
        <w:numPr>
          <w:ilvl w:val="3"/>
          <w:numId w:val="1"/>
        </w:numPr>
        <w:rPr>
          <w:sz w:val="20"/>
          <w:szCs w:val="20"/>
        </w:rPr>
      </w:pPr>
      <w:r>
        <w:rPr>
          <w:sz w:val="20"/>
          <w:szCs w:val="20"/>
        </w:rPr>
        <w:t>P</w:t>
      </w:r>
      <w:r w:rsidR="00365452">
        <w:rPr>
          <w:sz w:val="20"/>
          <w:szCs w:val="20"/>
        </w:rPr>
        <w:t>revious relations between the master and servant</w:t>
      </w:r>
    </w:p>
    <w:p w14:paraId="1B6381A8" w14:textId="59B2535C" w:rsidR="00365452" w:rsidRDefault="00AA5083" w:rsidP="00FD0BEC">
      <w:pPr>
        <w:pStyle w:val="ListParagraph"/>
        <w:numPr>
          <w:ilvl w:val="3"/>
          <w:numId w:val="1"/>
        </w:numPr>
        <w:rPr>
          <w:sz w:val="20"/>
          <w:szCs w:val="20"/>
        </w:rPr>
      </w:pPr>
      <w:r>
        <w:rPr>
          <w:sz w:val="20"/>
          <w:szCs w:val="20"/>
        </w:rPr>
        <w:t>E</w:t>
      </w:r>
      <w:r w:rsidR="00C219AA">
        <w:rPr>
          <w:sz w:val="20"/>
          <w:szCs w:val="20"/>
        </w:rPr>
        <w:t xml:space="preserve">xtent to which </w:t>
      </w:r>
      <w:r w:rsidR="00365452">
        <w:rPr>
          <w:sz w:val="20"/>
          <w:szCs w:val="20"/>
        </w:rPr>
        <w:t>master’s business is apportioned between different servants</w:t>
      </w:r>
    </w:p>
    <w:p w14:paraId="5D8EB52B" w14:textId="6F6685CA" w:rsidR="00365452" w:rsidRDefault="00365452" w:rsidP="00FD0BEC">
      <w:pPr>
        <w:pStyle w:val="ListParagraph"/>
        <w:numPr>
          <w:ilvl w:val="3"/>
          <w:numId w:val="1"/>
        </w:numPr>
        <w:rPr>
          <w:sz w:val="20"/>
          <w:szCs w:val="20"/>
        </w:rPr>
      </w:pPr>
      <w:r>
        <w:rPr>
          <w:sz w:val="20"/>
          <w:szCs w:val="20"/>
        </w:rPr>
        <w:t xml:space="preserve">Whether or not the act is </w:t>
      </w:r>
      <w:r w:rsidR="00AA5083">
        <w:rPr>
          <w:sz w:val="20"/>
          <w:szCs w:val="20"/>
        </w:rPr>
        <w:t>outside the master’s enterprise (or if within the enterprise, has not been entrusted to a servant)</w:t>
      </w:r>
    </w:p>
    <w:p w14:paraId="4B2794F0" w14:textId="2E3836DC" w:rsidR="00AA5083" w:rsidRDefault="00AA5083" w:rsidP="00FD0BEC">
      <w:pPr>
        <w:pStyle w:val="ListParagraph"/>
        <w:numPr>
          <w:ilvl w:val="3"/>
          <w:numId w:val="1"/>
        </w:numPr>
        <w:rPr>
          <w:sz w:val="20"/>
          <w:szCs w:val="20"/>
        </w:rPr>
      </w:pPr>
      <w:r>
        <w:rPr>
          <w:sz w:val="20"/>
          <w:szCs w:val="20"/>
        </w:rPr>
        <w:t>Whether the master reasonably expected such act to be done</w:t>
      </w:r>
    </w:p>
    <w:p w14:paraId="3D9D6E30" w14:textId="1E8548B3" w:rsidR="00AA5083" w:rsidRDefault="00AA5083" w:rsidP="00FD0BEC">
      <w:pPr>
        <w:pStyle w:val="ListParagraph"/>
        <w:numPr>
          <w:ilvl w:val="3"/>
          <w:numId w:val="1"/>
        </w:numPr>
        <w:rPr>
          <w:sz w:val="20"/>
          <w:szCs w:val="20"/>
        </w:rPr>
      </w:pPr>
      <w:r>
        <w:rPr>
          <w:sz w:val="20"/>
          <w:szCs w:val="20"/>
        </w:rPr>
        <w:t>Similarity between the act done and act authorized</w:t>
      </w:r>
    </w:p>
    <w:p w14:paraId="7A42C714" w14:textId="73DF921B" w:rsidR="00AA5083" w:rsidRDefault="00B67AD0" w:rsidP="00FD0BEC">
      <w:pPr>
        <w:pStyle w:val="ListParagraph"/>
        <w:numPr>
          <w:ilvl w:val="3"/>
          <w:numId w:val="1"/>
        </w:numPr>
        <w:rPr>
          <w:sz w:val="20"/>
          <w:szCs w:val="20"/>
        </w:rPr>
      </w:pPr>
      <w:r>
        <w:rPr>
          <w:sz w:val="20"/>
          <w:szCs w:val="20"/>
        </w:rPr>
        <w:t>Whether instrumentality by</w:t>
      </w:r>
      <w:r w:rsidR="00AA5083">
        <w:rPr>
          <w:sz w:val="20"/>
          <w:szCs w:val="20"/>
        </w:rPr>
        <w:t xml:space="preserve"> w</w:t>
      </w:r>
      <w:r>
        <w:rPr>
          <w:sz w:val="20"/>
          <w:szCs w:val="20"/>
        </w:rPr>
        <w:t>hich harm is done was given</w:t>
      </w:r>
      <w:r w:rsidR="00AA5083">
        <w:rPr>
          <w:sz w:val="20"/>
          <w:szCs w:val="20"/>
        </w:rPr>
        <w:t xml:space="preserve"> to servant by master</w:t>
      </w:r>
    </w:p>
    <w:p w14:paraId="30FDF30F" w14:textId="57506B16" w:rsidR="00AA5083" w:rsidRDefault="00AA5083" w:rsidP="00FD0BEC">
      <w:pPr>
        <w:pStyle w:val="ListParagraph"/>
        <w:numPr>
          <w:ilvl w:val="3"/>
          <w:numId w:val="1"/>
        </w:numPr>
        <w:rPr>
          <w:sz w:val="20"/>
          <w:szCs w:val="20"/>
        </w:rPr>
      </w:pPr>
      <w:r>
        <w:rPr>
          <w:sz w:val="20"/>
          <w:szCs w:val="20"/>
        </w:rPr>
        <w:t>Extent of departure from normal method of accomplishing an authorized result</w:t>
      </w:r>
    </w:p>
    <w:p w14:paraId="4328FE76" w14:textId="03AD8976" w:rsidR="006A7E6B" w:rsidRPr="006A7E6B" w:rsidRDefault="00926E45" w:rsidP="00FD0BEC">
      <w:pPr>
        <w:pStyle w:val="ListParagraph"/>
        <w:numPr>
          <w:ilvl w:val="4"/>
          <w:numId w:val="1"/>
        </w:numPr>
        <w:rPr>
          <w:sz w:val="20"/>
          <w:szCs w:val="20"/>
        </w:rPr>
      </w:pPr>
      <w:r>
        <w:rPr>
          <w:sz w:val="20"/>
          <w:szCs w:val="20"/>
        </w:rPr>
        <w:t>U</w:t>
      </w:r>
      <w:r w:rsidR="006A7E6B">
        <w:rPr>
          <w:sz w:val="20"/>
          <w:szCs w:val="20"/>
        </w:rPr>
        <w:t xml:space="preserve">nacceptable behavior does not automatically remove employee from scope of employment – </w:t>
      </w:r>
      <w:proofErr w:type="spellStart"/>
      <w:r w:rsidR="006A7E6B">
        <w:rPr>
          <w:i/>
          <w:sz w:val="20"/>
          <w:szCs w:val="20"/>
        </w:rPr>
        <w:t>Arguello</w:t>
      </w:r>
      <w:proofErr w:type="spellEnd"/>
      <w:r w:rsidR="006A7E6B">
        <w:rPr>
          <w:i/>
          <w:sz w:val="20"/>
          <w:szCs w:val="20"/>
        </w:rPr>
        <w:t xml:space="preserve"> v. Conoco </w:t>
      </w:r>
      <w:r w:rsidR="006A7E6B">
        <w:rPr>
          <w:sz w:val="20"/>
          <w:szCs w:val="20"/>
        </w:rPr>
        <w:t>(racist employee)</w:t>
      </w:r>
    </w:p>
    <w:p w14:paraId="68C1B8A2" w14:textId="05D6AFE4" w:rsidR="00AA5083" w:rsidRDefault="00AA5083" w:rsidP="00FD0BEC">
      <w:pPr>
        <w:pStyle w:val="ListParagraph"/>
        <w:numPr>
          <w:ilvl w:val="3"/>
          <w:numId w:val="1"/>
        </w:numPr>
        <w:rPr>
          <w:sz w:val="20"/>
          <w:szCs w:val="20"/>
        </w:rPr>
      </w:pPr>
      <w:r>
        <w:rPr>
          <w:sz w:val="20"/>
          <w:szCs w:val="20"/>
        </w:rPr>
        <w:t xml:space="preserve">Whether act is seriously criminal </w:t>
      </w:r>
    </w:p>
    <w:p w14:paraId="18267581" w14:textId="764FBA22" w:rsidR="007F79AC" w:rsidRPr="00365452" w:rsidRDefault="007F79AC" w:rsidP="00FD0BEC">
      <w:pPr>
        <w:pStyle w:val="ListParagraph"/>
        <w:numPr>
          <w:ilvl w:val="4"/>
          <w:numId w:val="1"/>
        </w:numPr>
        <w:rPr>
          <w:sz w:val="20"/>
          <w:szCs w:val="20"/>
        </w:rPr>
      </w:pPr>
      <w:r>
        <w:rPr>
          <w:sz w:val="20"/>
          <w:szCs w:val="20"/>
        </w:rPr>
        <w:t>Consciously</w:t>
      </w:r>
      <w:r w:rsidR="00574EA5">
        <w:rPr>
          <w:sz w:val="20"/>
          <w:szCs w:val="20"/>
        </w:rPr>
        <w:t xml:space="preserve"> criminal/</w:t>
      </w:r>
      <w:r>
        <w:rPr>
          <w:sz w:val="20"/>
          <w:szCs w:val="20"/>
        </w:rPr>
        <w:t>tortious acts may be</w:t>
      </w:r>
      <w:r w:rsidR="00B67AD0">
        <w:rPr>
          <w:sz w:val="20"/>
          <w:szCs w:val="20"/>
        </w:rPr>
        <w:t xml:space="preserve"> within </w:t>
      </w:r>
      <w:r w:rsidR="00574EA5">
        <w:rPr>
          <w:sz w:val="20"/>
          <w:szCs w:val="20"/>
        </w:rPr>
        <w:t>scope of employment – R.2d §231</w:t>
      </w:r>
    </w:p>
    <w:p w14:paraId="5C427AAB" w14:textId="09B3B4B6" w:rsidR="00605706" w:rsidRPr="00605706" w:rsidRDefault="00C219AA" w:rsidP="00FD0BEC">
      <w:pPr>
        <w:pStyle w:val="ListParagraph"/>
        <w:numPr>
          <w:ilvl w:val="0"/>
          <w:numId w:val="1"/>
        </w:numPr>
      </w:pPr>
      <w:r>
        <w:rPr>
          <w:sz w:val="20"/>
        </w:rPr>
        <w:t>If a franchise contract</w:t>
      </w:r>
      <w:r w:rsidR="00605706">
        <w:rPr>
          <w:sz w:val="20"/>
        </w:rPr>
        <w:t xml:space="preserve"> regulates franchise activity</w:t>
      </w:r>
      <w:r>
        <w:rPr>
          <w:sz w:val="20"/>
        </w:rPr>
        <w:t xml:space="preserve">, giving </w:t>
      </w:r>
      <w:r w:rsidR="00605706">
        <w:rPr>
          <w:sz w:val="20"/>
        </w:rPr>
        <w:t xml:space="preserve">franchisor “control”, agency exists – </w:t>
      </w:r>
      <w:r w:rsidR="00605706">
        <w:rPr>
          <w:i/>
          <w:sz w:val="20"/>
        </w:rPr>
        <w:t>Holiday Inns</w:t>
      </w:r>
    </w:p>
    <w:p w14:paraId="0A8E7F09" w14:textId="6409BFD5" w:rsidR="00605706" w:rsidRPr="005710F9" w:rsidRDefault="00605706" w:rsidP="00FD0BEC">
      <w:pPr>
        <w:pStyle w:val="ListParagraph"/>
        <w:numPr>
          <w:ilvl w:val="1"/>
          <w:numId w:val="1"/>
        </w:numPr>
      </w:pPr>
      <w:r>
        <w:rPr>
          <w:sz w:val="20"/>
        </w:rPr>
        <w:t xml:space="preserve">Law moves away from result in </w:t>
      </w:r>
      <w:r>
        <w:rPr>
          <w:i/>
          <w:sz w:val="20"/>
        </w:rPr>
        <w:t xml:space="preserve">Holiday Inns </w:t>
      </w:r>
      <w:r>
        <w:rPr>
          <w:sz w:val="20"/>
        </w:rPr>
        <w:t xml:space="preserve">in </w:t>
      </w:r>
      <w:r>
        <w:rPr>
          <w:i/>
          <w:sz w:val="20"/>
        </w:rPr>
        <w:t xml:space="preserve">McDonald’s </w:t>
      </w:r>
      <w:r>
        <w:rPr>
          <w:sz w:val="20"/>
        </w:rPr>
        <w:t>– because promotion of uniformity blurs distinction between franchis</w:t>
      </w:r>
      <w:r w:rsidR="00843457">
        <w:rPr>
          <w:sz w:val="20"/>
        </w:rPr>
        <w:t>ed and company-owned establishments</w:t>
      </w:r>
      <w:r>
        <w:rPr>
          <w:sz w:val="20"/>
        </w:rPr>
        <w:t>, franchisors have created apparent agency – R.2d §267</w:t>
      </w:r>
    </w:p>
    <w:p w14:paraId="42A0DC5D" w14:textId="34B9328B" w:rsidR="005710F9" w:rsidRPr="00605706" w:rsidRDefault="005710F9" w:rsidP="00FD0BEC">
      <w:pPr>
        <w:pStyle w:val="ListParagraph"/>
        <w:numPr>
          <w:ilvl w:val="2"/>
          <w:numId w:val="1"/>
        </w:numPr>
      </w:pPr>
      <w:r>
        <w:rPr>
          <w:sz w:val="20"/>
        </w:rPr>
        <w:t>Victim must have relied on principal’s holding out of franchisee as agent</w:t>
      </w:r>
    </w:p>
    <w:p w14:paraId="0DE0028C" w14:textId="0ED3EBF0" w:rsidR="00605706" w:rsidRPr="005710F9" w:rsidRDefault="00605706" w:rsidP="00FD0BEC">
      <w:pPr>
        <w:pStyle w:val="ListParagraph"/>
        <w:numPr>
          <w:ilvl w:val="1"/>
          <w:numId w:val="1"/>
        </w:numPr>
      </w:pPr>
      <w:r>
        <w:rPr>
          <w:sz w:val="20"/>
        </w:rPr>
        <w:t xml:space="preserve">Control over the specific part of business that lead to the suit is necessary </w:t>
      </w:r>
      <w:r w:rsidR="005710F9">
        <w:rPr>
          <w:sz w:val="20"/>
        </w:rPr>
        <w:t>–</w:t>
      </w:r>
      <w:r>
        <w:rPr>
          <w:sz w:val="20"/>
        </w:rPr>
        <w:t xml:space="preserve"> </w:t>
      </w:r>
      <w:proofErr w:type="spellStart"/>
      <w:r>
        <w:rPr>
          <w:i/>
          <w:sz w:val="20"/>
        </w:rPr>
        <w:t>Vandermark</w:t>
      </w:r>
      <w:proofErr w:type="spellEnd"/>
    </w:p>
    <w:p w14:paraId="5BA43E04" w14:textId="7BA51EE7" w:rsidR="005710F9" w:rsidRPr="00AA5083" w:rsidRDefault="005710F9" w:rsidP="00FD0BEC">
      <w:pPr>
        <w:pStyle w:val="ListParagraph"/>
        <w:numPr>
          <w:ilvl w:val="1"/>
          <w:numId w:val="1"/>
        </w:numPr>
      </w:pPr>
      <w:r>
        <w:rPr>
          <w:sz w:val="20"/>
        </w:rPr>
        <w:t xml:space="preserve">Control need not actually be exercised – the </w:t>
      </w:r>
      <w:r>
        <w:rPr>
          <w:i/>
          <w:sz w:val="20"/>
        </w:rPr>
        <w:t xml:space="preserve">right </w:t>
      </w:r>
      <w:r>
        <w:rPr>
          <w:sz w:val="20"/>
        </w:rPr>
        <w:t>to control is sufficient</w:t>
      </w:r>
    </w:p>
    <w:p w14:paraId="089F7763" w14:textId="0DED73FD" w:rsidR="00AA5083" w:rsidRPr="004D6799" w:rsidRDefault="00AA5083" w:rsidP="00FD0BEC">
      <w:pPr>
        <w:pStyle w:val="ListParagraph"/>
        <w:numPr>
          <w:ilvl w:val="1"/>
          <w:numId w:val="1"/>
        </w:numPr>
      </w:pPr>
      <w:r>
        <w:rPr>
          <w:sz w:val="20"/>
        </w:rPr>
        <w:t>Daily operational c</w:t>
      </w:r>
      <w:r w:rsidR="00C219AA">
        <w:rPr>
          <w:sz w:val="20"/>
        </w:rPr>
        <w:t>ontrol is required –</w:t>
      </w:r>
      <w:r>
        <w:rPr>
          <w:sz w:val="20"/>
        </w:rPr>
        <w:t xml:space="preserve"> “</w:t>
      </w:r>
      <w:proofErr w:type="spellStart"/>
      <w:r>
        <w:rPr>
          <w:sz w:val="20"/>
        </w:rPr>
        <w:t>debranding</w:t>
      </w:r>
      <w:proofErr w:type="spellEnd"/>
      <w:r>
        <w:rPr>
          <w:sz w:val="20"/>
        </w:rPr>
        <w:t xml:space="preserve">” power is insufficient – </w:t>
      </w:r>
      <w:proofErr w:type="spellStart"/>
      <w:r w:rsidR="00C219AA">
        <w:rPr>
          <w:i/>
          <w:sz w:val="20"/>
        </w:rPr>
        <w:t>Arguello</w:t>
      </w:r>
      <w:proofErr w:type="spellEnd"/>
      <w:r w:rsidR="00C219AA">
        <w:rPr>
          <w:i/>
          <w:sz w:val="20"/>
        </w:rPr>
        <w:t xml:space="preserve"> v. Conoco</w:t>
      </w:r>
    </w:p>
    <w:p w14:paraId="6E22D9C8" w14:textId="74384BDA" w:rsidR="004D6799" w:rsidRPr="005D647B" w:rsidRDefault="004D6799" w:rsidP="00FD0BEC">
      <w:pPr>
        <w:pStyle w:val="ListParagraph"/>
        <w:numPr>
          <w:ilvl w:val="0"/>
          <w:numId w:val="1"/>
        </w:numPr>
      </w:pPr>
      <w:r>
        <w:rPr>
          <w:sz w:val="20"/>
        </w:rPr>
        <w:t>Independent contractors are not subject to the principal’s right to control his physical conduct in the performance of the work – R.2d §2(3)</w:t>
      </w:r>
      <w:r w:rsidR="00521326">
        <w:rPr>
          <w:sz w:val="20"/>
        </w:rPr>
        <w:t xml:space="preserve"> (see also </w:t>
      </w:r>
      <w:r w:rsidR="00521326">
        <w:rPr>
          <w:i/>
          <w:sz w:val="20"/>
        </w:rPr>
        <w:t xml:space="preserve">Majestic Realty v. </w:t>
      </w:r>
      <w:proofErr w:type="spellStart"/>
      <w:r w:rsidR="00521326">
        <w:rPr>
          <w:i/>
          <w:sz w:val="20"/>
        </w:rPr>
        <w:t>Toti</w:t>
      </w:r>
      <w:proofErr w:type="spellEnd"/>
      <w:r w:rsidR="00521326">
        <w:rPr>
          <w:i/>
          <w:sz w:val="20"/>
        </w:rPr>
        <w:t xml:space="preserve"> Contracting</w:t>
      </w:r>
      <w:r w:rsidR="00521326">
        <w:rPr>
          <w:sz w:val="20"/>
        </w:rPr>
        <w:t>)</w:t>
      </w:r>
    </w:p>
    <w:p w14:paraId="5AB63B6E" w14:textId="722544B4" w:rsidR="005D647B" w:rsidRPr="005D647B" w:rsidRDefault="005D647B" w:rsidP="00FD0BEC">
      <w:pPr>
        <w:pStyle w:val="ListParagraph"/>
        <w:numPr>
          <w:ilvl w:val="1"/>
          <w:numId w:val="1"/>
        </w:numPr>
      </w:pPr>
      <w:r>
        <w:rPr>
          <w:sz w:val="20"/>
        </w:rPr>
        <w:t>Exceptions to general rule that principal is not liable for independent contractor’s negligence</w:t>
      </w:r>
    </w:p>
    <w:p w14:paraId="573F0403" w14:textId="2204DCEA" w:rsidR="005D647B" w:rsidRPr="005D647B" w:rsidRDefault="005D647B" w:rsidP="00FD0BEC">
      <w:pPr>
        <w:pStyle w:val="ListParagraph"/>
        <w:numPr>
          <w:ilvl w:val="2"/>
          <w:numId w:val="1"/>
        </w:numPr>
      </w:pPr>
      <w:r>
        <w:rPr>
          <w:sz w:val="20"/>
        </w:rPr>
        <w:lastRenderedPageBreak/>
        <w:t>Landowner retains control of manner/means of doing work (not really an exception – not an independent contractor)</w:t>
      </w:r>
    </w:p>
    <w:p w14:paraId="2F9BD4C0" w14:textId="04BBB715" w:rsidR="005D647B" w:rsidRPr="005D647B" w:rsidRDefault="005D647B" w:rsidP="00FD0BEC">
      <w:pPr>
        <w:pStyle w:val="ListParagraph"/>
        <w:numPr>
          <w:ilvl w:val="2"/>
          <w:numId w:val="1"/>
        </w:numPr>
      </w:pPr>
      <w:r>
        <w:rPr>
          <w:sz w:val="20"/>
        </w:rPr>
        <w:t>Contractor is incompetent and principal negligently selected contractor anyway</w:t>
      </w:r>
    </w:p>
    <w:p w14:paraId="306B6171" w14:textId="05A1E057" w:rsidR="005D647B" w:rsidRPr="005D647B" w:rsidRDefault="005D647B" w:rsidP="00FD0BEC">
      <w:pPr>
        <w:pStyle w:val="ListParagraph"/>
        <w:numPr>
          <w:ilvl w:val="3"/>
          <w:numId w:val="1"/>
        </w:numPr>
      </w:pPr>
      <w:r>
        <w:rPr>
          <w:sz w:val="20"/>
        </w:rPr>
        <w:t>Might include financial incompetence (lack of adequate insurance, etc.)</w:t>
      </w:r>
    </w:p>
    <w:p w14:paraId="2E2810B8" w14:textId="5A2132DA" w:rsidR="005D647B" w:rsidRPr="005D647B" w:rsidRDefault="005D647B" w:rsidP="00FD0BEC">
      <w:pPr>
        <w:pStyle w:val="ListParagraph"/>
        <w:numPr>
          <w:ilvl w:val="2"/>
          <w:numId w:val="1"/>
        </w:numPr>
      </w:pPr>
      <w:r>
        <w:rPr>
          <w:sz w:val="20"/>
        </w:rPr>
        <w:t>Activity is “inherently dangerous”, constituting a nuisance per se</w:t>
      </w:r>
      <w:r w:rsidR="00521326">
        <w:rPr>
          <w:sz w:val="20"/>
        </w:rPr>
        <w:t xml:space="preserve"> </w:t>
      </w:r>
    </w:p>
    <w:p w14:paraId="263C8DA2" w14:textId="0B7BEA18" w:rsidR="00C73219" w:rsidRPr="00C73219" w:rsidRDefault="00521326" w:rsidP="00FD0BEC">
      <w:pPr>
        <w:pStyle w:val="ListParagraph"/>
        <w:numPr>
          <w:ilvl w:val="3"/>
          <w:numId w:val="1"/>
        </w:numPr>
      </w:pPr>
      <w:r>
        <w:rPr>
          <w:sz w:val="20"/>
        </w:rPr>
        <w:t xml:space="preserve">Different from </w:t>
      </w:r>
      <w:proofErr w:type="spellStart"/>
      <w:r>
        <w:rPr>
          <w:sz w:val="20"/>
        </w:rPr>
        <w:t>u</w:t>
      </w:r>
      <w:r w:rsidR="003A09E4">
        <w:rPr>
          <w:sz w:val="20"/>
        </w:rPr>
        <w:t>ltrahazardous</w:t>
      </w:r>
      <w:proofErr w:type="spellEnd"/>
      <w:r w:rsidR="003A09E4">
        <w:rPr>
          <w:sz w:val="20"/>
        </w:rPr>
        <w:t xml:space="preserve"> activity, which carries</w:t>
      </w:r>
      <w:r w:rsidR="005D647B">
        <w:rPr>
          <w:sz w:val="20"/>
        </w:rPr>
        <w:t xml:space="preserve"> strict liability</w:t>
      </w:r>
    </w:p>
    <w:p w14:paraId="420AE8D6" w14:textId="3F589B02" w:rsidR="00CA0F1A" w:rsidRPr="00CA0F1A" w:rsidRDefault="00C73219" w:rsidP="00FD0BEC">
      <w:pPr>
        <w:pStyle w:val="ListParagraph"/>
        <w:numPr>
          <w:ilvl w:val="0"/>
          <w:numId w:val="1"/>
        </w:numPr>
      </w:pPr>
      <w:r>
        <w:rPr>
          <w:sz w:val="20"/>
        </w:rPr>
        <w:t xml:space="preserve">Agents have three fiduciary duties: </w:t>
      </w:r>
      <w:r w:rsidR="001C521D">
        <w:rPr>
          <w:sz w:val="20"/>
        </w:rPr>
        <w:t xml:space="preserve">Care (§379), </w:t>
      </w:r>
      <w:r>
        <w:rPr>
          <w:sz w:val="20"/>
        </w:rPr>
        <w:t>Obedience (§385), and Loyalty (§387)</w:t>
      </w:r>
    </w:p>
    <w:p w14:paraId="798E7C20" w14:textId="00EC8B5C" w:rsidR="00CA0F1A" w:rsidRPr="00CA0F1A" w:rsidRDefault="00CA0F1A" w:rsidP="00FD0BEC">
      <w:pPr>
        <w:pStyle w:val="ListParagraph"/>
        <w:numPr>
          <w:ilvl w:val="1"/>
          <w:numId w:val="1"/>
        </w:numPr>
      </w:pPr>
      <w:r>
        <w:rPr>
          <w:sz w:val="20"/>
        </w:rPr>
        <w:t>There are four subtypes of the duty of loyalty:</w:t>
      </w:r>
    </w:p>
    <w:p w14:paraId="0DAAF801" w14:textId="696D7402" w:rsidR="00CA0F1A" w:rsidRPr="00CA0F1A" w:rsidRDefault="00CA0F1A" w:rsidP="00FD0BEC">
      <w:pPr>
        <w:pStyle w:val="ListParagraph"/>
        <w:numPr>
          <w:ilvl w:val="2"/>
          <w:numId w:val="1"/>
        </w:numPr>
      </w:pPr>
      <w:r>
        <w:rPr>
          <w:sz w:val="20"/>
        </w:rPr>
        <w:t xml:space="preserve">Using agency to generate secret profits – </w:t>
      </w:r>
      <w:r>
        <w:rPr>
          <w:i/>
          <w:sz w:val="20"/>
        </w:rPr>
        <w:t>Reading, Rash</w:t>
      </w:r>
    </w:p>
    <w:p w14:paraId="453DF699" w14:textId="781112CB" w:rsidR="005D647B" w:rsidRPr="005D647B" w:rsidRDefault="005D647B" w:rsidP="00FD0BEC">
      <w:pPr>
        <w:pStyle w:val="ListParagraph"/>
        <w:numPr>
          <w:ilvl w:val="3"/>
          <w:numId w:val="1"/>
        </w:numPr>
      </w:pPr>
      <w:r>
        <w:rPr>
          <w:sz w:val="20"/>
        </w:rPr>
        <w:t xml:space="preserve">If a servant’s position is the predominant cause in allowing him to unjustly enrich himself, the master is entitled to the money dishonestly received – </w:t>
      </w:r>
      <w:r>
        <w:rPr>
          <w:i/>
          <w:sz w:val="20"/>
        </w:rPr>
        <w:t xml:space="preserve">Reading v. </w:t>
      </w:r>
      <w:proofErr w:type="spellStart"/>
      <w:r>
        <w:rPr>
          <w:i/>
          <w:sz w:val="20"/>
        </w:rPr>
        <w:t>Regem</w:t>
      </w:r>
      <w:proofErr w:type="spellEnd"/>
      <w:r>
        <w:rPr>
          <w:sz w:val="20"/>
        </w:rPr>
        <w:t xml:space="preserve"> (smuggling soldier)</w:t>
      </w:r>
    </w:p>
    <w:p w14:paraId="4D69C88B" w14:textId="6C2292FC" w:rsidR="00C73219" w:rsidRPr="00C73219" w:rsidRDefault="00F050CE" w:rsidP="00FD0BEC">
      <w:pPr>
        <w:pStyle w:val="ListParagraph"/>
        <w:numPr>
          <w:ilvl w:val="4"/>
          <w:numId w:val="1"/>
        </w:numPr>
      </w:pPr>
      <w:r>
        <w:rPr>
          <w:sz w:val="20"/>
        </w:rPr>
        <w:t>Agents</w:t>
      </w:r>
      <w:r w:rsidR="005D647B">
        <w:rPr>
          <w:sz w:val="20"/>
        </w:rPr>
        <w:t xml:space="preserve"> cannot make any profits above what was explicitly </w:t>
      </w:r>
      <w:r w:rsidR="00400E81">
        <w:rPr>
          <w:sz w:val="20"/>
        </w:rPr>
        <w:t xml:space="preserve">granted by </w:t>
      </w:r>
      <w:r>
        <w:rPr>
          <w:sz w:val="20"/>
        </w:rPr>
        <w:t>the</w:t>
      </w:r>
      <w:r w:rsidR="00400E81">
        <w:rPr>
          <w:sz w:val="20"/>
        </w:rPr>
        <w:t xml:space="preserve"> principal</w:t>
      </w:r>
      <w:r w:rsidR="005D647B">
        <w:rPr>
          <w:sz w:val="20"/>
        </w:rPr>
        <w:t xml:space="preserve"> under the duty of loyalty – R.3d §§8.02, 8.05</w:t>
      </w:r>
    </w:p>
    <w:p w14:paraId="6614631C" w14:textId="7CD88304" w:rsidR="00C73219" w:rsidRPr="00CA0F1A" w:rsidRDefault="00C73219" w:rsidP="00FD0BEC">
      <w:pPr>
        <w:pStyle w:val="ListParagraph"/>
        <w:numPr>
          <w:ilvl w:val="4"/>
          <w:numId w:val="1"/>
        </w:numPr>
      </w:pPr>
      <w:r>
        <w:rPr>
          <w:sz w:val="20"/>
        </w:rPr>
        <w:t>Disgorgement is the remedy for deterrence value, and due to the difficulty of determining actual damages (reputation loss of “sole loyalty” of agent to principal)</w:t>
      </w:r>
    </w:p>
    <w:p w14:paraId="19272379" w14:textId="4C551F46" w:rsidR="00CA0F1A" w:rsidRPr="00C73219" w:rsidRDefault="00CA0F1A" w:rsidP="00FD0BEC">
      <w:pPr>
        <w:pStyle w:val="ListParagraph"/>
        <w:numPr>
          <w:ilvl w:val="2"/>
          <w:numId w:val="1"/>
        </w:numPr>
      </w:pPr>
      <w:r>
        <w:rPr>
          <w:sz w:val="20"/>
        </w:rPr>
        <w:t xml:space="preserve">Avoiding routine conflict-of-interest transactions – </w:t>
      </w:r>
      <w:r>
        <w:rPr>
          <w:i/>
          <w:sz w:val="20"/>
        </w:rPr>
        <w:t>Rash</w:t>
      </w:r>
    </w:p>
    <w:p w14:paraId="7B671C87" w14:textId="1844EE64" w:rsidR="00C73219" w:rsidRPr="00C73219" w:rsidRDefault="00C73219" w:rsidP="00FD0BEC">
      <w:pPr>
        <w:pStyle w:val="ListParagraph"/>
        <w:numPr>
          <w:ilvl w:val="3"/>
          <w:numId w:val="1"/>
        </w:numPr>
      </w:pPr>
      <w:r>
        <w:rPr>
          <w:sz w:val="20"/>
        </w:rPr>
        <w:t xml:space="preserve">Clark’s routine conflict-of-interest (self-dealing) transaction requires: </w:t>
      </w:r>
    </w:p>
    <w:p w14:paraId="277A214F" w14:textId="58FCE4B1" w:rsidR="00C73219" w:rsidRPr="00C73219" w:rsidRDefault="00C73219" w:rsidP="00FD0BEC">
      <w:pPr>
        <w:pStyle w:val="ListParagraph"/>
        <w:numPr>
          <w:ilvl w:val="4"/>
          <w:numId w:val="1"/>
        </w:numPr>
      </w:pPr>
      <w:r>
        <w:rPr>
          <w:sz w:val="20"/>
        </w:rPr>
        <w:t>Power to cause or influence a deal</w:t>
      </w:r>
    </w:p>
    <w:p w14:paraId="78DE424C" w14:textId="568DACB6" w:rsidR="00C73219" w:rsidRPr="00C73219" w:rsidRDefault="00C73219" w:rsidP="00FD0BEC">
      <w:pPr>
        <w:pStyle w:val="ListParagraph"/>
        <w:numPr>
          <w:ilvl w:val="4"/>
          <w:numId w:val="1"/>
        </w:numPr>
      </w:pPr>
      <w:r>
        <w:rPr>
          <w:sz w:val="20"/>
        </w:rPr>
        <w:t>Existence of a fiduciary relationship to employer</w:t>
      </w:r>
    </w:p>
    <w:p w14:paraId="1427978A" w14:textId="1A5B00A8" w:rsidR="00C73219" w:rsidRPr="00CA0F1A" w:rsidRDefault="00C73219" w:rsidP="00FD0BEC">
      <w:pPr>
        <w:pStyle w:val="ListParagraph"/>
        <w:numPr>
          <w:ilvl w:val="4"/>
          <w:numId w:val="1"/>
        </w:numPr>
      </w:pPr>
      <w:r>
        <w:rPr>
          <w:sz w:val="20"/>
        </w:rPr>
        <w:t>Personal incentive to abandon duty</w:t>
      </w:r>
    </w:p>
    <w:p w14:paraId="3034E9B9" w14:textId="16CBDD30" w:rsidR="00CA0F1A" w:rsidRPr="00CA0F1A" w:rsidRDefault="00CA0F1A" w:rsidP="00FD0BEC">
      <w:pPr>
        <w:pStyle w:val="ListParagraph"/>
        <w:numPr>
          <w:ilvl w:val="2"/>
          <w:numId w:val="1"/>
        </w:numPr>
      </w:pPr>
      <w:r>
        <w:rPr>
          <w:sz w:val="20"/>
        </w:rPr>
        <w:t xml:space="preserve">Avoiding competition with the principal – </w:t>
      </w:r>
      <w:r>
        <w:rPr>
          <w:i/>
          <w:sz w:val="20"/>
        </w:rPr>
        <w:t>Rash</w:t>
      </w:r>
    </w:p>
    <w:p w14:paraId="1C704DDA" w14:textId="77777777" w:rsidR="00CA0F1A" w:rsidRPr="00C73219" w:rsidRDefault="00CA0F1A" w:rsidP="00FD0BEC">
      <w:pPr>
        <w:pStyle w:val="ListParagraph"/>
        <w:numPr>
          <w:ilvl w:val="3"/>
          <w:numId w:val="1"/>
        </w:numPr>
      </w:pPr>
      <w:r>
        <w:rPr>
          <w:sz w:val="20"/>
        </w:rPr>
        <w:t xml:space="preserve">Agent has a duty to disclose the principal all information the principal should rightly know – </w:t>
      </w:r>
      <w:r>
        <w:rPr>
          <w:i/>
          <w:sz w:val="20"/>
        </w:rPr>
        <w:t>Rash v. J.V.</w:t>
      </w:r>
      <w:r>
        <w:rPr>
          <w:sz w:val="20"/>
        </w:rPr>
        <w:t xml:space="preserve"> (employee causes company to contract with employee’s wholly-owned scaffolding business)</w:t>
      </w:r>
    </w:p>
    <w:p w14:paraId="68A6F675" w14:textId="70F061D2" w:rsidR="00CA0F1A" w:rsidRPr="00CA0F1A" w:rsidRDefault="00CA0F1A" w:rsidP="00FD0BEC">
      <w:pPr>
        <w:pStyle w:val="ListParagraph"/>
        <w:numPr>
          <w:ilvl w:val="4"/>
          <w:numId w:val="1"/>
        </w:numPr>
      </w:pPr>
      <w:r>
        <w:rPr>
          <w:sz w:val="20"/>
        </w:rPr>
        <w:t>These facts inc</w:t>
      </w:r>
      <w:r w:rsidR="00B67AD0">
        <w:rPr>
          <w:sz w:val="20"/>
        </w:rPr>
        <w:t>lude “o</w:t>
      </w:r>
      <w:r>
        <w:rPr>
          <w:sz w:val="20"/>
        </w:rPr>
        <w:t>wnership</w:t>
      </w:r>
      <w:r w:rsidR="00B67AD0">
        <w:rPr>
          <w:sz w:val="20"/>
        </w:rPr>
        <w:t>”</w:t>
      </w:r>
      <w:r>
        <w:rPr>
          <w:sz w:val="20"/>
        </w:rPr>
        <w:t xml:space="preserve"> in a self-dealing transaction and information on market rates if the agent is overcharging the principal</w:t>
      </w:r>
    </w:p>
    <w:p w14:paraId="23F06812" w14:textId="2436F4CA" w:rsidR="00A45698" w:rsidRPr="00A45698" w:rsidRDefault="00CA0F1A" w:rsidP="00FD0BEC">
      <w:pPr>
        <w:pStyle w:val="ListParagraph"/>
        <w:numPr>
          <w:ilvl w:val="2"/>
          <w:numId w:val="1"/>
        </w:numPr>
      </w:pPr>
      <w:r w:rsidRPr="00A45698">
        <w:rPr>
          <w:sz w:val="20"/>
        </w:rPr>
        <w:t xml:space="preserve">No taking of property when leaving – </w:t>
      </w:r>
      <w:r w:rsidRPr="00A45698">
        <w:rPr>
          <w:i/>
          <w:sz w:val="20"/>
        </w:rPr>
        <w:t>Town &amp; Country House</w:t>
      </w:r>
      <w:r w:rsidR="00400E81" w:rsidRPr="00A45698">
        <w:rPr>
          <w:i/>
          <w:sz w:val="20"/>
        </w:rPr>
        <w:t xml:space="preserve"> </w:t>
      </w:r>
    </w:p>
    <w:p w14:paraId="6B59AB64" w14:textId="219D25DF" w:rsidR="00A45698" w:rsidRPr="00E90E0D" w:rsidRDefault="00A45698" w:rsidP="00FD0BEC">
      <w:pPr>
        <w:pStyle w:val="ListParagraph"/>
        <w:numPr>
          <w:ilvl w:val="3"/>
          <w:numId w:val="1"/>
        </w:numPr>
      </w:pPr>
      <w:r>
        <w:rPr>
          <w:sz w:val="20"/>
        </w:rPr>
        <w:t>Agent has duty not to use confide</w:t>
      </w:r>
      <w:r w:rsidR="00B67AD0">
        <w:rPr>
          <w:sz w:val="20"/>
        </w:rPr>
        <w:t>ntial information (even after agency’s termination</w:t>
      </w:r>
      <w:r>
        <w:rPr>
          <w:sz w:val="20"/>
        </w:rPr>
        <w:t xml:space="preserve">) </w:t>
      </w:r>
      <w:r w:rsidR="004F3AA9">
        <w:rPr>
          <w:sz w:val="20"/>
        </w:rPr>
        <w:t>– see R.2d §§395-96</w:t>
      </w:r>
    </w:p>
    <w:p w14:paraId="36FDB38A" w14:textId="316A7EB0" w:rsidR="00E90E0D" w:rsidRPr="00773B09" w:rsidRDefault="00726FDA" w:rsidP="00FD0BEC">
      <w:pPr>
        <w:pStyle w:val="ListParagraph"/>
        <w:numPr>
          <w:ilvl w:val="3"/>
          <w:numId w:val="1"/>
        </w:numPr>
      </w:pPr>
      <w:r>
        <w:rPr>
          <w:sz w:val="20"/>
        </w:rPr>
        <w:t>Preparation to leave does not necessarily violate duty of loyalty</w:t>
      </w:r>
    </w:p>
    <w:p w14:paraId="5D8AE46D" w14:textId="3A038C3F" w:rsidR="00773B09" w:rsidRPr="001C521D" w:rsidRDefault="00B67AD0" w:rsidP="00FD0BEC">
      <w:pPr>
        <w:pStyle w:val="ListParagraph"/>
        <w:numPr>
          <w:ilvl w:val="1"/>
          <w:numId w:val="1"/>
        </w:numPr>
      </w:pPr>
      <w:r>
        <w:rPr>
          <w:sz w:val="20"/>
        </w:rPr>
        <w:t xml:space="preserve">Note </w:t>
      </w:r>
      <w:r w:rsidR="00773B09">
        <w:rPr>
          <w:sz w:val="20"/>
        </w:rPr>
        <w:t xml:space="preserve">important distinction </w:t>
      </w:r>
      <w:r>
        <w:rPr>
          <w:sz w:val="20"/>
        </w:rPr>
        <w:t>between arms-length</w:t>
      </w:r>
      <w:r w:rsidR="00773B09">
        <w:rPr>
          <w:sz w:val="20"/>
        </w:rPr>
        <w:t xml:space="preserve"> and fiduciary transactions – fiduciaries have an affirmative duty to inform</w:t>
      </w:r>
    </w:p>
    <w:p w14:paraId="13397AC7" w14:textId="02FCD91D" w:rsidR="00505123" w:rsidRDefault="00B12655" w:rsidP="00D969EB">
      <w:pPr>
        <w:pStyle w:val="Heading3"/>
        <w:spacing w:before="0"/>
        <w:rPr>
          <w:sz w:val="22"/>
          <w:szCs w:val="20"/>
        </w:rPr>
      </w:pPr>
      <w:r>
        <w:rPr>
          <w:sz w:val="22"/>
          <w:szCs w:val="20"/>
        </w:rPr>
        <w:t>Partnerships</w:t>
      </w:r>
    </w:p>
    <w:p w14:paraId="65E2F8D6" w14:textId="5ED8CBEC" w:rsidR="00C1167C" w:rsidRPr="001324D2" w:rsidRDefault="00EF5F3A" w:rsidP="00FD0BEC">
      <w:pPr>
        <w:pStyle w:val="ListParagraph"/>
        <w:numPr>
          <w:ilvl w:val="0"/>
          <w:numId w:val="3"/>
        </w:numPr>
      </w:pPr>
      <w:r>
        <w:rPr>
          <w:sz w:val="20"/>
        </w:rPr>
        <w:t>A partnership is an association of 2 or more people to carry on as co-owners a business for profit – UPA §6</w:t>
      </w:r>
      <w:r w:rsidR="00C1167C">
        <w:rPr>
          <w:sz w:val="20"/>
        </w:rPr>
        <w:t xml:space="preserve"> </w:t>
      </w:r>
    </w:p>
    <w:p w14:paraId="3E1417EB" w14:textId="5728911A" w:rsidR="001324D2" w:rsidRPr="001324D2" w:rsidRDefault="001324D2" w:rsidP="00FD0BEC">
      <w:pPr>
        <w:pStyle w:val="ListParagraph"/>
        <w:numPr>
          <w:ilvl w:val="1"/>
          <w:numId w:val="3"/>
        </w:numPr>
      </w:pPr>
      <w:r>
        <w:rPr>
          <w:sz w:val="20"/>
        </w:rPr>
        <w:t xml:space="preserve">Crucial elements of a partnership are 1) Intention to be partners, 2) Co-ownership of the business, and 3) a profit motive – </w:t>
      </w:r>
      <w:proofErr w:type="spellStart"/>
      <w:r>
        <w:rPr>
          <w:i/>
          <w:sz w:val="20"/>
        </w:rPr>
        <w:t>Sandvick</w:t>
      </w:r>
      <w:proofErr w:type="spellEnd"/>
      <w:r>
        <w:rPr>
          <w:i/>
          <w:sz w:val="20"/>
        </w:rPr>
        <w:t xml:space="preserve"> v. </w:t>
      </w:r>
      <w:proofErr w:type="spellStart"/>
      <w:r>
        <w:rPr>
          <w:i/>
          <w:sz w:val="20"/>
        </w:rPr>
        <w:t>LaCrosse</w:t>
      </w:r>
      <w:proofErr w:type="spellEnd"/>
      <w:r>
        <w:rPr>
          <w:i/>
          <w:sz w:val="20"/>
        </w:rPr>
        <w:t xml:space="preserve"> </w:t>
      </w:r>
      <w:r>
        <w:rPr>
          <w:sz w:val="20"/>
        </w:rPr>
        <w:t>(oil and gas lease renewal)</w:t>
      </w:r>
    </w:p>
    <w:p w14:paraId="4A536ADC" w14:textId="10A4D655" w:rsidR="001324D2" w:rsidRPr="00261FBB" w:rsidRDefault="00261FBB" w:rsidP="00FD0BEC">
      <w:pPr>
        <w:pStyle w:val="ListParagraph"/>
        <w:numPr>
          <w:ilvl w:val="2"/>
          <w:numId w:val="3"/>
        </w:numPr>
      </w:pPr>
      <w:r>
        <w:rPr>
          <w:sz w:val="20"/>
        </w:rPr>
        <w:t xml:space="preserve">A business is defined as “a </w:t>
      </w:r>
      <w:r w:rsidRPr="00261FBB">
        <w:rPr>
          <w:i/>
          <w:sz w:val="20"/>
        </w:rPr>
        <w:t>series</w:t>
      </w:r>
      <w:r>
        <w:rPr>
          <w:sz w:val="20"/>
        </w:rPr>
        <w:t xml:space="preserve"> of acts directed toward an end” – </w:t>
      </w:r>
      <w:r w:rsidR="00B91FB7">
        <w:rPr>
          <w:sz w:val="20"/>
        </w:rPr>
        <w:t>R</w:t>
      </w:r>
      <w:r>
        <w:rPr>
          <w:sz w:val="20"/>
        </w:rPr>
        <w:t xml:space="preserve">UPA §202(c) </w:t>
      </w:r>
      <w:proofErr w:type="spellStart"/>
      <w:r>
        <w:rPr>
          <w:sz w:val="20"/>
        </w:rPr>
        <w:t>cmt</w:t>
      </w:r>
      <w:proofErr w:type="spellEnd"/>
      <w:r>
        <w:rPr>
          <w:sz w:val="20"/>
        </w:rPr>
        <w:t>. 1</w:t>
      </w:r>
    </w:p>
    <w:p w14:paraId="77B0F4CE" w14:textId="481A78E0" w:rsidR="00261FBB" w:rsidRPr="00C1167C" w:rsidRDefault="00D234EE" w:rsidP="00FD0BEC">
      <w:pPr>
        <w:pStyle w:val="ListParagraph"/>
        <w:numPr>
          <w:ilvl w:val="2"/>
          <w:numId w:val="3"/>
        </w:numPr>
      </w:pPr>
      <w:r>
        <w:rPr>
          <w:sz w:val="20"/>
        </w:rPr>
        <w:t>Clark says a “b</w:t>
      </w:r>
      <w:r w:rsidR="00261FBB">
        <w:rPr>
          <w:sz w:val="20"/>
        </w:rPr>
        <w:t>usiness</w:t>
      </w:r>
      <w:r>
        <w:rPr>
          <w:sz w:val="20"/>
        </w:rPr>
        <w:t>”</w:t>
      </w:r>
      <w:r w:rsidR="00261FBB">
        <w:rPr>
          <w:sz w:val="20"/>
        </w:rPr>
        <w:t xml:space="preserve"> might also require more than simply passive investing </w:t>
      </w:r>
    </w:p>
    <w:p w14:paraId="3921E3DC" w14:textId="05B0E56F" w:rsidR="001C521D" w:rsidRPr="001C521D" w:rsidRDefault="001C521D" w:rsidP="00FD0BEC">
      <w:pPr>
        <w:pStyle w:val="ListParagraph"/>
        <w:numPr>
          <w:ilvl w:val="1"/>
          <w:numId w:val="3"/>
        </w:numPr>
      </w:pPr>
      <w:r>
        <w:rPr>
          <w:sz w:val="20"/>
        </w:rPr>
        <w:t>Elements to consider in establishing partnership: (</w:t>
      </w:r>
      <w:r>
        <w:rPr>
          <w:i/>
          <w:sz w:val="20"/>
        </w:rPr>
        <w:t xml:space="preserve">Fenwick </w:t>
      </w:r>
      <w:r>
        <w:rPr>
          <w:sz w:val="20"/>
        </w:rPr>
        <w:t>– Hair salon employee)</w:t>
      </w:r>
    </w:p>
    <w:p w14:paraId="316139A4" w14:textId="19DD2F6F" w:rsidR="001C521D" w:rsidRPr="00E47E98" w:rsidRDefault="001C521D" w:rsidP="00FD0BEC">
      <w:pPr>
        <w:pStyle w:val="ListParagraph"/>
        <w:numPr>
          <w:ilvl w:val="2"/>
          <w:numId w:val="3"/>
        </w:numPr>
      </w:pPr>
      <w:r>
        <w:rPr>
          <w:sz w:val="20"/>
        </w:rPr>
        <w:t>Intention of the parties</w:t>
      </w:r>
      <w:r w:rsidR="00A06640">
        <w:rPr>
          <w:sz w:val="20"/>
        </w:rPr>
        <w:t xml:space="preserve"> </w:t>
      </w:r>
    </w:p>
    <w:p w14:paraId="5571819A" w14:textId="28C5299F" w:rsidR="00E47E98" w:rsidRPr="001C521D" w:rsidRDefault="00E47E98" w:rsidP="00FD0BEC">
      <w:pPr>
        <w:pStyle w:val="ListParagraph"/>
        <w:numPr>
          <w:ilvl w:val="3"/>
          <w:numId w:val="3"/>
        </w:numPr>
      </w:pPr>
      <w:r>
        <w:rPr>
          <w:sz w:val="20"/>
        </w:rPr>
        <w:t>Essential element is basically that of co-ownership – UPA §6</w:t>
      </w:r>
    </w:p>
    <w:p w14:paraId="3B46FDCE" w14:textId="74A7962E" w:rsidR="001C521D" w:rsidRPr="00A06640" w:rsidRDefault="001C521D" w:rsidP="00FD0BEC">
      <w:pPr>
        <w:pStyle w:val="ListParagraph"/>
        <w:numPr>
          <w:ilvl w:val="2"/>
          <w:numId w:val="3"/>
        </w:numPr>
      </w:pPr>
      <w:r>
        <w:rPr>
          <w:sz w:val="20"/>
        </w:rPr>
        <w:t>Right to share in profits</w:t>
      </w:r>
    </w:p>
    <w:p w14:paraId="4E101D77" w14:textId="17EDE555" w:rsidR="00945D57" w:rsidRPr="00945D57" w:rsidRDefault="00A06640" w:rsidP="00FD0BEC">
      <w:pPr>
        <w:pStyle w:val="ListParagraph"/>
        <w:numPr>
          <w:ilvl w:val="3"/>
          <w:numId w:val="3"/>
        </w:numPr>
      </w:pPr>
      <w:r>
        <w:rPr>
          <w:sz w:val="20"/>
        </w:rPr>
        <w:t xml:space="preserve">Prima facie evidence that a partnership exists, but no such inference </w:t>
      </w:r>
      <w:r w:rsidR="00B67AD0">
        <w:rPr>
          <w:sz w:val="20"/>
        </w:rPr>
        <w:t>is drawn if profits were</w:t>
      </w:r>
      <w:r>
        <w:rPr>
          <w:sz w:val="20"/>
        </w:rPr>
        <w:t xml:space="preserve"> wages, </w:t>
      </w:r>
      <w:r w:rsidR="00B67AD0">
        <w:rPr>
          <w:sz w:val="20"/>
        </w:rPr>
        <w:t>connected with a loan, or</w:t>
      </w:r>
      <w:r>
        <w:rPr>
          <w:sz w:val="20"/>
        </w:rPr>
        <w:t xml:space="preserve"> </w:t>
      </w:r>
      <w:r w:rsidR="00B67AD0">
        <w:rPr>
          <w:sz w:val="20"/>
        </w:rPr>
        <w:t xml:space="preserve">were </w:t>
      </w:r>
      <w:r>
        <w:rPr>
          <w:sz w:val="20"/>
        </w:rPr>
        <w:t>consideration –</w:t>
      </w:r>
      <w:r>
        <w:rPr>
          <w:i/>
          <w:sz w:val="20"/>
        </w:rPr>
        <w:t xml:space="preserve"> </w:t>
      </w:r>
      <w:r>
        <w:rPr>
          <w:sz w:val="20"/>
        </w:rPr>
        <w:t>UPA §7</w:t>
      </w:r>
      <w:r w:rsidR="00F050CE">
        <w:rPr>
          <w:sz w:val="20"/>
        </w:rPr>
        <w:t xml:space="preserve"> </w:t>
      </w:r>
    </w:p>
    <w:p w14:paraId="6047A875" w14:textId="2B2BE580" w:rsidR="001B69D5" w:rsidRPr="001C521D" w:rsidRDefault="00F050CE" w:rsidP="00FD0BEC">
      <w:pPr>
        <w:pStyle w:val="ListParagraph"/>
        <w:numPr>
          <w:ilvl w:val="3"/>
          <w:numId w:val="3"/>
        </w:numPr>
      </w:pPr>
      <w:r>
        <w:rPr>
          <w:sz w:val="20"/>
        </w:rPr>
        <w:t>This element is n</w:t>
      </w:r>
      <w:r w:rsidR="001B69D5" w:rsidRPr="00F050CE">
        <w:rPr>
          <w:sz w:val="20"/>
        </w:rPr>
        <w:t xml:space="preserve">ot dispositive – </w:t>
      </w:r>
      <w:proofErr w:type="spellStart"/>
      <w:r w:rsidR="001B69D5" w:rsidRPr="00F050CE">
        <w:rPr>
          <w:i/>
          <w:sz w:val="20"/>
        </w:rPr>
        <w:t>Southex</w:t>
      </w:r>
      <w:proofErr w:type="spellEnd"/>
      <w:r w:rsidR="001B69D5" w:rsidRPr="00F050CE">
        <w:rPr>
          <w:i/>
          <w:sz w:val="20"/>
        </w:rPr>
        <w:t xml:space="preserve"> </w:t>
      </w:r>
      <w:r w:rsidR="001B69D5" w:rsidRPr="00F050CE">
        <w:rPr>
          <w:sz w:val="20"/>
        </w:rPr>
        <w:t>(home show)</w:t>
      </w:r>
    </w:p>
    <w:p w14:paraId="69A4C56B" w14:textId="4305DC78" w:rsidR="001C521D" w:rsidRPr="00945D57" w:rsidRDefault="001C521D" w:rsidP="00FD0BEC">
      <w:pPr>
        <w:pStyle w:val="ListParagraph"/>
        <w:numPr>
          <w:ilvl w:val="2"/>
          <w:numId w:val="3"/>
        </w:numPr>
      </w:pPr>
      <w:r>
        <w:rPr>
          <w:sz w:val="20"/>
        </w:rPr>
        <w:t>Obligation to share losses</w:t>
      </w:r>
    </w:p>
    <w:p w14:paraId="65303091" w14:textId="7AE589CE" w:rsidR="00AE66D3" w:rsidRPr="001C521D" w:rsidRDefault="001C521D" w:rsidP="00FD0BEC">
      <w:pPr>
        <w:pStyle w:val="ListParagraph"/>
        <w:numPr>
          <w:ilvl w:val="2"/>
          <w:numId w:val="3"/>
        </w:numPr>
      </w:pPr>
      <w:r>
        <w:rPr>
          <w:sz w:val="20"/>
        </w:rPr>
        <w:lastRenderedPageBreak/>
        <w:t>Ownership/control of partnership property/business</w:t>
      </w:r>
    </w:p>
    <w:p w14:paraId="15D2CEBA" w14:textId="374735FC" w:rsidR="001C521D" w:rsidRPr="001C521D" w:rsidRDefault="001C521D" w:rsidP="00FD0BEC">
      <w:pPr>
        <w:pStyle w:val="ListParagraph"/>
        <w:numPr>
          <w:ilvl w:val="2"/>
          <w:numId w:val="3"/>
        </w:numPr>
      </w:pPr>
      <w:r>
        <w:rPr>
          <w:sz w:val="20"/>
        </w:rPr>
        <w:t>Control over business operations</w:t>
      </w:r>
    </w:p>
    <w:p w14:paraId="41EEE6C7" w14:textId="2A4BE1DD" w:rsidR="001C521D" w:rsidRPr="001C521D" w:rsidRDefault="001C521D" w:rsidP="00FD0BEC">
      <w:pPr>
        <w:pStyle w:val="ListParagraph"/>
        <w:numPr>
          <w:ilvl w:val="2"/>
          <w:numId w:val="3"/>
        </w:numPr>
      </w:pPr>
      <w:r>
        <w:rPr>
          <w:sz w:val="20"/>
        </w:rPr>
        <w:t>Language of the agreement</w:t>
      </w:r>
    </w:p>
    <w:p w14:paraId="4CA3DF9D" w14:textId="0CE0479A" w:rsidR="001C521D" w:rsidRPr="001C521D" w:rsidRDefault="001C521D" w:rsidP="00FD0BEC">
      <w:pPr>
        <w:pStyle w:val="ListParagraph"/>
        <w:numPr>
          <w:ilvl w:val="2"/>
          <w:numId w:val="3"/>
        </w:numPr>
      </w:pPr>
      <w:r w:rsidRPr="001C521D">
        <w:rPr>
          <w:sz w:val="20"/>
        </w:rPr>
        <w:t>Parties’ conduct toward third parties</w:t>
      </w:r>
    </w:p>
    <w:p w14:paraId="1327A72E" w14:textId="42C67E0C" w:rsidR="001C521D" w:rsidRPr="00C1167C" w:rsidRDefault="001C521D" w:rsidP="00FD0BEC">
      <w:pPr>
        <w:pStyle w:val="ListParagraph"/>
        <w:numPr>
          <w:ilvl w:val="2"/>
          <w:numId w:val="3"/>
        </w:numPr>
      </w:pPr>
      <w:r>
        <w:rPr>
          <w:sz w:val="20"/>
        </w:rPr>
        <w:t>Rights of parties on dissolution</w:t>
      </w:r>
    </w:p>
    <w:p w14:paraId="53DE6C6C" w14:textId="573FA9EC" w:rsidR="00C1167C" w:rsidRPr="00C1167C" w:rsidRDefault="00C1167C" w:rsidP="00FD0BEC">
      <w:pPr>
        <w:pStyle w:val="ListParagraph"/>
        <w:numPr>
          <w:ilvl w:val="1"/>
          <w:numId w:val="3"/>
        </w:numPr>
      </w:pPr>
      <w:r>
        <w:rPr>
          <w:sz w:val="20"/>
        </w:rPr>
        <w:t>Too close of an entanglement can lead to liability as a partnership</w:t>
      </w:r>
      <w:r w:rsidRPr="00C1167C">
        <w:rPr>
          <w:sz w:val="20"/>
          <w:szCs w:val="20"/>
        </w:rPr>
        <w:t xml:space="preserve"> – </w:t>
      </w:r>
      <w:r w:rsidRPr="00C1167C">
        <w:rPr>
          <w:i/>
          <w:sz w:val="20"/>
          <w:szCs w:val="20"/>
        </w:rPr>
        <w:t xml:space="preserve">Martin v. Peyton </w:t>
      </w:r>
      <w:r w:rsidRPr="00C1167C">
        <w:rPr>
          <w:sz w:val="20"/>
          <w:szCs w:val="20"/>
        </w:rPr>
        <w:t>(</w:t>
      </w:r>
      <w:r>
        <w:rPr>
          <w:sz w:val="20"/>
          <w:szCs w:val="20"/>
        </w:rPr>
        <w:t xml:space="preserve">business loan to failing bank) – cf. </w:t>
      </w:r>
      <w:r>
        <w:rPr>
          <w:i/>
          <w:sz w:val="20"/>
          <w:szCs w:val="20"/>
        </w:rPr>
        <w:t>Cargill</w:t>
      </w:r>
    </w:p>
    <w:p w14:paraId="406699E0" w14:textId="16CF6383" w:rsidR="00C1167C" w:rsidRPr="00C1167C" w:rsidRDefault="00C1167C" w:rsidP="00FD0BEC">
      <w:pPr>
        <w:pStyle w:val="ListParagraph"/>
        <w:numPr>
          <w:ilvl w:val="2"/>
          <w:numId w:val="3"/>
        </w:numPr>
      </w:pPr>
      <w:r>
        <w:rPr>
          <w:sz w:val="20"/>
          <w:szCs w:val="20"/>
        </w:rPr>
        <w:t xml:space="preserve">Does </w:t>
      </w:r>
      <w:r>
        <w:rPr>
          <w:i/>
          <w:sz w:val="20"/>
          <w:szCs w:val="20"/>
        </w:rPr>
        <w:t xml:space="preserve">Cargill </w:t>
      </w:r>
      <w:r>
        <w:rPr>
          <w:sz w:val="20"/>
          <w:szCs w:val="20"/>
        </w:rPr>
        <w:t xml:space="preserve">come out differently because defendant in </w:t>
      </w:r>
      <w:r>
        <w:rPr>
          <w:i/>
          <w:sz w:val="20"/>
          <w:szCs w:val="20"/>
        </w:rPr>
        <w:t xml:space="preserve">Cargill </w:t>
      </w:r>
      <w:r>
        <w:rPr>
          <w:sz w:val="20"/>
          <w:szCs w:val="20"/>
        </w:rPr>
        <w:t xml:space="preserve">is international conglomerate? Because Cargill involved a more dominant relationship with more involvement in daily operations? </w:t>
      </w:r>
    </w:p>
    <w:p w14:paraId="2D294A6B" w14:textId="2C680AA3" w:rsidR="00C1167C" w:rsidRPr="001B69D5" w:rsidRDefault="00C1167C" w:rsidP="00FD0BEC">
      <w:pPr>
        <w:pStyle w:val="ListParagraph"/>
        <w:numPr>
          <w:ilvl w:val="1"/>
          <w:numId w:val="3"/>
        </w:numPr>
      </w:pPr>
      <w:r>
        <w:rPr>
          <w:sz w:val="20"/>
          <w:szCs w:val="20"/>
        </w:rPr>
        <w:t xml:space="preserve">Partnership existence is normally assessed under totality of the circumstances – </w:t>
      </w:r>
      <w:proofErr w:type="spellStart"/>
      <w:r>
        <w:rPr>
          <w:i/>
          <w:sz w:val="20"/>
          <w:szCs w:val="20"/>
        </w:rPr>
        <w:t>S</w:t>
      </w:r>
      <w:r w:rsidR="001B69D5">
        <w:rPr>
          <w:i/>
          <w:sz w:val="20"/>
          <w:szCs w:val="20"/>
        </w:rPr>
        <w:t>outhex</w:t>
      </w:r>
      <w:proofErr w:type="spellEnd"/>
    </w:p>
    <w:p w14:paraId="2E6CCAA2" w14:textId="45EB0155" w:rsidR="001B69D5" w:rsidRPr="001B69D5" w:rsidRDefault="001B69D5" w:rsidP="00FD0BEC">
      <w:pPr>
        <w:pStyle w:val="ListParagraph"/>
        <w:numPr>
          <w:ilvl w:val="1"/>
          <w:numId w:val="3"/>
        </w:numPr>
      </w:pPr>
      <w:r>
        <w:rPr>
          <w:sz w:val="20"/>
          <w:szCs w:val="20"/>
        </w:rPr>
        <w:t>General partnerships don’t require a written agreement or any state filing</w:t>
      </w:r>
    </w:p>
    <w:p w14:paraId="2AF43CD5" w14:textId="26468C57" w:rsidR="001B69D5" w:rsidRPr="00C7466C" w:rsidRDefault="001B69D5" w:rsidP="00FD0BEC">
      <w:pPr>
        <w:pStyle w:val="ListParagraph"/>
        <w:numPr>
          <w:ilvl w:val="1"/>
          <w:numId w:val="3"/>
        </w:numPr>
      </w:pPr>
      <w:r>
        <w:rPr>
          <w:sz w:val="20"/>
          <w:szCs w:val="20"/>
        </w:rPr>
        <w:t xml:space="preserve">A person who represents himself (or allows himself to be represented as) a partner such that someone relies on said representation is liable to the reliant for the actions of the “partners” – </w:t>
      </w:r>
      <w:r>
        <w:rPr>
          <w:i/>
          <w:sz w:val="20"/>
          <w:szCs w:val="20"/>
        </w:rPr>
        <w:t xml:space="preserve">Young v. Jones </w:t>
      </w:r>
      <w:r>
        <w:rPr>
          <w:sz w:val="20"/>
          <w:szCs w:val="20"/>
        </w:rPr>
        <w:t>(PWC-</w:t>
      </w:r>
      <w:proofErr w:type="spellStart"/>
      <w:r>
        <w:rPr>
          <w:sz w:val="20"/>
          <w:szCs w:val="20"/>
        </w:rPr>
        <w:t>Bahmas</w:t>
      </w:r>
      <w:proofErr w:type="spellEnd"/>
      <w:r>
        <w:rPr>
          <w:sz w:val="20"/>
          <w:szCs w:val="20"/>
        </w:rPr>
        <w:t>)</w:t>
      </w:r>
    </w:p>
    <w:p w14:paraId="7B8299E7" w14:textId="115A6D7A" w:rsidR="00C7466C" w:rsidRPr="00C7466C" w:rsidRDefault="00C7466C" w:rsidP="00FD0BEC">
      <w:pPr>
        <w:pStyle w:val="ListParagraph"/>
        <w:numPr>
          <w:ilvl w:val="2"/>
          <w:numId w:val="3"/>
        </w:numPr>
      </w:pPr>
      <w:r>
        <w:rPr>
          <w:sz w:val="20"/>
          <w:szCs w:val="20"/>
        </w:rPr>
        <w:t>The two critical elements are a representation and reliance (“gives credit”)</w:t>
      </w:r>
    </w:p>
    <w:p w14:paraId="55269770" w14:textId="65B8970A" w:rsidR="00C7466C" w:rsidRPr="00C7466C" w:rsidRDefault="00C7466C" w:rsidP="00FD0BEC">
      <w:pPr>
        <w:pStyle w:val="ListParagraph"/>
        <w:numPr>
          <w:ilvl w:val="3"/>
          <w:numId w:val="3"/>
        </w:numPr>
        <w:rPr>
          <w:i/>
        </w:rPr>
      </w:pPr>
      <w:r>
        <w:rPr>
          <w:sz w:val="20"/>
          <w:szCs w:val="20"/>
        </w:rPr>
        <w:t xml:space="preserve">Can an argument be made for apparent partnership, a la </w:t>
      </w:r>
      <w:r>
        <w:rPr>
          <w:i/>
          <w:sz w:val="20"/>
          <w:szCs w:val="20"/>
        </w:rPr>
        <w:t>McDonald’s</w:t>
      </w:r>
      <w:r>
        <w:rPr>
          <w:sz w:val="20"/>
          <w:szCs w:val="20"/>
        </w:rPr>
        <w:t>?</w:t>
      </w:r>
    </w:p>
    <w:p w14:paraId="22C1A233" w14:textId="6D89BD65" w:rsidR="001324D2" w:rsidRPr="00261FBB" w:rsidRDefault="00C7466C" w:rsidP="00FD0BEC">
      <w:pPr>
        <w:pStyle w:val="ListParagraph"/>
        <w:numPr>
          <w:ilvl w:val="3"/>
          <w:numId w:val="3"/>
        </w:numPr>
      </w:pPr>
      <w:r>
        <w:rPr>
          <w:sz w:val="20"/>
          <w:szCs w:val="20"/>
        </w:rPr>
        <w:t xml:space="preserve">Cf. </w:t>
      </w:r>
      <w:proofErr w:type="spellStart"/>
      <w:r>
        <w:rPr>
          <w:i/>
          <w:sz w:val="20"/>
          <w:szCs w:val="20"/>
        </w:rPr>
        <w:t>Hoddeson</w:t>
      </w:r>
      <w:proofErr w:type="spellEnd"/>
      <w:r>
        <w:rPr>
          <w:i/>
          <w:sz w:val="20"/>
          <w:szCs w:val="20"/>
        </w:rPr>
        <w:t xml:space="preserve"> v. </w:t>
      </w:r>
      <w:proofErr w:type="spellStart"/>
      <w:r>
        <w:rPr>
          <w:i/>
          <w:sz w:val="20"/>
          <w:szCs w:val="20"/>
        </w:rPr>
        <w:t>Koos</w:t>
      </w:r>
      <w:proofErr w:type="spellEnd"/>
      <w:r>
        <w:rPr>
          <w:i/>
          <w:sz w:val="20"/>
          <w:szCs w:val="20"/>
        </w:rPr>
        <w:t xml:space="preserve"> Bros.</w:t>
      </w:r>
      <w:r>
        <w:rPr>
          <w:sz w:val="20"/>
          <w:szCs w:val="20"/>
        </w:rPr>
        <w:t xml:space="preserve"> (furniture store agency by estoppel)</w:t>
      </w:r>
    </w:p>
    <w:p w14:paraId="5833ACDF" w14:textId="1360E818" w:rsidR="00261FBB" w:rsidRPr="00261FBB" w:rsidRDefault="00261FBB" w:rsidP="0097328D">
      <w:pPr>
        <w:pStyle w:val="ListParagraph"/>
        <w:numPr>
          <w:ilvl w:val="1"/>
          <w:numId w:val="3"/>
        </w:numPr>
        <w:spacing w:after="0"/>
      </w:pPr>
      <w:r>
        <w:rPr>
          <w:sz w:val="20"/>
          <w:szCs w:val="20"/>
        </w:rPr>
        <w:t>A joint venture has the following elements: (</w:t>
      </w:r>
      <w:proofErr w:type="spellStart"/>
      <w:r>
        <w:rPr>
          <w:i/>
          <w:sz w:val="20"/>
          <w:szCs w:val="20"/>
        </w:rPr>
        <w:t>Sandvick</w:t>
      </w:r>
      <w:proofErr w:type="spellEnd"/>
      <w:r>
        <w:rPr>
          <w:i/>
          <w:sz w:val="20"/>
          <w:szCs w:val="20"/>
        </w:rPr>
        <w:t xml:space="preserve"> v. </w:t>
      </w:r>
      <w:proofErr w:type="spellStart"/>
      <w:r>
        <w:rPr>
          <w:i/>
          <w:sz w:val="20"/>
          <w:szCs w:val="20"/>
        </w:rPr>
        <w:t>LaCrosse</w:t>
      </w:r>
      <w:proofErr w:type="spellEnd"/>
      <w:r>
        <w:rPr>
          <w:i/>
          <w:sz w:val="20"/>
          <w:szCs w:val="20"/>
        </w:rPr>
        <w:t xml:space="preserve"> </w:t>
      </w:r>
      <w:r>
        <w:rPr>
          <w:sz w:val="20"/>
          <w:szCs w:val="20"/>
        </w:rPr>
        <w:t>– oil and gas lease renewal)</w:t>
      </w:r>
    </w:p>
    <w:p w14:paraId="3912DF55" w14:textId="511E2E53" w:rsidR="00261FBB" w:rsidRPr="00261FBB" w:rsidRDefault="00261FBB" w:rsidP="0097328D">
      <w:pPr>
        <w:pStyle w:val="ListParagraph"/>
        <w:numPr>
          <w:ilvl w:val="2"/>
          <w:numId w:val="3"/>
        </w:numPr>
        <w:spacing w:after="0"/>
      </w:pPr>
      <w:r>
        <w:rPr>
          <w:sz w:val="20"/>
          <w:szCs w:val="20"/>
        </w:rPr>
        <w:t>Contribution of money, property, time or skill to a common undertaking</w:t>
      </w:r>
    </w:p>
    <w:p w14:paraId="0DE3FF52" w14:textId="4EB429B4" w:rsidR="00261FBB" w:rsidRPr="00261FBB" w:rsidRDefault="00261FBB" w:rsidP="0097328D">
      <w:pPr>
        <w:pStyle w:val="ListParagraph"/>
        <w:numPr>
          <w:ilvl w:val="2"/>
          <w:numId w:val="3"/>
        </w:numPr>
        <w:spacing w:after="0"/>
      </w:pPr>
      <w:r>
        <w:rPr>
          <w:sz w:val="20"/>
          <w:szCs w:val="20"/>
        </w:rPr>
        <w:t>Right of mutual control</w:t>
      </w:r>
    </w:p>
    <w:p w14:paraId="70B0B53B" w14:textId="5EC3576D" w:rsidR="00261FBB" w:rsidRPr="00261FBB" w:rsidRDefault="00261FBB" w:rsidP="00FD0BEC">
      <w:pPr>
        <w:pStyle w:val="ListParagraph"/>
        <w:numPr>
          <w:ilvl w:val="2"/>
          <w:numId w:val="3"/>
        </w:numPr>
      </w:pPr>
      <w:r>
        <w:rPr>
          <w:sz w:val="20"/>
          <w:szCs w:val="20"/>
        </w:rPr>
        <w:t>Agreement for sharing of profits and (usually) losses</w:t>
      </w:r>
    </w:p>
    <w:p w14:paraId="06FDCAAA" w14:textId="718CF0E4" w:rsidR="00261FBB" w:rsidRPr="00EA3F60" w:rsidRDefault="00261FBB" w:rsidP="00FD0BEC">
      <w:pPr>
        <w:pStyle w:val="ListParagraph"/>
        <w:numPr>
          <w:ilvl w:val="2"/>
          <w:numId w:val="3"/>
        </w:numPr>
      </w:pPr>
      <w:r>
        <w:rPr>
          <w:sz w:val="20"/>
          <w:szCs w:val="20"/>
        </w:rPr>
        <w:t>Express or implied contract showing joint venture</w:t>
      </w:r>
    </w:p>
    <w:p w14:paraId="5535788C" w14:textId="5815242A" w:rsidR="001324D2" w:rsidRPr="00B635DC" w:rsidRDefault="00EA3F60" w:rsidP="00FD0BEC">
      <w:pPr>
        <w:pStyle w:val="ListParagraph"/>
        <w:numPr>
          <w:ilvl w:val="0"/>
          <w:numId w:val="3"/>
        </w:numPr>
      </w:pPr>
      <w:r>
        <w:rPr>
          <w:sz w:val="20"/>
          <w:szCs w:val="20"/>
        </w:rPr>
        <w:t xml:space="preserve">Partners </w:t>
      </w:r>
      <w:r w:rsidR="001324D2">
        <w:rPr>
          <w:sz w:val="20"/>
          <w:szCs w:val="20"/>
        </w:rPr>
        <w:t xml:space="preserve">owe each other and the partnership duties of care and loyalty – </w:t>
      </w:r>
      <w:r w:rsidR="00B91FB7">
        <w:rPr>
          <w:sz w:val="20"/>
          <w:szCs w:val="20"/>
        </w:rPr>
        <w:t>R</w:t>
      </w:r>
      <w:r w:rsidR="001324D2">
        <w:rPr>
          <w:sz w:val="20"/>
          <w:szCs w:val="20"/>
        </w:rPr>
        <w:t>UPA §404</w:t>
      </w:r>
    </w:p>
    <w:p w14:paraId="2CBE6DBC" w14:textId="04181C14" w:rsidR="00B635DC" w:rsidRPr="00F46ED7" w:rsidRDefault="00B635DC" w:rsidP="00FD0BEC">
      <w:pPr>
        <w:pStyle w:val="ListParagraph"/>
        <w:numPr>
          <w:ilvl w:val="1"/>
          <w:numId w:val="3"/>
        </w:numPr>
      </w:pPr>
      <w:r>
        <w:rPr>
          <w:sz w:val="20"/>
          <w:szCs w:val="20"/>
        </w:rPr>
        <w:t xml:space="preserve">Essence of breach of fiduciary duty between partners is that one partner advantages himself at the expense of the partnership – </w:t>
      </w:r>
      <w:r>
        <w:rPr>
          <w:i/>
          <w:sz w:val="20"/>
          <w:szCs w:val="20"/>
        </w:rPr>
        <w:t>Day v. Sidley Austin</w:t>
      </w:r>
    </w:p>
    <w:p w14:paraId="1E4D9606" w14:textId="1EDEF354" w:rsidR="00EA3F60" w:rsidRPr="00631F63" w:rsidRDefault="001324D2" w:rsidP="00FD0BEC">
      <w:pPr>
        <w:pStyle w:val="ListParagraph"/>
        <w:numPr>
          <w:ilvl w:val="1"/>
          <w:numId w:val="3"/>
        </w:numPr>
      </w:pPr>
      <w:r>
        <w:rPr>
          <w:sz w:val="20"/>
          <w:szCs w:val="20"/>
        </w:rPr>
        <w:t>Duty of loyalty</w:t>
      </w:r>
      <w:r w:rsidR="00EA3F60">
        <w:rPr>
          <w:sz w:val="20"/>
          <w:szCs w:val="20"/>
        </w:rPr>
        <w:t xml:space="preserve"> prevents a partner from taking an opportu</w:t>
      </w:r>
      <w:r w:rsidR="00AF7A0A">
        <w:rPr>
          <w:sz w:val="20"/>
          <w:szCs w:val="20"/>
        </w:rPr>
        <w:t xml:space="preserve">nity for personal gain that belongs to </w:t>
      </w:r>
      <w:r w:rsidR="00EA3F60">
        <w:rPr>
          <w:sz w:val="20"/>
          <w:szCs w:val="20"/>
        </w:rPr>
        <w:t xml:space="preserve">partnership – </w:t>
      </w:r>
      <w:proofErr w:type="spellStart"/>
      <w:r w:rsidR="00EA3F60">
        <w:rPr>
          <w:i/>
          <w:sz w:val="20"/>
          <w:szCs w:val="20"/>
        </w:rPr>
        <w:t>Meinhard</w:t>
      </w:r>
      <w:proofErr w:type="spellEnd"/>
      <w:r w:rsidR="00EA3F60">
        <w:rPr>
          <w:i/>
          <w:sz w:val="20"/>
          <w:szCs w:val="20"/>
        </w:rPr>
        <w:t xml:space="preserve"> v. Salmon</w:t>
      </w:r>
      <w:r w:rsidR="00AF7A0A">
        <w:rPr>
          <w:sz w:val="20"/>
          <w:szCs w:val="20"/>
        </w:rPr>
        <w:t xml:space="preserve"> (extension of </w:t>
      </w:r>
      <w:r w:rsidR="00EA3F60">
        <w:rPr>
          <w:sz w:val="20"/>
          <w:szCs w:val="20"/>
        </w:rPr>
        <w:t>contract belonged to expiring partnership)</w:t>
      </w:r>
    </w:p>
    <w:p w14:paraId="3AB165E5" w14:textId="2ACC89EB" w:rsidR="00631F63" w:rsidRPr="00EA3F60" w:rsidRDefault="00631F63" w:rsidP="00631F63">
      <w:pPr>
        <w:pStyle w:val="ListParagraph"/>
        <w:numPr>
          <w:ilvl w:val="2"/>
          <w:numId w:val="3"/>
        </w:numPr>
      </w:pPr>
      <w:r>
        <w:rPr>
          <w:sz w:val="20"/>
          <w:szCs w:val="20"/>
        </w:rPr>
        <w:t>Partners owe “</w:t>
      </w:r>
      <w:r w:rsidRPr="00631F63">
        <w:rPr>
          <w:sz w:val="20"/>
          <w:szCs w:val="20"/>
        </w:rPr>
        <w:t>the punctilio of honor most sensitive</w:t>
      </w:r>
      <w:r>
        <w:rPr>
          <w:sz w:val="20"/>
          <w:szCs w:val="20"/>
        </w:rPr>
        <w:t>” to each other</w:t>
      </w:r>
    </w:p>
    <w:p w14:paraId="3BA7D6EB" w14:textId="404792D3" w:rsidR="00EA3F60" w:rsidRPr="00EA3F60" w:rsidRDefault="0056179F" w:rsidP="00FD0BEC">
      <w:pPr>
        <w:pStyle w:val="ListParagraph"/>
        <w:numPr>
          <w:ilvl w:val="2"/>
          <w:numId w:val="3"/>
        </w:numPr>
      </w:pPr>
      <w:r>
        <w:rPr>
          <w:sz w:val="20"/>
          <w:szCs w:val="20"/>
        </w:rPr>
        <w:t>P</w:t>
      </w:r>
      <w:r w:rsidR="00AF7A0A">
        <w:rPr>
          <w:sz w:val="20"/>
          <w:szCs w:val="20"/>
        </w:rPr>
        <w:t xml:space="preserve">arties </w:t>
      </w:r>
      <w:r w:rsidR="00EA3F60">
        <w:rPr>
          <w:sz w:val="20"/>
          <w:szCs w:val="20"/>
        </w:rPr>
        <w:t>were not partners</w:t>
      </w:r>
      <w:r w:rsidR="00AF7A0A">
        <w:rPr>
          <w:sz w:val="20"/>
          <w:szCs w:val="20"/>
        </w:rPr>
        <w:t xml:space="preserve">, but joint </w:t>
      </w:r>
      <w:proofErr w:type="spellStart"/>
      <w:r w:rsidR="00AF7A0A">
        <w:rPr>
          <w:sz w:val="20"/>
          <w:szCs w:val="20"/>
        </w:rPr>
        <w:t>venturers</w:t>
      </w:r>
      <w:proofErr w:type="spellEnd"/>
      <w:r w:rsidR="00AF7A0A">
        <w:rPr>
          <w:sz w:val="20"/>
          <w:szCs w:val="20"/>
        </w:rPr>
        <w:t xml:space="preserve"> – had a</w:t>
      </w:r>
      <w:r w:rsidR="00EA3F60">
        <w:rPr>
          <w:sz w:val="20"/>
          <w:szCs w:val="20"/>
        </w:rPr>
        <w:t xml:space="preserve"> defined, limited duration</w:t>
      </w:r>
    </w:p>
    <w:p w14:paraId="186C97F0" w14:textId="01C07D6A" w:rsidR="00EA3F60" w:rsidRPr="00EA3F60" w:rsidRDefault="00EA3F60" w:rsidP="00FD0BEC">
      <w:pPr>
        <w:pStyle w:val="ListParagraph"/>
        <w:numPr>
          <w:ilvl w:val="2"/>
          <w:numId w:val="3"/>
        </w:numPr>
      </w:pPr>
      <w:r>
        <w:rPr>
          <w:sz w:val="20"/>
          <w:szCs w:val="20"/>
        </w:rPr>
        <w:t xml:space="preserve">Duty was to disclose opportunity but </w:t>
      </w:r>
      <w:r>
        <w:rPr>
          <w:i/>
          <w:sz w:val="20"/>
          <w:szCs w:val="20"/>
        </w:rPr>
        <w:t xml:space="preserve">not necessarily </w:t>
      </w:r>
      <w:r>
        <w:rPr>
          <w:sz w:val="20"/>
          <w:szCs w:val="20"/>
        </w:rPr>
        <w:t>to continue partnership</w:t>
      </w:r>
    </w:p>
    <w:p w14:paraId="36EFB721" w14:textId="0DDD2650" w:rsidR="001324D2" w:rsidRPr="00261FBB" w:rsidRDefault="00EA3F60" w:rsidP="00FD0BEC">
      <w:pPr>
        <w:pStyle w:val="ListParagraph"/>
        <w:numPr>
          <w:ilvl w:val="3"/>
          <w:numId w:val="3"/>
        </w:numPr>
      </w:pPr>
      <w:r>
        <w:rPr>
          <w:sz w:val="20"/>
          <w:szCs w:val="20"/>
        </w:rPr>
        <w:t>No duty to disclose opportunity lacking nexus to the subject of the partnership</w:t>
      </w:r>
    </w:p>
    <w:p w14:paraId="0772E7A1" w14:textId="04542AAC" w:rsidR="00261FBB" w:rsidRPr="00F46ED7" w:rsidRDefault="00261FBB" w:rsidP="00FD0BEC">
      <w:pPr>
        <w:pStyle w:val="ListParagraph"/>
        <w:numPr>
          <w:ilvl w:val="2"/>
          <w:numId w:val="3"/>
        </w:numPr>
      </w:pPr>
      <w:r>
        <w:rPr>
          <w:sz w:val="20"/>
          <w:szCs w:val="20"/>
        </w:rPr>
        <w:t xml:space="preserve">Nondisclosure can create an impermissible conflict of interest – </w:t>
      </w:r>
      <w:proofErr w:type="spellStart"/>
      <w:r>
        <w:rPr>
          <w:i/>
          <w:sz w:val="20"/>
          <w:szCs w:val="20"/>
        </w:rPr>
        <w:t>Sandvick</w:t>
      </w:r>
      <w:proofErr w:type="spellEnd"/>
      <w:r>
        <w:rPr>
          <w:i/>
          <w:sz w:val="20"/>
          <w:szCs w:val="20"/>
        </w:rPr>
        <w:t xml:space="preserve"> </w:t>
      </w:r>
    </w:p>
    <w:p w14:paraId="2BF5A914" w14:textId="6F4F7AEC" w:rsidR="00F46ED7" w:rsidRPr="001324D2" w:rsidRDefault="00F46ED7" w:rsidP="00FD0BEC">
      <w:pPr>
        <w:pStyle w:val="ListParagraph"/>
        <w:numPr>
          <w:ilvl w:val="2"/>
          <w:numId w:val="3"/>
        </w:numPr>
      </w:pPr>
      <w:r>
        <w:rPr>
          <w:sz w:val="20"/>
          <w:szCs w:val="20"/>
        </w:rPr>
        <w:t xml:space="preserve">Without concerns of self-dealing or secret profits, unlikely that breach of duty of loyalty has occurred – </w:t>
      </w:r>
      <w:r>
        <w:rPr>
          <w:i/>
          <w:sz w:val="20"/>
          <w:szCs w:val="20"/>
        </w:rPr>
        <w:t>Day v. Sidley Austin</w:t>
      </w:r>
      <w:r>
        <w:rPr>
          <w:sz w:val="20"/>
          <w:szCs w:val="20"/>
        </w:rPr>
        <w:t xml:space="preserve"> (no legal injury for losing power within partnership)</w:t>
      </w:r>
    </w:p>
    <w:p w14:paraId="2254D552" w14:textId="75D5DA29" w:rsidR="001324D2" w:rsidRPr="00901EEF" w:rsidRDefault="001324D2" w:rsidP="00FD0BEC">
      <w:pPr>
        <w:pStyle w:val="ListParagraph"/>
        <w:numPr>
          <w:ilvl w:val="1"/>
          <w:numId w:val="3"/>
        </w:numPr>
      </w:pPr>
      <w:r>
        <w:rPr>
          <w:sz w:val="20"/>
          <w:szCs w:val="20"/>
        </w:rPr>
        <w:t xml:space="preserve">Partnership agreement may identify specific activities that will not be held as violations of the duty of loyalty, or may provide for the authorization of an otherwise disloyal act after full disclosure of all material facts – </w:t>
      </w:r>
      <w:r w:rsidR="00B91FB7">
        <w:rPr>
          <w:sz w:val="20"/>
          <w:szCs w:val="20"/>
        </w:rPr>
        <w:t>R</w:t>
      </w:r>
      <w:r>
        <w:rPr>
          <w:sz w:val="20"/>
          <w:szCs w:val="20"/>
        </w:rPr>
        <w:t>UPA §103(b)(3)</w:t>
      </w:r>
    </w:p>
    <w:p w14:paraId="5C80F86B" w14:textId="452505FE" w:rsidR="00901EEF" w:rsidRPr="00901EEF" w:rsidRDefault="00901EEF" w:rsidP="00FD0BEC">
      <w:pPr>
        <w:pStyle w:val="ListParagraph"/>
        <w:numPr>
          <w:ilvl w:val="1"/>
          <w:numId w:val="3"/>
        </w:numPr>
      </w:pPr>
      <w:r>
        <w:rPr>
          <w:sz w:val="20"/>
          <w:szCs w:val="20"/>
        </w:rPr>
        <w:t>Partner</w:t>
      </w:r>
      <w:r w:rsidR="00B94EB3">
        <w:rPr>
          <w:sz w:val="20"/>
          <w:szCs w:val="20"/>
        </w:rPr>
        <w:t>s must give accounting of anything affecting partnership to</w:t>
      </w:r>
      <w:r>
        <w:rPr>
          <w:sz w:val="20"/>
          <w:szCs w:val="20"/>
        </w:rPr>
        <w:t xml:space="preserve"> partner</w:t>
      </w:r>
      <w:r w:rsidR="00B94EB3">
        <w:rPr>
          <w:sz w:val="20"/>
          <w:szCs w:val="20"/>
        </w:rPr>
        <w:t xml:space="preserve"> on demand</w:t>
      </w:r>
      <w:r>
        <w:rPr>
          <w:sz w:val="20"/>
          <w:szCs w:val="20"/>
        </w:rPr>
        <w:t xml:space="preserve"> – UPA </w:t>
      </w:r>
      <w:r w:rsidR="0067340B">
        <w:rPr>
          <w:sz w:val="20"/>
          <w:szCs w:val="20"/>
        </w:rPr>
        <w:t>§20</w:t>
      </w:r>
    </w:p>
    <w:p w14:paraId="0147BF06" w14:textId="66CFF508" w:rsidR="0067340B" w:rsidRPr="00B91FB7" w:rsidRDefault="00901EEF" w:rsidP="00FD0BEC">
      <w:pPr>
        <w:pStyle w:val="ListParagraph"/>
        <w:numPr>
          <w:ilvl w:val="2"/>
          <w:numId w:val="3"/>
        </w:numPr>
      </w:pPr>
      <w:r>
        <w:rPr>
          <w:sz w:val="20"/>
          <w:szCs w:val="20"/>
        </w:rPr>
        <w:t xml:space="preserve">Although logistical arrangements as part of preparation to leave are permissible, </w:t>
      </w:r>
      <w:r w:rsidR="0067340B">
        <w:rPr>
          <w:sz w:val="20"/>
          <w:szCs w:val="20"/>
        </w:rPr>
        <w:t xml:space="preserve">lying about leaving or using a position of trust for personal benefit (to the detriment of the partnership) violates the duty of loyalty – </w:t>
      </w:r>
      <w:r w:rsidR="0067340B">
        <w:rPr>
          <w:i/>
          <w:sz w:val="20"/>
          <w:szCs w:val="20"/>
        </w:rPr>
        <w:t xml:space="preserve">Meehan v. Shaughnessy </w:t>
      </w:r>
      <w:r w:rsidR="0067340B">
        <w:rPr>
          <w:sz w:val="20"/>
          <w:szCs w:val="20"/>
        </w:rPr>
        <w:t>(law firm breakup)</w:t>
      </w:r>
    </w:p>
    <w:p w14:paraId="11A1C156" w14:textId="763B42D2" w:rsidR="0067340B" w:rsidRPr="00901EEF" w:rsidRDefault="00B91FB7" w:rsidP="0097328D">
      <w:pPr>
        <w:pStyle w:val="ListParagraph"/>
        <w:numPr>
          <w:ilvl w:val="2"/>
          <w:numId w:val="3"/>
        </w:numPr>
      </w:pPr>
      <w:r>
        <w:rPr>
          <w:sz w:val="20"/>
          <w:szCs w:val="20"/>
        </w:rPr>
        <w:t>Be</w:t>
      </w:r>
      <w:r w:rsidR="0097328D">
        <w:rPr>
          <w:sz w:val="20"/>
          <w:szCs w:val="20"/>
        </w:rPr>
        <w:t xml:space="preserve">ing “ready to move” as soon as </w:t>
      </w:r>
      <w:r>
        <w:rPr>
          <w:sz w:val="20"/>
          <w:szCs w:val="20"/>
        </w:rPr>
        <w:t>notice of intent to leave is given might be a breach</w:t>
      </w:r>
      <w:r w:rsidR="0097328D">
        <w:rPr>
          <w:sz w:val="20"/>
          <w:szCs w:val="20"/>
        </w:rPr>
        <w:t xml:space="preserve"> – </w:t>
      </w:r>
      <w:r w:rsidR="0067340B" w:rsidRPr="0097328D">
        <w:rPr>
          <w:sz w:val="20"/>
          <w:szCs w:val="20"/>
        </w:rPr>
        <w:t xml:space="preserve">Cf. </w:t>
      </w:r>
      <w:r w:rsidR="0067340B" w:rsidRPr="0097328D">
        <w:rPr>
          <w:i/>
          <w:sz w:val="20"/>
          <w:szCs w:val="20"/>
        </w:rPr>
        <w:t>Town &amp; Country Home</w:t>
      </w:r>
    </w:p>
    <w:p w14:paraId="68556DCD" w14:textId="77EB8462" w:rsidR="00062F01" w:rsidRPr="00B91FB7" w:rsidRDefault="00901EEF" w:rsidP="00FD0BEC">
      <w:pPr>
        <w:pStyle w:val="ListParagraph"/>
        <w:numPr>
          <w:ilvl w:val="0"/>
          <w:numId w:val="3"/>
        </w:numPr>
      </w:pPr>
      <w:r>
        <w:rPr>
          <w:sz w:val="20"/>
          <w:szCs w:val="20"/>
        </w:rPr>
        <w:t>Default rules established by the UPA may be altered in almost any way by the partnership agreement</w:t>
      </w:r>
    </w:p>
    <w:p w14:paraId="7B8769D7" w14:textId="725B5359" w:rsidR="00B91FB7" w:rsidRPr="00324BBC" w:rsidRDefault="00B91FB7" w:rsidP="00FD0BEC">
      <w:pPr>
        <w:pStyle w:val="ListParagraph"/>
        <w:numPr>
          <w:ilvl w:val="1"/>
          <w:numId w:val="3"/>
        </w:numPr>
      </w:pPr>
      <w:r>
        <w:rPr>
          <w:sz w:val="20"/>
          <w:szCs w:val="20"/>
        </w:rPr>
        <w:t xml:space="preserve">A partnership may be dissolved by expulsion of any partner </w:t>
      </w:r>
      <w:r w:rsidRPr="00D72330">
        <w:rPr>
          <w:i/>
          <w:sz w:val="20"/>
          <w:szCs w:val="20"/>
        </w:rPr>
        <w:t>bona fide</w:t>
      </w:r>
      <w:r>
        <w:rPr>
          <w:sz w:val="20"/>
          <w:szCs w:val="20"/>
        </w:rPr>
        <w:t xml:space="preserve"> in accordance </w:t>
      </w:r>
      <w:r w:rsidR="00324BBC">
        <w:rPr>
          <w:sz w:val="20"/>
          <w:szCs w:val="20"/>
        </w:rPr>
        <w:t>with the partnership agreement – UPA §31(1)(d)</w:t>
      </w:r>
    </w:p>
    <w:p w14:paraId="34997046" w14:textId="6C995826" w:rsidR="00324BBC" w:rsidRPr="00D72330" w:rsidRDefault="00324BBC" w:rsidP="00FD0BEC">
      <w:pPr>
        <w:pStyle w:val="ListParagraph"/>
        <w:numPr>
          <w:ilvl w:val="2"/>
          <w:numId w:val="3"/>
        </w:numPr>
      </w:pPr>
      <w:r>
        <w:rPr>
          <w:sz w:val="20"/>
          <w:szCs w:val="20"/>
        </w:rPr>
        <w:lastRenderedPageBreak/>
        <w:t xml:space="preserve">If agreement specifies no-cause termination, good faith exists as long as expulsion does not wrongfully withhold money or property legally due to the expelled partner – </w:t>
      </w:r>
      <w:r>
        <w:rPr>
          <w:i/>
          <w:sz w:val="20"/>
          <w:szCs w:val="20"/>
        </w:rPr>
        <w:t>Lawlis</w:t>
      </w:r>
      <w:r>
        <w:rPr>
          <w:sz w:val="20"/>
          <w:szCs w:val="20"/>
        </w:rPr>
        <w:t xml:space="preserve"> (alcoholic attorney expelled)</w:t>
      </w:r>
    </w:p>
    <w:p w14:paraId="51D7AD27" w14:textId="1EB686D4" w:rsidR="00D72330" w:rsidRPr="00196F92" w:rsidRDefault="00D72330" w:rsidP="00FD0BEC">
      <w:pPr>
        <w:pStyle w:val="ListParagraph"/>
        <w:numPr>
          <w:ilvl w:val="2"/>
          <w:numId w:val="3"/>
        </w:numPr>
      </w:pPr>
      <w:r>
        <w:rPr>
          <w:sz w:val="20"/>
          <w:szCs w:val="20"/>
        </w:rPr>
        <w:t>Partnership may also be dissolved by the termination of a definite term specified in the agreement, the express will of any partner if no definite term is specified, or by the express will of all the partners before a specified definite term – UPA §31</w:t>
      </w:r>
    </w:p>
    <w:p w14:paraId="5B5F3ADF" w14:textId="105B2D31" w:rsidR="00196F92" w:rsidRPr="00D72330" w:rsidRDefault="00196F92" w:rsidP="00FD0BEC">
      <w:pPr>
        <w:pStyle w:val="ListParagraph"/>
        <w:numPr>
          <w:ilvl w:val="3"/>
          <w:numId w:val="3"/>
        </w:numPr>
      </w:pPr>
      <w:r>
        <w:rPr>
          <w:sz w:val="20"/>
          <w:szCs w:val="20"/>
        </w:rPr>
        <w:t xml:space="preserve">Partnership agreement can have an implied promise to continue partnership – i.e., until debts have been repaid – </w:t>
      </w:r>
      <w:r>
        <w:rPr>
          <w:i/>
          <w:sz w:val="20"/>
          <w:szCs w:val="20"/>
        </w:rPr>
        <w:t xml:space="preserve">Owen v. Cohen </w:t>
      </w:r>
      <w:r>
        <w:rPr>
          <w:sz w:val="20"/>
          <w:szCs w:val="20"/>
        </w:rPr>
        <w:t>(mean bowling alley owner)</w:t>
      </w:r>
    </w:p>
    <w:p w14:paraId="7B0DBDB4" w14:textId="1D5A0397" w:rsidR="00196F92" w:rsidRPr="00261FBB" w:rsidRDefault="00D72330" w:rsidP="00FD0BEC">
      <w:pPr>
        <w:pStyle w:val="ListParagraph"/>
        <w:numPr>
          <w:ilvl w:val="2"/>
          <w:numId w:val="3"/>
        </w:numPr>
      </w:pPr>
      <w:r>
        <w:rPr>
          <w:sz w:val="20"/>
          <w:szCs w:val="20"/>
        </w:rPr>
        <w:t>Any partner may, by express will, wrongfully dissolve the partnership at any time, but may be liable to his partners for damages</w:t>
      </w:r>
    </w:p>
    <w:p w14:paraId="43D28D1B" w14:textId="029E9EEE" w:rsidR="00261FBB" w:rsidRPr="005B39DF" w:rsidRDefault="00261FBB" w:rsidP="00FD0BEC">
      <w:pPr>
        <w:pStyle w:val="ListParagraph"/>
        <w:numPr>
          <w:ilvl w:val="1"/>
          <w:numId w:val="3"/>
        </w:numPr>
      </w:pPr>
      <w:r>
        <w:rPr>
          <w:sz w:val="20"/>
          <w:szCs w:val="20"/>
        </w:rPr>
        <w:t>Every partner is an agent of the partnership – UPA § 9</w:t>
      </w:r>
    </w:p>
    <w:p w14:paraId="1A43BDDF" w14:textId="0D32C457" w:rsidR="005B39DF" w:rsidRPr="00261FBB" w:rsidRDefault="005B39DF" w:rsidP="00FD0BEC">
      <w:pPr>
        <w:pStyle w:val="ListParagraph"/>
        <w:numPr>
          <w:ilvl w:val="2"/>
          <w:numId w:val="3"/>
        </w:numPr>
      </w:pPr>
      <w:r>
        <w:rPr>
          <w:sz w:val="20"/>
          <w:szCs w:val="20"/>
        </w:rPr>
        <w:t>However, if partner has no author</w:t>
      </w:r>
      <w:r w:rsidR="0097328D">
        <w:rPr>
          <w:sz w:val="20"/>
          <w:szCs w:val="20"/>
        </w:rPr>
        <w:t xml:space="preserve">ity and third party knows it, partnership </w:t>
      </w:r>
      <w:r>
        <w:rPr>
          <w:sz w:val="20"/>
          <w:szCs w:val="20"/>
        </w:rPr>
        <w:t xml:space="preserve">not bound </w:t>
      </w:r>
    </w:p>
    <w:p w14:paraId="1EBBA7A8" w14:textId="11E80ABE" w:rsidR="00901EEF" w:rsidRPr="005B39DF" w:rsidRDefault="0097328D" w:rsidP="00FD0BEC">
      <w:pPr>
        <w:pStyle w:val="ListParagraph"/>
        <w:numPr>
          <w:ilvl w:val="1"/>
          <w:numId w:val="3"/>
        </w:numPr>
      </w:pPr>
      <w:r>
        <w:rPr>
          <w:sz w:val="20"/>
          <w:szCs w:val="20"/>
        </w:rPr>
        <w:t>Any conflicts</w:t>
      </w:r>
      <w:r w:rsidR="00901EEF">
        <w:rPr>
          <w:sz w:val="20"/>
          <w:szCs w:val="20"/>
        </w:rPr>
        <w:t xml:space="preserve"> </w:t>
      </w:r>
      <w:r>
        <w:rPr>
          <w:sz w:val="20"/>
          <w:szCs w:val="20"/>
        </w:rPr>
        <w:t xml:space="preserve">of </w:t>
      </w:r>
      <w:r w:rsidR="00901EEF">
        <w:rPr>
          <w:sz w:val="20"/>
          <w:szCs w:val="20"/>
        </w:rPr>
        <w:t>ordinary partnership business may</w:t>
      </w:r>
      <w:r w:rsidR="00B94EB3">
        <w:rPr>
          <w:sz w:val="20"/>
          <w:szCs w:val="20"/>
        </w:rPr>
        <w:t xml:space="preserve"> be decided by a majority</w:t>
      </w:r>
      <w:r w:rsidR="00901EEF">
        <w:rPr>
          <w:sz w:val="20"/>
          <w:szCs w:val="20"/>
        </w:rPr>
        <w:t xml:space="preserve"> – UPA §18(h)</w:t>
      </w:r>
    </w:p>
    <w:p w14:paraId="07EF297B" w14:textId="5C421CA8" w:rsidR="005B39DF" w:rsidRPr="005B39DF" w:rsidRDefault="005B39DF" w:rsidP="00FD0BEC">
      <w:pPr>
        <w:pStyle w:val="ListParagraph"/>
        <w:numPr>
          <w:ilvl w:val="2"/>
          <w:numId w:val="3"/>
        </w:numPr>
      </w:pPr>
      <w:r>
        <w:rPr>
          <w:sz w:val="20"/>
          <w:szCs w:val="20"/>
        </w:rPr>
        <w:t xml:space="preserve">Because there can be no majority in an evenly-divided partnership, there is no limit of authority on a partner within ordinary matters of partnership business – </w:t>
      </w:r>
      <w:r>
        <w:rPr>
          <w:i/>
          <w:sz w:val="20"/>
          <w:szCs w:val="20"/>
        </w:rPr>
        <w:t xml:space="preserve">Nabisco </w:t>
      </w:r>
      <w:r>
        <w:rPr>
          <w:sz w:val="20"/>
          <w:szCs w:val="20"/>
        </w:rPr>
        <w:t>(partnership is bound to pay for bread even though partner said he would not)</w:t>
      </w:r>
    </w:p>
    <w:p w14:paraId="4C291AF5" w14:textId="5073006B" w:rsidR="005B39DF" w:rsidRPr="00B635DC" w:rsidRDefault="00062F01" w:rsidP="00FD0BEC">
      <w:pPr>
        <w:pStyle w:val="ListParagraph"/>
        <w:numPr>
          <w:ilvl w:val="3"/>
          <w:numId w:val="3"/>
        </w:numPr>
      </w:pPr>
      <w:r>
        <w:rPr>
          <w:sz w:val="20"/>
          <w:szCs w:val="20"/>
        </w:rPr>
        <w:t>W</w:t>
      </w:r>
      <w:r w:rsidR="005B39DF">
        <w:rPr>
          <w:sz w:val="20"/>
          <w:szCs w:val="20"/>
        </w:rPr>
        <w:t xml:space="preserve">hen third party rights are affected, agency power of partners trumps the partnership deadlock, and the partnership is bound – </w:t>
      </w:r>
      <w:r>
        <w:rPr>
          <w:sz w:val="20"/>
          <w:szCs w:val="20"/>
        </w:rPr>
        <w:t xml:space="preserve">Compare </w:t>
      </w:r>
      <w:r>
        <w:rPr>
          <w:i/>
          <w:sz w:val="20"/>
          <w:szCs w:val="20"/>
        </w:rPr>
        <w:t xml:space="preserve">Nabisco </w:t>
      </w:r>
      <w:r>
        <w:rPr>
          <w:sz w:val="20"/>
          <w:szCs w:val="20"/>
        </w:rPr>
        <w:t xml:space="preserve">with </w:t>
      </w:r>
      <w:r w:rsidR="005B39DF">
        <w:rPr>
          <w:i/>
          <w:sz w:val="20"/>
          <w:szCs w:val="20"/>
        </w:rPr>
        <w:t>Summers v. Dooley</w:t>
      </w:r>
      <w:r w:rsidR="005B39DF">
        <w:rPr>
          <w:sz w:val="20"/>
          <w:szCs w:val="20"/>
        </w:rPr>
        <w:t xml:space="preserve"> (partner cannot require reimbursement from another partner if he refuses to pay for initial outlay)</w:t>
      </w:r>
    </w:p>
    <w:p w14:paraId="01B2A8FF" w14:textId="3A6A7AD2" w:rsidR="00B635DC" w:rsidRPr="00261FBB" w:rsidRDefault="00B635DC" w:rsidP="00FD0BEC">
      <w:pPr>
        <w:pStyle w:val="ListParagraph"/>
        <w:numPr>
          <w:ilvl w:val="1"/>
          <w:numId w:val="3"/>
        </w:numPr>
      </w:pPr>
      <w:r>
        <w:rPr>
          <w:sz w:val="20"/>
          <w:szCs w:val="20"/>
        </w:rPr>
        <w:t xml:space="preserve">All partners are liable jointly (and severally, under RUPA) </w:t>
      </w:r>
      <w:r w:rsidR="00B94EB3">
        <w:rPr>
          <w:sz w:val="20"/>
          <w:szCs w:val="20"/>
        </w:rPr>
        <w:t>for all partnership debts</w:t>
      </w:r>
      <w:r>
        <w:rPr>
          <w:sz w:val="20"/>
          <w:szCs w:val="20"/>
        </w:rPr>
        <w:t xml:space="preserve"> – UPA §15</w:t>
      </w:r>
    </w:p>
    <w:p w14:paraId="3E09ECA5" w14:textId="77777777" w:rsidR="00B635DC" w:rsidRPr="00901EEF" w:rsidRDefault="00B635DC" w:rsidP="00FD0BEC">
      <w:pPr>
        <w:pStyle w:val="ListParagraph"/>
        <w:numPr>
          <w:ilvl w:val="1"/>
          <w:numId w:val="3"/>
        </w:numPr>
      </w:pPr>
      <w:r>
        <w:rPr>
          <w:sz w:val="20"/>
          <w:szCs w:val="20"/>
        </w:rPr>
        <w:t xml:space="preserve">Initially, each partner is repaid all contributions to the partnership (by debt or equity) – after </w:t>
      </w:r>
      <w:r w:rsidRPr="00901EEF">
        <w:rPr>
          <w:i/>
          <w:sz w:val="20"/>
          <w:szCs w:val="20"/>
        </w:rPr>
        <w:t>all</w:t>
      </w:r>
      <w:r>
        <w:rPr>
          <w:sz w:val="20"/>
          <w:szCs w:val="20"/>
        </w:rPr>
        <w:t xml:space="preserve"> liabilities are paid, partners share equally in remaining profits – UPA §18(a)</w:t>
      </w:r>
    </w:p>
    <w:p w14:paraId="1DC83DA7" w14:textId="6D9DFB9C" w:rsidR="00B635DC" w:rsidRPr="00487F5C" w:rsidRDefault="00B635DC" w:rsidP="00FD0BEC">
      <w:pPr>
        <w:pStyle w:val="ListParagraph"/>
        <w:numPr>
          <w:ilvl w:val="2"/>
          <w:numId w:val="3"/>
        </w:numPr>
      </w:pPr>
      <w:r>
        <w:rPr>
          <w:sz w:val="20"/>
          <w:szCs w:val="20"/>
        </w:rPr>
        <w:t>All partners must contribute towards losses according to his share in the profits</w:t>
      </w:r>
    </w:p>
    <w:p w14:paraId="398060EF" w14:textId="77777777" w:rsidR="00487F5C" w:rsidRPr="00487F5C" w:rsidRDefault="00487F5C" w:rsidP="00FD0BEC">
      <w:pPr>
        <w:pStyle w:val="ListParagraph"/>
        <w:numPr>
          <w:ilvl w:val="3"/>
          <w:numId w:val="3"/>
        </w:numPr>
      </w:pPr>
      <w:r>
        <w:rPr>
          <w:sz w:val="20"/>
          <w:szCs w:val="20"/>
        </w:rPr>
        <w:t xml:space="preserve">If a partner contributes only services to a partnership (no capital), he is not obligated to help offset partnership capital losses – </w:t>
      </w:r>
      <w:proofErr w:type="spellStart"/>
      <w:r>
        <w:rPr>
          <w:i/>
          <w:sz w:val="20"/>
          <w:szCs w:val="20"/>
        </w:rPr>
        <w:t>Kovacik</w:t>
      </w:r>
      <w:proofErr w:type="spellEnd"/>
      <w:r>
        <w:rPr>
          <w:i/>
          <w:sz w:val="20"/>
          <w:szCs w:val="20"/>
        </w:rPr>
        <w:t xml:space="preserve"> </w:t>
      </w:r>
    </w:p>
    <w:p w14:paraId="60CA90EC" w14:textId="050A0861" w:rsidR="00487F5C" w:rsidRPr="00901EEF" w:rsidRDefault="00487F5C" w:rsidP="00FD0BEC">
      <w:pPr>
        <w:pStyle w:val="ListParagraph"/>
        <w:numPr>
          <w:ilvl w:val="4"/>
          <w:numId w:val="3"/>
        </w:numPr>
      </w:pPr>
      <w:r>
        <w:rPr>
          <w:sz w:val="20"/>
          <w:szCs w:val="20"/>
        </w:rPr>
        <w:t>This result is probably contrary to the plain language of §18, and is explicitly rejected in a comment to RUPA §401(b)</w:t>
      </w:r>
    </w:p>
    <w:p w14:paraId="25F1F3A1" w14:textId="77777777" w:rsidR="00B635DC" w:rsidRPr="00901EEF" w:rsidRDefault="00B635DC" w:rsidP="00FD0BEC">
      <w:pPr>
        <w:pStyle w:val="ListParagraph"/>
        <w:numPr>
          <w:ilvl w:val="1"/>
          <w:numId w:val="3"/>
        </w:numPr>
      </w:pPr>
      <w:r>
        <w:rPr>
          <w:sz w:val="20"/>
          <w:szCs w:val="20"/>
        </w:rPr>
        <w:t>All partners have equal rights in the management of the partnership business – UPA §18(e)</w:t>
      </w:r>
    </w:p>
    <w:p w14:paraId="66E3E721" w14:textId="4A9FB753" w:rsidR="00B635DC" w:rsidRPr="005B39DF" w:rsidRDefault="00B635DC" w:rsidP="00FD0BEC">
      <w:pPr>
        <w:pStyle w:val="ListParagraph"/>
        <w:numPr>
          <w:ilvl w:val="1"/>
          <w:numId w:val="3"/>
        </w:numPr>
      </w:pPr>
      <w:r>
        <w:rPr>
          <w:sz w:val="20"/>
          <w:szCs w:val="20"/>
        </w:rPr>
        <w:t>No partner is entitled to salary for acting in the partnership business – UPA §18(f)</w:t>
      </w:r>
    </w:p>
    <w:p w14:paraId="28EAC825" w14:textId="3FE9FA3C" w:rsidR="00901EEF" w:rsidRPr="00901EEF" w:rsidRDefault="00901EEF" w:rsidP="00FD0BEC">
      <w:pPr>
        <w:pStyle w:val="ListParagraph"/>
        <w:numPr>
          <w:ilvl w:val="0"/>
          <w:numId w:val="3"/>
        </w:numPr>
      </w:pPr>
      <w:r>
        <w:rPr>
          <w:sz w:val="20"/>
          <w:szCs w:val="20"/>
        </w:rPr>
        <w:t>A partner’s property rights are 1) rights in specific partnership property, 2) interest in the partnership, and 3) right to participate in management – UPA §24</w:t>
      </w:r>
    </w:p>
    <w:p w14:paraId="0E319DBA" w14:textId="6B359E0C" w:rsidR="00901EEF" w:rsidRPr="00D72330" w:rsidRDefault="00901EEF" w:rsidP="00FD0BEC">
      <w:pPr>
        <w:pStyle w:val="ListParagraph"/>
        <w:numPr>
          <w:ilvl w:val="1"/>
          <w:numId w:val="3"/>
        </w:numPr>
      </w:pPr>
      <w:r>
        <w:rPr>
          <w:sz w:val="20"/>
          <w:szCs w:val="20"/>
        </w:rPr>
        <w:t xml:space="preserve">All partners have equal possessory rights in specific partnership property, but that right is not assignable – UPA </w:t>
      </w:r>
      <w:r w:rsidR="005A19B4">
        <w:rPr>
          <w:sz w:val="20"/>
          <w:szCs w:val="20"/>
        </w:rPr>
        <w:t>§25(2)</w:t>
      </w:r>
    </w:p>
    <w:p w14:paraId="02FD1053" w14:textId="3ABA0629" w:rsidR="00D72330" w:rsidRPr="00324BBC" w:rsidRDefault="00D72330" w:rsidP="00FD0BEC">
      <w:pPr>
        <w:pStyle w:val="ListParagraph"/>
        <w:numPr>
          <w:ilvl w:val="2"/>
          <w:numId w:val="3"/>
        </w:numPr>
      </w:pPr>
      <w:r>
        <w:rPr>
          <w:sz w:val="20"/>
          <w:szCs w:val="20"/>
        </w:rPr>
        <w:t xml:space="preserve">No partner has rights in the specific property owned by the </w:t>
      </w:r>
      <w:r w:rsidRPr="00D72330">
        <w:rPr>
          <w:i/>
          <w:sz w:val="20"/>
          <w:szCs w:val="20"/>
        </w:rPr>
        <w:t>partnership</w:t>
      </w:r>
      <w:r>
        <w:rPr>
          <w:i/>
          <w:sz w:val="20"/>
          <w:szCs w:val="20"/>
        </w:rPr>
        <w:t xml:space="preserve"> </w:t>
      </w:r>
      <w:r>
        <w:rPr>
          <w:sz w:val="20"/>
          <w:szCs w:val="20"/>
        </w:rPr>
        <w:t xml:space="preserve">– </w:t>
      </w:r>
      <w:r>
        <w:rPr>
          <w:i/>
          <w:sz w:val="20"/>
          <w:szCs w:val="20"/>
        </w:rPr>
        <w:t xml:space="preserve">Putnam v. </w:t>
      </w:r>
      <w:proofErr w:type="spellStart"/>
      <w:r>
        <w:rPr>
          <w:i/>
          <w:sz w:val="20"/>
          <w:szCs w:val="20"/>
        </w:rPr>
        <w:t>Shoaf</w:t>
      </w:r>
      <w:proofErr w:type="spellEnd"/>
      <w:r>
        <w:rPr>
          <w:sz w:val="20"/>
          <w:szCs w:val="20"/>
        </w:rPr>
        <w:t xml:space="preserve"> (ex-partner had no right to damages paid by embezzling accountant)</w:t>
      </w:r>
    </w:p>
    <w:p w14:paraId="5CDC1AE1" w14:textId="1592AB5E" w:rsidR="00324BBC" w:rsidRPr="00324BBC" w:rsidRDefault="00324BBC" w:rsidP="00FD0BEC">
      <w:pPr>
        <w:pStyle w:val="ListParagraph"/>
        <w:numPr>
          <w:ilvl w:val="1"/>
          <w:numId w:val="3"/>
        </w:numPr>
      </w:pPr>
      <w:r>
        <w:rPr>
          <w:sz w:val="20"/>
          <w:szCs w:val="20"/>
        </w:rPr>
        <w:t>Interest in the partnership is an interest in the partner’s share of the profits, and may be assigned because no management rights attach</w:t>
      </w:r>
    </w:p>
    <w:p w14:paraId="36C4DFC9" w14:textId="0E12189C" w:rsidR="00324BBC" w:rsidRPr="00B5449C" w:rsidRDefault="00324BBC" w:rsidP="00FD0BEC">
      <w:pPr>
        <w:pStyle w:val="ListParagraph"/>
        <w:numPr>
          <w:ilvl w:val="1"/>
          <w:numId w:val="3"/>
        </w:numPr>
      </w:pPr>
      <w:r>
        <w:rPr>
          <w:sz w:val="20"/>
          <w:szCs w:val="20"/>
        </w:rPr>
        <w:t>Partnership management rights are not assignable</w:t>
      </w:r>
    </w:p>
    <w:p w14:paraId="6780B628" w14:textId="151B85FA" w:rsidR="00487F5C" w:rsidRPr="00750778" w:rsidRDefault="00487F5C" w:rsidP="00FD0BEC">
      <w:pPr>
        <w:pStyle w:val="ListParagraph"/>
        <w:numPr>
          <w:ilvl w:val="0"/>
          <w:numId w:val="3"/>
        </w:numPr>
      </w:pPr>
      <w:r>
        <w:rPr>
          <w:sz w:val="20"/>
          <w:szCs w:val="20"/>
        </w:rPr>
        <w:t xml:space="preserve">If a partner’s dissolution is rightful, the partnership is wound up and all partners get paid </w:t>
      </w:r>
      <w:r>
        <w:rPr>
          <w:i/>
          <w:sz w:val="20"/>
          <w:szCs w:val="20"/>
        </w:rPr>
        <w:t xml:space="preserve">unless </w:t>
      </w:r>
      <w:r>
        <w:rPr>
          <w:sz w:val="20"/>
          <w:szCs w:val="20"/>
        </w:rPr>
        <w:t xml:space="preserve">otherwise provided for in UPA §38 or the partnership agreement </w:t>
      </w:r>
    </w:p>
    <w:p w14:paraId="5BEF7FCB" w14:textId="292BE6CF" w:rsidR="00750778" w:rsidRPr="00487F5C" w:rsidRDefault="00750778" w:rsidP="00FD0BEC">
      <w:pPr>
        <w:pStyle w:val="ListParagraph"/>
        <w:numPr>
          <w:ilvl w:val="1"/>
          <w:numId w:val="3"/>
        </w:numPr>
      </w:pPr>
      <w:r>
        <w:rPr>
          <w:sz w:val="20"/>
          <w:szCs w:val="20"/>
        </w:rPr>
        <w:t xml:space="preserve">Partnership buy-out agreements are binding even though purchase price is less than the actual value of the partnership interest – </w:t>
      </w:r>
      <w:r>
        <w:rPr>
          <w:i/>
          <w:sz w:val="20"/>
          <w:szCs w:val="20"/>
        </w:rPr>
        <w:t>G&amp;S Investments</w:t>
      </w:r>
      <w:r>
        <w:rPr>
          <w:sz w:val="20"/>
          <w:szCs w:val="20"/>
        </w:rPr>
        <w:t xml:space="preserve"> (crackhead partner’s capital account was 0)</w:t>
      </w:r>
    </w:p>
    <w:p w14:paraId="27FFB414" w14:textId="7FA49895" w:rsidR="00487F5C" w:rsidRPr="00C15C97" w:rsidRDefault="00487F5C" w:rsidP="00FD0BEC">
      <w:pPr>
        <w:pStyle w:val="ListParagraph"/>
        <w:numPr>
          <w:ilvl w:val="0"/>
          <w:numId w:val="3"/>
        </w:numPr>
      </w:pPr>
      <w:r>
        <w:rPr>
          <w:sz w:val="20"/>
          <w:szCs w:val="20"/>
        </w:rPr>
        <w:t>If a partner’s dissolution is wrongful, the partner will be paid but might 1) be paid in the future, 2) be offset for damages, or 3) be forced to allow other partne</w:t>
      </w:r>
      <w:r w:rsidR="00BD15F4">
        <w:rPr>
          <w:sz w:val="20"/>
          <w:szCs w:val="20"/>
        </w:rPr>
        <w:t>rs to continue the partnership</w:t>
      </w:r>
    </w:p>
    <w:p w14:paraId="532602BC" w14:textId="0B71DE53" w:rsidR="00C15C97" w:rsidRPr="00487F5C" w:rsidRDefault="00B5449C" w:rsidP="00FD0BEC">
      <w:pPr>
        <w:pStyle w:val="ListParagraph"/>
        <w:numPr>
          <w:ilvl w:val="1"/>
          <w:numId w:val="3"/>
        </w:numPr>
      </w:pPr>
      <w:r>
        <w:rPr>
          <w:sz w:val="20"/>
          <w:szCs w:val="20"/>
        </w:rPr>
        <w:t>A partner’s conduct that makes it not reasonably practicable to carry on the partnership is grounds for dissolution by a court – UPA §</w:t>
      </w:r>
      <w:r w:rsidR="00196F92">
        <w:rPr>
          <w:sz w:val="20"/>
          <w:szCs w:val="20"/>
        </w:rPr>
        <w:t>32(1)(d)</w:t>
      </w:r>
    </w:p>
    <w:p w14:paraId="6D2D3743" w14:textId="138AB5C1" w:rsidR="00487F5C" w:rsidRPr="00487F5C" w:rsidRDefault="00487F5C" w:rsidP="00FD0BEC">
      <w:pPr>
        <w:pStyle w:val="ListParagraph"/>
        <w:numPr>
          <w:ilvl w:val="2"/>
          <w:numId w:val="3"/>
        </w:numPr>
      </w:pPr>
      <w:r>
        <w:rPr>
          <w:sz w:val="20"/>
          <w:szCs w:val="20"/>
        </w:rPr>
        <w:t>Under RUPA §601(5)(iii), a partner can be dissociated by judicial decree that it is not reasonably practicable to carry on the partnership with the partner</w:t>
      </w:r>
    </w:p>
    <w:p w14:paraId="4B6B6C0D" w14:textId="775722B2" w:rsidR="00487F5C" w:rsidRPr="00196F92" w:rsidRDefault="00D66489" w:rsidP="00FD0BEC">
      <w:pPr>
        <w:pStyle w:val="ListParagraph"/>
        <w:numPr>
          <w:ilvl w:val="2"/>
          <w:numId w:val="3"/>
        </w:numPr>
      </w:pPr>
      <w:r>
        <w:rPr>
          <w:sz w:val="20"/>
          <w:szCs w:val="20"/>
        </w:rPr>
        <w:lastRenderedPageBreak/>
        <w:t>Partners who ask for</w:t>
      </w:r>
      <w:r w:rsidR="00487F5C">
        <w:rPr>
          <w:sz w:val="20"/>
          <w:szCs w:val="20"/>
        </w:rPr>
        <w:t xml:space="preserve"> judicial determination have </w:t>
      </w:r>
      <w:r w:rsidR="00487F5C">
        <w:rPr>
          <w:i/>
          <w:sz w:val="20"/>
          <w:szCs w:val="20"/>
        </w:rPr>
        <w:t xml:space="preserve">rightfully </w:t>
      </w:r>
      <w:r w:rsidR="00487F5C">
        <w:rPr>
          <w:sz w:val="20"/>
          <w:szCs w:val="20"/>
        </w:rPr>
        <w:t>dissocia</w:t>
      </w:r>
      <w:r>
        <w:rPr>
          <w:sz w:val="20"/>
          <w:szCs w:val="20"/>
        </w:rPr>
        <w:t>ted</w:t>
      </w:r>
      <w:r w:rsidR="00487F5C">
        <w:rPr>
          <w:sz w:val="20"/>
          <w:szCs w:val="20"/>
        </w:rPr>
        <w:t xml:space="preserve"> offending partner</w:t>
      </w:r>
    </w:p>
    <w:p w14:paraId="7AADFA86" w14:textId="4274CFA3" w:rsidR="00487F5C" w:rsidRPr="00C15C97" w:rsidRDefault="00487F5C" w:rsidP="00FD0BEC">
      <w:pPr>
        <w:pStyle w:val="ListParagraph"/>
        <w:numPr>
          <w:ilvl w:val="3"/>
          <w:numId w:val="3"/>
        </w:numPr>
      </w:pPr>
      <w:r>
        <w:rPr>
          <w:sz w:val="20"/>
          <w:szCs w:val="20"/>
        </w:rPr>
        <w:t>If diss</w:t>
      </w:r>
      <w:r w:rsidR="004B5A91">
        <w:rPr>
          <w:sz w:val="20"/>
          <w:szCs w:val="20"/>
        </w:rPr>
        <w:t>ociated, RUPA §701(b) allows</w:t>
      </w:r>
      <w:r>
        <w:rPr>
          <w:sz w:val="20"/>
          <w:szCs w:val="20"/>
        </w:rPr>
        <w:t xml:space="preserve"> dissociated partner to be bought out at the greater of liquidation value or going concern value of his </w:t>
      </w:r>
      <w:r w:rsidR="004B5A91">
        <w:rPr>
          <w:sz w:val="20"/>
          <w:szCs w:val="20"/>
        </w:rPr>
        <w:t xml:space="preserve">partnership </w:t>
      </w:r>
      <w:r>
        <w:rPr>
          <w:sz w:val="20"/>
          <w:szCs w:val="20"/>
        </w:rPr>
        <w:t xml:space="preserve">interest </w:t>
      </w:r>
    </w:p>
    <w:p w14:paraId="2A6AC44F" w14:textId="256B806D" w:rsidR="00487F5C" w:rsidRPr="00C15C97" w:rsidRDefault="00487F5C" w:rsidP="00FD0BEC">
      <w:pPr>
        <w:pStyle w:val="ListParagraph"/>
        <w:numPr>
          <w:ilvl w:val="3"/>
          <w:numId w:val="3"/>
        </w:numPr>
      </w:pPr>
      <w:r>
        <w:rPr>
          <w:sz w:val="20"/>
          <w:szCs w:val="20"/>
        </w:rPr>
        <w:t>UPA §38 only allows the liquidation value to be given to a dissociating partner</w:t>
      </w:r>
      <w:r>
        <w:rPr>
          <w:sz w:val="20"/>
          <w:szCs w:val="20"/>
        </w:rPr>
        <w:tab/>
      </w:r>
    </w:p>
    <w:p w14:paraId="36B8142A" w14:textId="716F1A48" w:rsidR="00196F92" w:rsidRPr="00750778" w:rsidRDefault="00196F92" w:rsidP="00FD0BEC">
      <w:pPr>
        <w:pStyle w:val="ListParagraph"/>
        <w:numPr>
          <w:ilvl w:val="1"/>
          <w:numId w:val="3"/>
        </w:numPr>
      </w:pPr>
      <w:r>
        <w:rPr>
          <w:sz w:val="20"/>
          <w:szCs w:val="20"/>
        </w:rPr>
        <w:t xml:space="preserve">One partner’s cost overruns don’t create grounds for judicial dissolution – </w:t>
      </w:r>
      <w:r>
        <w:rPr>
          <w:i/>
          <w:sz w:val="20"/>
          <w:szCs w:val="20"/>
        </w:rPr>
        <w:t>Collins v. Lewis</w:t>
      </w:r>
      <w:r>
        <w:rPr>
          <w:sz w:val="20"/>
          <w:szCs w:val="20"/>
        </w:rPr>
        <w:t xml:space="preserve"> (partnership will continue even though one partner refuses to contribute more capital)</w:t>
      </w:r>
    </w:p>
    <w:p w14:paraId="4E5032B1" w14:textId="0957B08C" w:rsidR="00750778" w:rsidRPr="00196F92" w:rsidRDefault="00750778" w:rsidP="00FD0BEC">
      <w:pPr>
        <w:pStyle w:val="ListParagraph"/>
        <w:numPr>
          <w:ilvl w:val="1"/>
          <w:numId w:val="3"/>
        </w:numPr>
      </w:pPr>
      <w:r>
        <w:rPr>
          <w:sz w:val="20"/>
          <w:szCs w:val="20"/>
        </w:rPr>
        <w:t xml:space="preserve">The filing of a complaint asking for judicial dissolution of a partnership does not accomplish the dissolution – </w:t>
      </w:r>
      <w:r>
        <w:rPr>
          <w:i/>
          <w:sz w:val="20"/>
          <w:szCs w:val="20"/>
        </w:rPr>
        <w:t>G&amp;S Investments</w:t>
      </w:r>
    </w:p>
    <w:p w14:paraId="2EA03A7D" w14:textId="02BC0F1A" w:rsidR="00BF5C27" w:rsidRPr="00BF5C27" w:rsidRDefault="00BF5C27" w:rsidP="00FD0BEC">
      <w:pPr>
        <w:pStyle w:val="ListParagraph"/>
        <w:numPr>
          <w:ilvl w:val="1"/>
          <w:numId w:val="3"/>
        </w:numPr>
      </w:pPr>
      <w:r>
        <w:rPr>
          <w:sz w:val="20"/>
          <w:szCs w:val="20"/>
        </w:rPr>
        <w:t xml:space="preserve">Any partner is able to participate in a judicially supervised auction for partnership property – </w:t>
      </w:r>
      <w:r>
        <w:rPr>
          <w:i/>
          <w:sz w:val="20"/>
          <w:szCs w:val="20"/>
        </w:rPr>
        <w:t xml:space="preserve">Prentiss v. </w:t>
      </w:r>
      <w:proofErr w:type="spellStart"/>
      <w:r>
        <w:rPr>
          <w:i/>
          <w:sz w:val="20"/>
          <w:szCs w:val="20"/>
        </w:rPr>
        <w:t>Sheffel</w:t>
      </w:r>
      <w:proofErr w:type="spellEnd"/>
      <w:r>
        <w:rPr>
          <w:i/>
          <w:sz w:val="20"/>
          <w:szCs w:val="20"/>
        </w:rPr>
        <w:t xml:space="preserve"> </w:t>
      </w:r>
      <w:r>
        <w:rPr>
          <w:sz w:val="20"/>
          <w:szCs w:val="20"/>
        </w:rPr>
        <w:t>(minority partner tries to block majority partners from sale)</w:t>
      </w:r>
    </w:p>
    <w:p w14:paraId="039BF85E" w14:textId="53FCD08A" w:rsidR="00BF5C27" w:rsidRPr="00750778" w:rsidRDefault="00BF5C27" w:rsidP="00FD0BEC">
      <w:pPr>
        <w:pStyle w:val="ListParagraph"/>
        <w:numPr>
          <w:ilvl w:val="2"/>
          <w:numId w:val="3"/>
        </w:numPr>
      </w:pPr>
      <w:r>
        <w:rPr>
          <w:sz w:val="20"/>
          <w:szCs w:val="20"/>
        </w:rPr>
        <w:t xml:space="preserve">Courts may have to be involved in partnership dissolution even without a wrongful dissolution – in </w:t>
      </w:r>
      <w:r>
        <w:rPr>
          <w:i/>
          <w:sz w:val="20"/>
          <w:szCs w:val="20"/>
        </w:rPr>
        <w:t>Prentiss</w:t>
      </w:r>
      <w:r>
        <w:rPr>
          <w:sz w:val="20"/>
          <w:szCs w:val="20"/>
        </w:rPr>
        <w:t>, partners couldn’t agree on what to do with the business</w:t>
      </w:r>
    </w:p>
    <w:p w14:paraId="24D9186C" w14:textId="7748F8C5" w:rsidR="00750778" w:rsidRPr="00750778" w:rsidRDefault="00750778" w:rsidP="00FD0BEC">
      <w:pPr>
        <w:pStyle w:val="ListParagraph"/>
        <w:numPr>
          <w:ilvl w:val="0"/>
          <w:numId w:val="3"/>
        </w:numPr>
      </w:pPr>
      <w:r>
        <w:rPr>
          <w:sz w:val="20"/>
          <w:szCs w:val="20"/>
        </w:rPr>
        <w:t xml:space="preserve">Limited partners may become liable as general partners if they exercise a sufficient amount of control over the business – </w:t>
      </w:r>
      <w:proofErr w:type="spellStart"/>
      <w:r>
        <w:rPr>
          <w:i/>
          <w:sz w:val="20"/>
          <w:szCs w:val="20"/>
        </w:rPr>
        <w:t>Holzman</w:t>
      </w:r>
      <w:proofErr w:type="spellEnd"/>
      <w:r>
        <w:rPr>
          <w:i/>
          <w:sz w:val="20"/>
          <w:szCs w:val="20"/>
        </w:rPr>
        <w:t xml:space="preserve"> v. De Escamilla</w:t>
      </w:r>
      <w:r>
        <w:rPr>
          <w:sz w:val="20"/>
          <w:szCs w:val="20"/>
        </w:rPr>
        <w:t>; see also RUPA §303(a)</w:t>
      </w:r>
    </w:p>
    <w:p w14:paraId="457C8F28" w14:textId="00CFE9FD" w:rsidR="00750778" w:rsidRPr="00937A1E" w:rsidRDefault="00750778" w:rsidP="00FD0BEC">
      <w:pPr>
        <w:pStyle w:val="ListParagraph"/>
        <w:numPr>
          <w:ilvl w:val="1"/>
          <w:numId w:val="3"/>
        </w:numPr>
      </w:pPr>
      <w:r>
        <w:rPr>
          <w:sz w:val="20"/>
          <w:szCs w:val="20"/>
        </w:rPr>
        <w:t>Limited partner is only liable to persons who transacted with the partnership who reasonably believed that the limited partner was a general partner</w:t>
      </w:r>
    </w:p>
    <w:p w14:paraId="3C2D034F" w14:textId="05B4C4D6" w:rsidR="003A475A" w:rsidRPr="00122C80" w:rsidRDefault="003A475A" w:rsidP="003A475A">
      <w:pPr>
        <w:pStyle w:val="Heading3"/>
        <w:rPr>
          <w:sz w:val="22"/>
        </w:rPr>
      </w:pPr>
      <w:r w:rsidRPr="00122C80">
        <w:rPr>
          <w:sz w:val="22"/>
        </w:rPr>
        <w:t>Corporations</w:t>
      </w:r>
    </w:p>
    <w:p w14:paraId="127824BF" w14:textId="77777777" w:rsidR="00BD15F4" w:rsidRDefault="00BD15F4" w:rsidP="00FD0BEC">
      <w:pPr>
        <w:pStyle w:val="ListParagraph"/>
        <w:numPr>
          <w:ilvl w:val="0"/>
          <w:numId w:val="2"/>
        </w:numPr>
        <w:rPr>
          <w:sz w:val="20"/>
        </w:rPr>
      </w:pPr>
      <w:r>
        <w:rPr>
          <w:sz w:val="20"/>
        </w:rPr>
        <w:t xml:space="preserve">General overview and policy statements: </w:t>
      </w:r>
    </w:p>
    <w:p w14:paraId="2715AC9F" w14:textId="4D53C0DF" w:rsidR="003A475A" w:rsidRPr="003A475A" w:rsidRDefault="003A475A" w:rsidP="00FD0BEC">
      <w:pPr>
        <w:pStyle w:val="ListParagraph"/>
        <w:numPr>
          <w:ilvl w:val="1"/>
          <w:numId w:val="2"/>
        </w:numPr>
        <w:rPr>
          <w:sz w:val="20"/>
        </w:rPr>
      </w:pPr>
      <w:r w:rsidRPr="003A475A">
        <w:rPr>
          <w:sz w:val="20"/>
        </w:rPr>
        <w:t xml:space="preserve">Political, cultural and social </w:t>
      </w:r>
      <w:r w:rsidR="00400FC1">
        <w:rPr>
          <w:sz w:val="20"/>
        </w:rPr>
        <w:t>factors have contributed to</w:t>
      </w:r>
      <w:r w:rsidRPr="003A475A">
        <w:rPr>
          <w:sz w:val="20"/>
        </w:rPr>
        <w:t xml:space="preserve"> an “evolution” towards corporations</w:t>
      </w:r>
    </w:p>
    <w:p w14:paraId="61F2025A" w14:textId="7D865A1B" w:rsidR="003A475A" w:rsidRPr="003A475A" w:rsidRDefault="003A475A" w:rsidP="00FD0BEC">
      <w:pPr>
        <w:pStyle w:val="ListParagraph"/>
        <w:numPr>
          <w:ilvl w:val="2"/>
          <w:numId w:val="2"/>
        </w:numPr>
        <w:rPr>
          <w:sz w:val="20"/>
        </w:rPr>
      </w:pPr>
      <w:r w:rsidRPr="003A475A">
        <w:rPr>
          <w:sz w:val="20"/>
        </w:rPr>
        <w:t>Technological incentives of economies of scale, necessitating large firms</w:t>
      </w:r>
    </w:p>
    <w:p w14:paraId="263BBD7D" w14:textId="5F243E82" w:rsidR="003A475A" w:rsidRPr="003A475A" w:rsidRDefault="003A475A" w:rsidP="00FD0BEC">
      <w:pPr>
        <w:pStyle w:val="ListParagraph"/>
        <w:numPr>
          <w:ilvl w:val="2"/>
          <w:numId w:val="2"/>
        </w:numPr>
        <w:rPr>
          <w:sz w:val="20"/>
        </w:rPr>
      </w:pPr>
      <w:r w:rsidRPr="003A475A">
        <w:rPr>
          <w:sz w:val="20"/>
        </w:rPr>
        <w:t>Wealth distribution, creating a need for numerous investors</w:t>
      </w:r>
    </w:p>
    <w:p w14:paraId="0C7EF179" w14:textId="1A8F9994" w:rsidR="003A475A" w:rsidRPr="003A475A" w:rsidRDefault="003A475A" w:rsidP="00FD0BEC">
      <w:pPr>
        <w:pStyle w:val="ListParagraph"/>
        <w:numPr>
          <w:ilvl w:val="2"/>
          <w:numId w:val="2"/>
        </w:numPr>
        <w:rPr>
          <w:sz w:val="20"/>
        </w:rPr>
      </w:pPr>
      <w:r w:rsidRPr="003A475A">
        <w:rPr>
          <w:sz w:val="20"/>
        </w:rPr>
        <w:t>Legal sy</w:t>
      </w:r>
      <w:r w:rsidR="00400FC1">
        <w:rPr>
          <w:sz w:val="20"/>
        </w:rPr>
        <w:t>stem</w:t>
      </w:r>
      <w:r w:rsidRPr="003A475A">
        <w:rPr>
          <w:sz w:val="20"/>
        </w:rPr>
        <w:t xml:space="preserve"> recognizing private property, permittin</w:t>
      </w:r>
      <w:r w:rsidR="00400FC1">
        <w:rPr>
          <w:sz w:val="20"/>
        </w:rPr>
        <w:t>g capital investment from</w:t>
      </w:r>
      <w:r w:rsidRPr="003A475A">
        <w:rPr>
          <w:sz w:val="20"/>
        </w:rPr>
        <w:t xml:space="preserve"> private sector</w:t>
      </w:r>
    </w:p>
    <w:p w14:paraId="27A4343B" w14:textId="4DF04088" w:rsidR="003A475A" w:rsidRPr="003A475A" w:rsidRDefault="003A475A" w:rsidP="00FD0BEC">
      <w:pPr>
        <w:pStyle w:val="ListParagraph"/>
        <w:numPr>
          <w:ilvl w:val="2"/>
          <w:numId w:val="2"/>
        </w:numPr>
        <w:rPr>
          <w:sz w:val="20"/>
        </w:rPr>
      </w:pPr>
      <w:r w:rsidRPr="003A475A">
        <w:rPr>
          <w:sz w:val="20"/>
        </w:rPr>
        <w:t>Other political factors (strong rule of law, non-corrupt courts, etc.)</w:t>
      </w:r>
    </w:p>
    <w:p w14:paraId="14E88211" w14:textId="4B3ACD8E" w:rsidR="003A475A" w:rsidRPr="003A475A" w:rsidRDefault="003A475A" w:rsidP="00FD0BEC">
      <w:pPr>
        <w:pStyle w:val="ListParagraph"/>
        <w:numPr>
          <w:ilvl w:val="2"/>
          <w:numId w:val="2"/>
        </w:numPr>
        <w:rPr>
          <w:sz w:val="21"/>
        </w:rPr>
      </w:pPr>
      <w:r>
        <w:rPr>
          <w:sz w:val="20"/>
        </w:rPr>
        <w:t>Therefore, the form that aggregates capital from many investors and operates with many employers/owners has a Social Darwinian advantage</w:t>
      </w:r>
    </w:p>
    <w:p w14:paraId="02EFFD6B" w14:textId="6382AC37" w:rsidR="003A475A" w:rsidRPr="003A475A" w:rsidRDefault="003A475A" w:rsidP="00FD0BEC">
      <w:pPr>
        <w:pStyle w:val="ListParagraph"/>
        <w:numPr>
          <w:ilvl w:val="1"/>
          <w:numId w:val="2"/>
        </w:numPr>
        <w:rPr>
          <w:sz w:val="21"/>
        </w:rPr>
      </w:pPr>
      <w:r>
        <w:rPr>
          <w:sz w:val="20"/>
        </w:rPr>
        <w:t xml:space="preserve">Four </w:t>
      </w:r>
      <w:r w:rsidRPr="003A475A">
        <w:rPr>
          <w:sz w:val="20"/>
        </w:rPr>
        <w:t>cha</w:t>
      </w:r>
      <w:r>
        <w:rPr>
          <w:sz w:val="20"/>
        </w:rPr>
        <w:t xml:space="preserve">racteristics of corporations </w:t>
      </w:r>
      <w:r w:rsidRPr="003A475A">
        <w:rPr>
          <w:sz w:val="20"/>
        </w:rPr>
        <w:t xml:space="preserve">have enabled them to </w:t>
      </w:r>
      <w:r>
        <w:rPr>
          <w:sz w:val="20"/>
        </w:rPr>
        <w:t>become the dominant business form</w:t>
      </w:r>
    </w:p>
    <w:p w14:paraId="4B56BD07" w14:textId="19F3E802" w:rsidR="003A475A" w:rsidRPr="0046577A" w:rsidRDefault="003A475A" w:rsidP="00FD0BEC">
      <w:pPr>
        <w:pStyle w:val="ListParagraph"/>
        <w:numPr>
          <w:ilvl w:val="2"/>
          <w:numId w:val="2"/>
        </w:numPr>
        <w:rPr>
          <w:sz w:val="21"/>
        </w:rPr>
      </w:pPr>
      <w:r>
        <w:rPr>
          <w:sz w:val="20"/>
        </w:rPr>
        <w:t>Investor liability</w:t>
      </w:r>
    </w:p>
    <w:p w14:paraId="6C1689A6" w14:textId="6F818602" w:rsidR="0046577A" w:rsidRPr="0046577A" w:rsidRDefault="0046577A" w:rsidP="00FD0BEC">
      <w:pPr>
        <w:pStyle w:val="ListParagraph"/>
        <w:numPr>
          <w:ilvl w:val="3"/>
          <w:numId w:val="2"/>
        </w:numPr>
        <w:rPr>
          <w:sz w:val="21"/>
        </w:rPr>
      </w:pPr>
      <w:r>
        <w:rPr>
          <w:sz w:val="20"/>
        </w:rPr>
        <w:t>Allows risk to be shifted to those better able to bear it</w:t>
      </w:r>
    </w:p>
    <w:p w14:paraId="56FEE101" w14:textId="099A6022" w:rsidR="0046577A" w:rsidRPr="0046577A" w:rsidRDefault="00196D3C" w:rsidP="00FD0BEC">
      <w:pPr>
        <w:pStyle w:val="ListParagraph"/>
        <w:numPr>
          <w:ilvl w:val="3"/>
          <w:numId w:val="2"/>
        </w:numPr>
        <w:rPr>
          <w:sz w:val="21"/>
        </w:rPr>
      </w:pPr>
      <w:r>
        <w:rPr>
          <w:sz w:val="20"/>
        </w:rPr>
        <w:t xml:space="preserve">Default rules reduce </w:t>
      </w:r>
      <w:r w:rsidR="0046577A">
        <w:rPr>
          <w:sz w:val="20"/>
        </w:rPr>
        <w:t>transaction costs (no credit checks on individual investors)</w:t>
      </w:r>
    </w:p>
    <w:p w14:paraId="05AF85F1" w14:textId="6A90F4FD" w:rsidR="0046577A" w:rsidRPr="00BD15F4" w:rsidRDefault="0046577A" w:rsidP="00FD0BEC">
      <w:pPr>
        <w:pStyle w:val="ListParagraph"/>
        <w:numPr>
          <w:ilvl w:val="3"/>
          <w:numId w:val="2"/>
        </w:numPr>
        <w:rPr>
          <w:sz w:val="21"/>
        </w:rPr>
      </w:pPr>
      <w:r>
        <w:rPr>
          <w:sz w:val="20"/>
        </w:rPr>
        <w:t>Shifts costs of business on to others (e.g., tort victims)</w:t>
      </w:r>
    </w:p>
    <w:p w14:paraId="56137370" w14:textId="2F50F592" w:rsidR="00BD15F4" w:rsidRPr="00BD15F4" w:rsidRDefault="00BD15F4" w:rsidP="00FD0BEC">
      <w:pPr>
        <w:pStyle w:val="ListParagraph"/>
        <w:numPr>
          <w:ilvl w:val="3"/>
          <w:numId w:val="2"/>
        </w:numPr>
        <w:rPr>
          <w:sz w:val="21"/>
        </w:rPr>
      </w:pPr>
      <w:r>
        <w:rPr>
          <w:sz w:val="20"/>
        </w:rPr>
        <w:t>However, leads to fraud &amp; unfairness to creditors</w:t>
      </w:r>
    </w:p>
    <w:p w14:paraId="19A00E63" w14:textId="2C6AAF7D" w:rsidR="003A475A" w:rsidRPr="001830EA" w:rsidRDefault="003A475A" w:rsidP="00FD0BEC">
      <w:pPr>
        <w:pStyle w:val="ListParagraph"/>
        <w:numPr>
          <w:ilvl w:val="2"/>
          <w:numId w:val="2"/>
        </w:numPr>
        <w:rPr>
          <w:sz w:val="21"/>
        </w:rPr>
      </w:pPr>
      <w:r>
        <w:rPr>
          <w:sz w:val="20"/>
        </w:rPr>
        <w:t>Investor ability to transfer interest</w:t>
      </w:r>
    </w:p>
    <w:p w14:paraId="13DB0FFA" w14:textId="57F1E015" w:rsidR="001830EA" w:rsidRPr="001830EA" w:rsidRDefault="001830EA" w:rsidP="00FD0BEC">
      <w:pPr>
        <w:pStyle w:val="ListParagraph"/>
        <w:numPr>
          <w:ilvl w:val="3"/>
          <w:numId w:val="2"/>
        </w:numPr>
        <w:rPr>
          <w:sz w:val="21"/>
        </w:rPr>
      </w:pPr>
      <w:r>
        <w:rPr>
          <w:sz w:val="20"/>
        </w:rPr>
        <w:t>Fundamentally different f</w:t>
      </w:r>
      <w:r w:rsidR="00196D3C">
        <w:rPr>
          <w:sz w:val="20"/>
        </w:rPr>
        <w:t>rom partnerships, where only</w:t>
      </w:r>
      <w:r>
        <w:rPr>
          <w:sz w:val="20"/>
        </w:rPr>
        <w:t xml:space="preserve"> profit interest is transferable</w:t>
      </w:r>
    </w:p>
    <w:p w14:paraId="2479D3AE" w14:textId="2DEB2000" w:rsidR="001830EA" w:rsidRPr="00BD15F4" w:rsidRDefault="001830EA" w:rsidP="00FD0BEC">
      <w:pPr>
        <w:pStyle w:val="ListParagraph"/>
        <w:numPr>
          <w:ilvl w:val="3"/>
          <w:numId w:val="2"/>
        </w:numPr>
        <w:rPr>
          <w:sz w:val="21"/>
        </w:rPr>
      </w:pPr>
      <w:r>
        <w:rPr>
          <w:sz w:val="20"/>
        </w:rPr>
        <w:t>Leads to greater investor liquidity, which creates a lower cost of capital</w:t>
      </w:r>
    </w:p>
    <w:p w14:paraId="3037666F" w14:textId="71B4B311" w:rsidR="00BD15F4" w:rsidRPr="00BD15F4" w:rsidRDefault="00BD15F4" w:rsidP="00FD0BEC">
      <w:pPr>
        <w:pStyle w:val="ListParagraph"/>
        <w:numPr>
          <w:ilvl w:val="3"/>
          <w:numId w:val="2"/>
        </w:numPr>
        <w:rPr>
          <w:sz w:val="20"/>
          <w:szCs w:val="20"/>
        </w:rPr>
      </w:pPr>
      <w:r>
        <w:rPr>
          <w:sz w:val="20"/>
        </w:rPr>
        <w:t>However, leads to fraud &amp; unfairness in securities transactions</w:t>
      </w:r>
    </w:p>
    <w:p w14:paraId="7FBD339B" w14:textId="77777777" w:rsidR="001830EA" w:rsidRPr="001830EA" w:rsidRDefault="003A475A" w:rsidP="00FD0BEC">
      <w:pPr>
        <w:pStyle w:val="ListParagraph"/>
        <w:numPr>
          <w:ilvl w:val="2"/>
          <w:numId w:val="2"/>
        </w:numPr>
        <w:rPr>
          <w:sz w:val="21"/>
        </w:rPr>
      </w:pPr>
      <w:r>
        <w:rPr>
          <w:sz w:val="20"/>
        </w:rPr>
        <w:t>Legal personality (how difficult is it to kill?)</w:t>
      </w:r>
    </w:p>
    <w:p w14:paraId="05B570A7" w14:textId="2E9B038D" w:rsidR="003A475A" w:rsidRPr="00BD15F4" w:rsidRDefault="001830EA" w:rsidP="00FD0BEC">
      <w:pPr>
        <w:pStyle w:val="ListParagraph"/>
        <w:numPr>
          <w:ilvl w:val="3"/>
          <w:numId w:val="2"/>
        </w:numPr>
        <w:rPr>
          <w:sz w:val="21"/>
        </w:rPr>
      </w:pPr>
      <w:r>
        <w:rPr>
          <w:sz w:val="20"/>
        </w:rPr>
        <w:t>Makes the entity more durable, preserving going concern value</w:t>
      </w:r>
      <w:r w:rsidR="003A475A">
        <w:rPr>
          <w:sz w:val="20"/>
        </w:rPr>
        <w:t xml:space="preserve"> </w:t>
      </w:r>
    </w:p>
    <w:p w14:paraId="0BE3FCDA" w14:textId="467B48F2" w:rsidR="00BD15F4" w:rsidRPr="00BD15F4" w:rsidRDefault="00BD15F4" w:rsidP="00FD0BEC">
      <w:pPr>
        <w:pStyle w:val="ListParagraph"/>
        <w:numPr>
          <w:ilvl w:val="3"/>
          <w:numId w:val="2"/>
        </w:numPr>
        <w:rPr>
          <w:sz w:val="20"/>
          <w:szCs w:val="20"/>
        </w:rPr>
      </w:pPr>
      <w:r>
        <w:rPr>
          <w:sz w:val="20"/>
          <w:szCs w:val="20"/>
        </w:rPr>
        <w:t>However, leads to lack of social conscience &amp;</w:t>
      </w:r>
      <w:r w:rsidRPr="003A475A">
        <w:rPr>
          <w:sz w:val="20"/>
          <w:szCs w:val="20"/>
        </w:rPr>
        <w:t xml:space="preserve"> extensive corporate power</w:t>
      </w:r>
    </w:p>
    <w:p w14:paraId="3AB892EB" w14:textId="37392F93" w:rsidR="003A475A" w:rsidRPr="001830EA" w:rsidRDefault="003A475A" w:rsidP="00FD0BEC">
      <w:pPr>
        <w:pStyle w:val="ListParagraph"/>
        <w:numPr>
          <w:ilvl w:val="2"/>
          <w:numId w:val="2"/>
        </w:numPr>
        <w:rPr>
          <w:sz w:val="21"/>
        </w:rPr>
      </w:pPr>
      <w:r>
        <w:rPr>
          <w:sz w:val="20"/>
        </w:rPr>
        <w:t>Managerial power</w:t>
      </w:r>
    </w:p>
    <w:p w14:paraId="4B2203BA" w14:textId="238BF2B4" w:rsidR="001830EA" w:rsidRPr="001830EA" w:rsidRDefault="001830EA" w:rsidP="00FD0BEC">
      <w:pPr>
        <w:pStyle w:val="ListParagraph"/>
        <w:numPr>
          <w:ilvl w:val="3"/>
          <w:numId w:val="2"/>
        </w:numPr>
        <w:rPr>
          <w:sz w:val="21"/>
        </w:rPr>
      </w:pPr>
      <w:r>
        <w:rPr>
          <w:sz w:val="20"/>
        </w:rPr>
        <w:t>Bifu</w:t>
      </w:r>
      <w:r w:rsidR="00A453F0">
        <w:rPr>
          <w:sz w:val="20"/>
        </w:rPr>
        <w:t>rcates ownership, management &amp;</w:t>
      </w:r>
      <w:r>
        <w:rPr>
          <w:sz w:val="20"/>
        </w:rPr>
        <w:t xml:space="preserve"> employees, creating a republican model</w:t>
      </w:r>
    </w:p>
    <w:p w14:paraId="7C61098B" w14:textId="07612777" w:rsidR="001830EA" w:rsidRPr="001830EA" w:rsidRDefault="001830EA" w:rsidP="00FD0BEC">
      <w:pPr>
        <w:pStyle w:val="ListParagraph"/>
        <w:numPr>
          <w:ilvl w:val="3"/>
          <w:numId w:val="2"/>
        </w:numPr>
        <w:rPr>
          <w:sz w:val="21"/>
        </w:rPr>
      </w:pPr>
      <w:r>
        <w:rPr>
          <w:sz w:val="20"/>
        </w:rPr>
        <w:t>Permits role specialization</w:t>
      </w:r>
    </w:p>
    <w:p w14:paraId="3533C6BD" w14:textId="5AC92D7E" w:rsidR="001830EA" w:rsidRPr="001830EA" w:rsidRDefault="001830EA" w:rsidP="00FD0BEC">
      <w:pPr>
        <w:pStyle w:val="ListParagraph"/>
        <w:numPr>
          <w:ilvl w:val="3"/>
          <w:numId w:val="2"/>
        </w:numPr>
        <w:rPr>
          <w:sz w:val="21"/>
        </w:rPr>
      </w:pPr>
      <w:r>
        <w:rPr>
          <w:sz w:val="20"/>
        </w:rPr>
        <w:t>Eliminates redundant activity (associated with truly democratic system)</w:t>
      </w:r>
    </w:p>
    <w:p w14:paraId="72E32505" w14:textId="09015F23" w:rsidR="001830EA" w:rsidRPr="00BD15F4" w:rsidRDefault="001830EA" w:rsidP="00FD0BEC">
      <w:pPr>
        <w:pStyle w:val="ListParagraph"/>
        <w:numPr>
          <w:ilvl w:val="3"/>
          <w:numId w:val="2"/>
        </w:numPr>
        <w:rPr>
          <w:sz w:val="21"/>
        </w:rPr>
      </w:pPr>
      <w:r>
        <w:rPr>
          <w:sz w:val="20"/>
        </w:rPr>
        <w:t xml:space="preserve">Creates a clearly defined hierarchy </w:t>
      </w:r>
    </w:p>
    <w:p w14:paraId="6C2537ED" w14:textId="7EAFCABB" w:rsidR="00BD15F4" w:rsidRDefault="00BD15F4" w:rsidP="00FD0BEC">
      <w:pPr>
        <w:pStyle w:val="ListParagraph"/>
        <w:numPr>
          <w:ilvl w:val="3"/>
          <w:numId w:val="2"/>
        </w:numPr>
        <w:rPr>
          <w:sz w:val="20"/>
          <w:szCs w:val="20"/>
        </w:rPr>
      </w:pPr>
      <w:r>
        <w:rPr>
          <w:sz w:val="20"/>
        </w:rPr>
        <w:t xml:space="preserve">However, leads to </w:t>
      </w:r>
      <w:r>
        <w:rPr>
          <w:sz w:val="20"/>
          <w:szCs w:val="20"/>
        </w:rPr>
        <w:t>fraud &amp;</w:t>
      </w:r>
      <w:r w:rsidRPr="003A475A">
        <w:rPr>
          <w:sz w:val="20"/>
          <w:szCs w:val="20"/>
        </w:rPr>
        <w:t xml:space="preserve"> unfair</w:t>
      </w:r>
      <w:r>
        <w:rPr>
          <w:sz w:val="20"/>
          <w:szCs w:val="20"/>
        </w:rPr>
        <w:t xml:space="preserve">ness to </w:t>
      </w:r>
      <w:r w:rsidR="000734CF">
        <w:rPr>
          <w:sz w:val="20"/>
          <w:szCs w:val="20"/>
        </w:rPr>
        <w:t>SH</w:t>
      </w:r>
      <w:r>
        <w:rPr>
          <w:sz w:val="20"/>
          <w:szCs w:val="20"/>
        </w:rPr>
        <w:t>s (principal-</w:t>
      </w:r>
      <w:r w:rsidRPr="003A475A">
        <w:rPr>
          <w:sz w:val="20"/>
          <w:szCs w:val="20"/>
        </w:rPr>
        <w:t>agent problem)</w:t>
      </w:r>
    </w:p>
    <w:p w14:paraId="356793A0" w14:textId="2AAFDCCC" w:rsidR="000767BF" w:rsidRPr="000767BF" w:rsidRDefault="000767BF" w:rsidP="000767BF">
      <w:pPr>
        <w:pStyle w:val="Heading4"/>
        <w:rPr>
          <w:sz w:val="20"/>
        </w:rPr>
      </w:pPr>
      <w:r>
        <w:rPr>
          <w:sz w:val="20"/>
        </w:rPr>
        <w:lastRenderedPageBreak/>
        <w:t xml:space="preserve">Investor Liability - </w:t>
      </w:r>
      <w:r w:rsidRPr="000767BF">
        <w:rPr>
          <w:sz w:val="20"/>
        </w:rPr>
        <w:t>Piercing the Corporate Veil</w:t>
      </w:r>
    </w:p>
    <w:p w14:paraId="2C710570" w14:textId="29FEF772" w:rsidR="00184468" w:rsidRDefault="00AF4651" w:rsidP="00FD0BEC">
      <w:pPr>
        <w:pStyle w:val="ListParagraph"/>
        <w:numPr>
          <w:ilvl w:val="0"/>
          <w:numId w:val="4"/>
        </w:numPr>
        <w:rPr>
          <w:sz w:val="20"/>
          <w:szCs w:val="20"/>
        </w:rPr>
      </w:pPr>
      <w:r>
        <w:rPr>
          <w:sz w:val="20"/>
          <w:szCs w:val="20"/>
        </w:rPr>
        <w:t>Piercing the corporate veil occurs in</w:t>
      </w:r>
      <w:r w:rsidR="00E07FF5">
        <w:rPr>
          <w:sz w:val="20"/>
          <w:szCs w:val="20"/>
        </w:rPr>
        <w:t xml:space="preserve"> one of two scenarios:</w:t>
      </w:r>
      <w:r>
        <w:rPr>
          <w:sz w:val="20"/>
          <w:szCs w:val="20"/>
        </w:rPr>
        <w:t xml:space="preserve"> </w:t>
      </w:r>
    </w:p>
    <w:p w14:paraId="1464FA6F" w14:textId="53FB7D4F" w:rsidR="00AF4651" w:rsidRDefault="00AF4651" w:rsidP="00FD0BEC">
      <w:pPr>
        <w:pStyle w:val="ListParagraph"/>
        <w:numPr>
          <w:ilvl w:val="1"/>
          <w:numId w:val="4"/>
        </w:numPr>
        <w:rPr>
          <w:sz w:val="20"/>
          <w:szCs w:val="20"/>
        </w:rPr>
      </w:pPr>
      <w:r>
        <w:rPr>
          <w:sz w:val="20"/>
          <w:szCs w:val="20"/>
        </w:rPr>
        <w:t>Corpo</w:t>
      </w:r>
      <w:r w:rsidR="00FA4277">
        <w:rPr>
          <w:sz w:val="20"/>
          <w:szCs w:val="20"/>
        </w:rPr>
        <w:t>ration is fragment of larger enterprise that actually run</w:t>
      </w:r>
      <w:r>
        <w:rPr>
          <w:sz w:val="20"/>
          <w:szCs w:val="20"/>
        </w:rPr>
        <w:t xml:space="preserve"> the business (enterprise liability)</w:t>
      </w:r>
    </w:p>
    <w:p w14:paraId="0E818882" w14:textId="19323B5F" w:rsidR="00E07FF5" w:rsidRPr="00E07FF5" w:rsidRDefault="00E07FF5" w:rsidP="00FD0BEC">
      <w:pPr>
        <w:pStyle w:val="ListParagraph"/>
        <w:numPr>
          <w:ilvl w:val="2"/>
          <w:numId w:val="4"/>
        </w:numPr>
        <w:rPr>
          <w:sz w:val="20"/>
          <w:szCs w:val="20"/>
        </w:rPr>
      </w:pPr>
      <w:r>
        <w:rPr>
          <w:sz w:val="20"/>
          <w:szCs w:val="20"/>
        </w:rPr>
        <w:t xml:space="preserve">Asset-partitioning as a technique of limiting liability is permissible – </w:t>
      </w:r>
      <w:proofErr w:type="spellStart"/>
      <w:r>
        <w:rPr>
          <w:i/>
          <w:sz w:val="20"/>
          <w:szCs w:val="20"/>
        </w:rPr>
        <w:t>Walkovzsky</w:t>
      </w:r>
      <w:proofErr w:type="spellEnd"/>
      <w:r>
        <w:rPr>
          <w:i/>
          <w:sz w:val="20"/>
          <w:szCs w:val="20"/>
        </w:rPr>
        <w:t xml:space="preserve"> v. Carlton </w:t>
      </w:r>
      <w:r>
        <w:rPr>
          <w:sz w:val="20"/>
          <w:szCs w:val="20"/>
        </w:rPr>
        <w:t>(taxi company with only two cabs)</w:t>
      </w:r>
    </w:p>
    <w:p w14:paraId="4C60FD2C" w14:textId="3EE460F3" w:rsidR="00AF4651" w:rsidRDefault="00FA4277" w:rsidP="00FD0BEC">
      <w:pPr>
        <w:pStyle w:val="ListParagraph"/>
        <w:numPr>
          <w:ilvl w:val="1"/>
          <w:numId w:val="4"/>
        </w:numPr>
        <w:rPr>
          <w:sz w:val="20"/>
          <w:szCs w:val="20"/>
        </w:rPr>
      </w:pPr>
      <w:r>
        <w:rPr>
          <w:sz w:val="20"/>
          <w:szCs w:val="20"/>
        </w:rPr>
        <w:t xml:space="preserve">Company is </w:t>
      </w:r>
      <w:r w:rsidR="00AF4651">
        <w:rPr>
          <w:sz w:val="20"/>
          <w:szCs w:val="20"/>
        </w:rPr>
        <w:t xml:space="preserve">dummy for individual </w:t>
      </w:r>
      <w:r w:rsidR="000734CF">
        <w:rPr>
          <w:sz w:val="20"/>
          <w:szCs w:val="20"/>
        </w:rPr>
        <w:t>SH</w:t>
      </w:r>
      <w:r>
        <w:rPr>
          <w:sz w:val="20"/>
          <w:szCs w:val="20"/>
        </w:rPr>
        <w:t>s who use</w:t>
      </w:r>
      <w:r w:rsidR="00AF4651">
        <w:rPr>
          <w:sz w:val="20"/>
          <w:szCs w:val="20"/>
        </w:rPr>
        <w:t xml:space="preserve"> business purely for personal (not corporate) ends</w:t>
      </w:r>
    </w:p>
    <w:p w14:paraId="07426857" w14:textId="53267E44" w:rsidR="00AF4651" w:rsidRDefault="00AF4651" w:rsidP="00FD0BEC">
      <w:pPr>
        <w:pStyle w:val="ListParagraph"/>
        <w:numPr>
          <w:ilvl w:val="2"/>
          <w:numId w:val="4"/>
        </w:numPr>
        <w:rPr>
          <w:sz w:val="20"/>
          <w:szCs w:val="20"/>
        </w:rPr>
      </w:pPr>
      <w:r>
        <w:rPr>
          <w:sz w:val="20"/>
          <w:szCs w:val="20"/>
        </w:rPr>
        <w:t xml:space="preserve">This is the only way to get personal </w:t>
      </w:r>
      <w:r w:rsidR="000734CF">
        <w:rPr>
          <w:sz w:val="20"/>
          <w:szCs w:val="20"/>
        </w:rPr>
        <w:t>SH</w:t>
      </w:r>
      <w:r>
        <w:rPr>
          <w:sz w:val="20"/>
          <w:szCs w:val="20"/>
        </w:rPr>
        <w:t xml:space="preserve"> liability, and is an extreme form of agency liability</w:t>
      </w:r>
    </w:p>
    <w:p w14:paraId="5E4DE32B" w14:textId="1D4B5E97" w:rsidR="00E07FF5" w:rsidRDefault="00E07FF5" w:rsidP="00FD0BEC">
      <w:pPr>
        <w:pStyle w:val="ListParagraph"/>
        <w:numPr>
          <w:ilvl w:val="0"/>
          <w:numId w:val="4"/>
        </w:numPr>
        <w:rPr>
          <w:sz w:val="20"/>
          <w:szCs w:val="20"/>
        </w:rPr>
      </w:pPr>
      <w:r>
        <w:rPr>
          <w:sz w:val="20"/>
          <w:szCs w:val="20"/>
        </w:rPr>
        <w:t>Two necessary elements to justify piercing the veil are: (</w:t>
      </w:r>
      <w:r>
        <w:rPr>
          <w:i/>
          <w:sz w:val="20"/>
          <w:szCs w:val="20"/>
        </w:rPr>
        <w:t xml:space="preserve">Sea-Land </w:t>
      </w:r>
      <w:proofErr w:type="gramStart"/>
      <w:r>
        <w:rPr>
          <w:i/>
          <w:sz w:val="20"/>
          <w:szCs w:val="20"/>
        </w:rPr>
        <w:t>v.</w:t>
      </w:r>
      <w:proofErr w:type="gramEnd"/>
      <w:r>
        <w:rPr>
          <w:i/>
          <w:sz w:val="20"/>
          <w:szCs w:val="20"/>
        </w:rPr>
        <w:t xml:space="preserve"> Pepper Source</w:t>
      </w:r>
      <w:r>
        <w:rPr>
          <w:sz w:val="20"/>
          <w:szCs w:val="20"/>
        </w:rPr>
        <w:t>)</w:t>
      </w:r>
    </w:p>
    <w:p w14:paraId="2DC49AC8" w14:textId="36929B35" w:rsidR="00E07FF5" w:rsidRDefault="00E07FF5" w:rsidP="00FD0BEC">
      <w:pPr>
        <w:pStyle w:val="ListParagraph"/>
        <w:numPr>
          <w:ilvl w:val="1"/>
          <w:numId w:val="4"/>
        </w:numPr>
        <w:rPr>
          <w:sz w:val="20"/>
          <w:szCs w:val="20"/>
        </w:rPr>
      </w:pPr>
      <w:r>
        <w:rPr>
          <w:sz w:val="20"/>
          <w:szCs w:val="20"/>
        </w:rPr>
        <w:t>Unity of interest &amp; ownership such that separate personalities don’t exist</w:t>
      </w:r>
    </w:p>
    <w:p w14:paraId="6494ECD3" w14:textId="7033E241" w:rsidR="00E07FF5" w:rsidRDefault="00400FC1" w:rsidP="00FD0BEC">
      <w:pPr>
        <w:pStyle w:val="ListParagraph"/>
        <w:numPr>
          <w:ilvl w:val="2"/>
          <w:numId w:val="4"/>
        </w:numPr>
        <w:rPr>
          <w:sz w:val="20"/>
          <w:szCs w:val="20"/>
        </w:rPr>
      </w:pPr>
      <w:r>
        <w:rPr>
          <w:sz w:val="20"/>
          <w:szCs w:val="20"/>
        </w:rPr>
        <w:t>F</w:t>
      </w:r>
      <w:r w:rsidR="00E07FF5" w:rsidRPr="00E07FF5">
        <w:rPr>
          <w:sz w:val="20"/>
          <w:szCs w:val="20"/>
        </w:rPr>
        <w:t>act</w:t>
      </w:r>
      <w:r w:rsidR="007053F2">
        <w:rPr>
          <w:sz w:val="20"/>
          <w:szCs w:val="20"/>
        </w:rPr>
        <w:t>ors to find unity of interest</w:t>
      </w:r>
      <w:r w:rsidR="00E07FF5" w:rsidRPr="00E07FF5">
        <w:rPr>
          <w:sz w:val="20"/>
          <w:szCs w:val="20"/>
        </w:rPr>
        <w:t xml:space="preserve">: 1) </w:t>
      </w:r>
      <w:r>
        <w:rPr>
          <w:sz w:val="20"/>
          <w:szCs w:val="20"/>
        </w:rPr>
        <w:t>Failure to keep</w:t>
      </w:r>
      <w:r w:rsidR="00E07FF5" w:rsidRPr="00E07FF5">
        <w:rPr>
          <w:sz w:val="20"/>
          <w:szCs w:val="20"/>
        </w:rPr>
        <w:t xml:space="preserve"> corporate records</w:t>
      </w:r>
      <w:r w:rsidR="00E07FF5">
        <w:rPr>
          <w:sz w:val="20"/>
          <w:szCs w:val="20"/>
        </w:rPr>
        <w:t>,</w:t>
      </w:r>
      <w:r w:rsidR="00E07FF5" w:rsidRPr="00E07FF5">
        <w:rPr>
          <w:sz w:val="20"/>
          <w:szCs w:val="20"/>
        </w:rPr>
        <w:t xml:space="preserve"> 2) Commingling of funds</w:t>
      </w:r>
      <w:r w:rsidR="00E07FF5">
        <w:rPr>
          <w:sz w:val="20"/>
          <w:szCs w:val="20"/>
        </w:rPr>
        <w:t>,</w:t>
      </w:r>
      <w:r>
        <w:rPr>
          <w:sz w:val="20"/>
          <w:szCs w:val="20"/>
        </w:rPr>
        <w:t xml:space="preserve"> 3) Undercapitalization</w:t>
      </w:r>
      <w:r w:rsidR="00E07FF5" w:rsidRPr="00E07FF5">
        <w:rPr>
          <w:sz w:val="20"/>
          <w:szCs w:val="20"/>
        </w:rPr>
        <w:t xml:space="preserve"> and 4)</w:t>
      </w:r>
      <w:r w:rsidR="00E07FF5">
        <w:rPr>
          <w:sz w:val="20"/>
          <w:szCs w:val="20"/>
        </w:rPr>
        <w:t xml:space="preserve"> </w:t>
      </w:r>
      <w:r w:rsidR="007053F2">
        <w:rPr>
          <w:sz w:val="20"/>
          <w:szCs w:val="20"/>
        </w:rPr>
        <w:t>Company</w:t>
      </w:r>
      <w:r w:rsidR="00E07FF5" w:rsidRPr="00E07FF5">
        <w:rPr>
          <w:sz w:val="20"/>
          <w:szCs w:val="20"/>
        </w:rPr>
        <w:t xml:space="preserve"> treats </w:t>
      </w:r>
      <w:r w:rsidR="007053F2">
        <w:rPr>
          <w:sz w:val="20"/>
          <w:szCs w:val="20"/>
        </w:rPr>
        <w:t xml:space="preserve">others’ </w:t>
      </w:r>
      <w:r w:rsidR="00E07FF5" w:rsidRPr="00E07FF5">
        <w:rPr>
          <w:sz w:val="20"/>
          <w:szCs w:val="20"/>
        </w:rPr>
        <w:t>assets as its own</w:t>
      </w:r>
    </w:p>
    <w:p w14:paraId="14330079" w14:textId="31E03231" w:rsidR="00962B87" w:rsidRDefault="00FC03AE" w:rsidP="00D526CA">
      <w:pPr>
        <w:pStyle w:val="ListParagraph"/>
        <w:numPr>
          <w:ilvl w:val="2"/>
          <w:numId w:val="4"/>
        </w:numPr>
        <w:rPr>
          <w:sz w:val="20"/>
          <w:szCs w:val="20"/>
        </w:rPr>
      </w:pPr>
      <w:r>
        <w:rPr>
          <w:sz w:val="20"/>
          <w:szCs w:val="20"/>
        </w:rPr>
        <w:t xml:space="preserve">In parent-subsidiary cases, the totality of the circumstances determines if the sub is simply the </w:t>
      </w:r>
      <w:proofErr w:type="gramStart"/>
      <w:r w:rsidR="009C2555">
        <w:rPr>
          <w:sz w:val="20"/>
          <w:szCs w:val="20"/>
        </w:rPr>
        <w:t>parent’s</w:t>
      </w:r>
      <w:proofErr w:type="gramEnd"/>
      <w:r w:rsidR="009C2555">
        <w:rPr>
          <w:sz w:val="20"/>
          <w:szCs w:val="20"/>
        </w:rPr>
        <w:t xml:space="preserve"> alter ego. F</w:t>
      </w:r>
      <w:r>
        <w:rPr>
          <w:sz w:val="20"/>
          <w:szCs w:val="20"/>
        </w:rPr>
        <w:t xml:space="preserve">actors to consider include: </w:t>
      </w:r>
      <w:r w:rsidR="00962B87" w:rsidRPr="00D526CA">
        <w:rPr>
          <w:sz w:val="20"/>
          <w:szCs w:val="20"/>
        </w:rPr>
        <w:t>(</w:t>
      </w:r>
      <w:r w:rsidR="00962B87" w:rsidRPr="00D526CA">
        <w:rPr>
          <w:i/>
          <w:sz w:val="20"/>
          <w:szCs w:val="20"/>
        </w:rPr>
        <w:t>Silicone Gel Breast Implants</w:t>
      </w:r>
      <w:r w:rsidR="00962B87" w:rsidRPr="00D526CA">
        <w:rPr>
          <w:sz w:val="20"/>
          <w:szCs w:val="20"/>
        </w:rPr>
        <w:t>)</w:t>
      </w:r>
    </w:p>
    <w:p w14:paraId="28E7BAED" w14:textId="4E46F5FD" w:rsidR="00962B87" w:rsidRDefault="00FC03AE" w:rsidP="00962B87">
      <w:pPr>
        <w:pStyle w:val="ListParagraph"/>
        <w:numPr>
          <w:ilvl w:val="3"/>
          <w:numId w:val="4"/>
        </w:numPr>
        <w:rPr>
          <w:sz w:val="20"/>
          <w:szCs w:val="20"/>
        </w:rPr>
      </w:pPr>
      <w:r w:rsidRPr="00D526CA">
        <w:rPr>
          <w:sz w:val="20"/>
          <w:szCs w:val="20"/>
        </w:rPr>
        <w:t>Presence of common directors/officers</w:t>
      </w:r>
    </w:p>
    <w:p w14:paraId="6DD2BBFC" w14:textId="77777777" w:rsidR="00962B87" w:rsidRDefault="00FC03AE" w:rsidP="00962B87">
      <w:pPr>
        <w:pStyle w:val="ListParagraph"/>
        <w:numPr>
          <w:ilvl w:val="3"/>
          <w:numId w:val="4"/>
        </w:numPr>
        <w:rPr>
          <w:sz w:val="20"/>
          <w:szCs w:val="20"/>
        </w:rPr>
      </w:pPr>
      <w:r w:rsidRPr="00D526CA">
        <w:rPr>
          <w:sz w:val="20"/>
          <w:szCs w:val="20"/>
        </w:rPr>
        <w:t>Presenc</w:t>
      </w:r>
      <w:r w:rsidR="00D526CA">
        <w:rPr>
          <w:sz w:val="20"/>
          <w:szCs w:val="20"/>
        </w:rPr>
        <w:t>e</w:t>
      </w:r>
      <w:r w:rsidR="00962B87">
        <w:rPr>
          <w:sz w:val="20"/>
          <w:szCs w:val="20"/>
        </w:rPr>
        <w:t xml:space="preserve"> of common business departments</w:t>
      </w:r>
    </w:p>
    <w:p w14:paraId="4BC3AF84" w14:textId="77777777" w:rsidR="00962B87" w:rsidRDefault="00FC03AE" w:rsidP="00962B87">
      <w:pPr>
        <w:pStyle w:val="ListParagraph"/>
        <w:numPr>
          <w:ilvl w:val="3"/>
          <w:numId w:val="4"/>
        </w:numPr>
        <w:rPr>
          <w:sz w:val="20"/>
          <w:szCs w:val="20"/>
        </w:rPr>
      </w:pPr>
      <w:r w:rsidRPr="00D526CA">
        <w:rPr>
          <w:sz w:val="20"/>
          <w:szCs w:val="20"/>
        </w:rPr>
        <w:t>Consolidation of financial statements/tax returns</w:t>
      </w:r>
    </w:p>
    <w:p w14:paraId="1A92A74B" w14:textId="77777777" w:rsidR="00962B87" w:rsidRDefault="00FC03AE" w:rsidP="00962B87">
      <w:pPr>
        <w:pStyle w:val="ListParagraph"/>
        <w:numPr>
          <w:ilvl w:val="3"/>
          <w:numId w:val="4"/>
        </w:numPr>
        <w:rPr>
          <w:sz w:val="20"/>
          <w:szCs w:val="20"/>
        </w:rPr>
      </w:pPr>
      <w:r w:rsidRPr="00D526CA">
        <w:rPr>
          <w:sz w:val="20"/>
          <w:szCs w:val="20"/>
        </w:rPr>
        <w:t>Parent financing of subsidiary</w:t>
      </w:r>
    </w:p>
    <w:p w14:paraId="09EA417B" w14:textId="77777777" w:rsidR="00962B87" w:rsidRDefault="00FC03AE" w:rsidP="00962B87">
      <w:pPr>
        <w:pStyle w:val="ListParagraph"/>
        <w:numPr>
          <w:ilvl w:val="3"/>
          <w:numId w:val="4"/>
        </w:numPr>
        <w:rPr>
          <w:sz w:val="20"/>
          <w:szCs w:val="20"/>
        </w:rPr>
      </w:pPr>
      <w:r w:rsidRPr="00D526CA">
        <w:rPr>
          <w:sz w:val="20"/>
          <w:szCs w:val="20"/>
        </w:rPr>
        <w:t>Parent caused subsidiary’s incorporation</w:t>
      </w:r>
    </w:p>
    <w:p w14:paraId="5A8A9C11" w14:textId="77777777" w:rsidR="00962B87" w:rsidRDefault="00FC03AE" w:rsidP="00962B87">
      <w:pPr>
        <w:pStyle w:val="ListParagraph"/>
        <w:numPr>
          <w:ilvl w:val="3"/>
          <w:numId w:val="4"/>
        </w:numPr>
        <w:rPr>
          <w:sz w:val="20"/>
          <w:szCs w:val="20"/>
        </w:rPr>
      </w:pPr>
      <w:r w:rsidRPr="00D526CA">
        <w:rPr>
          <w:sz w:val="20"/>
          <w:szCs w:val="20"/>
        </w:rPr>
        <w:t>Subsidiary operates with grossly inadequate capital</w:t>
      </w:r>
    </w:p>
    <w:p w14:paraId="7F83F82E" w14:textId="77777777" w:rsidR="00962B87" w:rsidRDefault="00FC03AE" w:rsidP="00962B87">
      <w:pPr>
        <w:pStyle w:val="ListParagraph"/>
        <w:numPr>
          <w:ilvl w:val="3"/>
          <w:numId w:val="4"/>
        </w:numPr>
        <w:rPr>
          <w:sz w:val="20"/>
          <w:szCs w:val="20"/>
        </w:rPr>
      </w:pPr>
      <w:r w:rsidRPr="00D526CA">
        <w:rPr>
          <w:sz w:val="20"/>
          <w:szCs w:val="20"/>
        </w:rPr>
        <w:t>Parent pays the subsidiary’s expenses</w:t>
      </w:r>
    </w:p>
    <w:p w14:paraId="2C1AA9F3" w14:textId="77777777" w:rsidR="00962B87" w:rsidRDefault="00FC03AE" w:rsidP="00962B87">
      <w:pPr>
        <w:pStyle w:val="ListParagraph"/>
        <w:numPr>
          <w:ilvl w:val="3"/>
          <w:numId w:val="4"/>
        </w:numPr>
        <w:rPr>
          <w:sz w:val="20"/>
          <w:szCs w:val="20"/>
        </w:rPr>
      </w:pPr>
      <w:r w:rsidRPr="00D526CA">
        <w:rPr>
          <w:sz w:val="20"/>
          <w:szCs w:val="20"/>
        </w:rPr>
        <w:t>Subsidiary receives no business except that given it by the parent</w:t>
      </w:r>
    </w:p>
    <w:p w14:paraId="7981E9D5" w14:textId="77777777" w:rsidR="00962B87" w:rsidRDefault="00FC03AE" w:rsidP="00962B87">
      <w:pPr>
        <w:pStyle w:val="ListParagraph"/>
        <w:numPr>
          <w:ilvl w:val="3"/>
          <w:numId w:val="4"/>
        </w:numPr>
        <w:rPr>
          <w:sz w:val="20"/>
          <w:szCs w:val="20"/>
        </w:rPr>
      </w:pPr>
      <w:r w:rsidRPr="00D526CA">
        <w:rPr>
          <w:sz w:val="20"/>
          <w:szCs w:val="20"/>
        </w:rPr>
        <w:t>Parent uses the subsidiary’s property as its own</w:t>
      </w:r>
    </w:p>
    <w:p w14:paraId="4BB36AB5" w14:textId="77777777" w:rsidR="00962B87" w:rsidRDefault="00FC03AE" w:rsidP="00962B87">
      <w:pPr>
        <w:pStyle w:val="ListParagraph"/>
        <w:numPr>
          <w:ilvl w:val="3"/>
          <w:numId w:val="4"/>
        </w:numPr>
        <w:rPr>
          <w:sz w:val="20"/>
          <w:szCs w:val="20"/>
        </w:rPr>
      </w:pPr>
      <w:r w:rsidRPr="00D526CA">
        <w:rPr>
          <w:sz w:val="20"/>
          <w:szCs w:val="20"/>
        </w:rPr>
        <w:t>Daily operations of the two corporations are not separate</w:t>
      </w:r>
      <w:r w:rsidR="00962B87">
        <w:rPr>
          <w:sz w:val="20"/>
          <w:szCs w:val="20"/>
        </w:rPr>
        <w:t xml:space="preserve"> </w:t>
      </w:r>
    </w:p>
    <w:p w14:paraId="76F9A3B8" w14:textId="67E4DD59" w:rsidR="00FC03AE" w:rsidRPr="00D526CA" w:rsidRDefault="00FC03AE" w:rsidP="00962B87">
      <w:pPr>
        <w:pStyle w:val="ListParagraph"/>
        <w:numPr>
          <w:ilvl w:val="3"/>
          <w:numId w:val="4"/>
        </w:numPr>
        <w:rPr>
          <w:sz w:val="20"/>
          <w:szCs w:val="20"/>
        </w:rPr>
      </w:pPr>
      <w:r w:rsidRPr="00D526CA">
        <w:rPr>
          <w:sz w:val="20"/>
          <w:szCs w:val="20"/>
        </w:rPr>
        <w:t xml:space="preserve">Subsidiary does not observe basic corporate formalities (separate books, records, </w:t>
      </w:r>
      <w:r w:rsidR="000734CF" w:rsidRPr="00D526CA">
        <w:rPr>
          <w:sz w:val="20"/>
          <w:szCs w:val="20"/>
        </w:rPr>
        <w:t>SH</w:t>
      </w:r>
      <w:r w:rsidRPr="00D526CA">
        <w:rPr>
          <w:sz w:val="20"/>
          <w:szCs w:val="20"/>
        </w:rPr>
        <w:t>/board meetings)</w:t>
      </w:r>
    </w:p>
    <w:p w14:paraId="6FC42CCC" w14:textId="7AEFAAE6" w:rsidR="00E07FF5" w:rsidRDefault="00E07FF5" w:rsidP="00FD0BEC">
      <w:pPr>
        <w:pStyle w:val="ListParagraph"/>
        <w:numPr>
          <w:ilvl w:val="1"/>
          <w:numId w:val="4"/>
        </w:numPr>
        <w:rPr>
          <w:sz w:val="20"/>
          <w:szCs w:val="20"/>
        </w:rPr>
      </w:pPr>
      <w:r>
        <w:rPr>
          <w:sz w:val="20"/>
          <w:szCs w:val="20"/>
        </w:rPr>
        <w:t>Separate corporate existences would sanction fraud or promote injustice</w:t>
      </w:r>
    </w:p>
    <w:p w14:paraId="577C3B41" w14:textId="3B3AF038" w:rsidR="00E07FF5" w:rsidRDefault="00E07FF5" w:rsidP="00FD0BEC">
      <w:pPr>
        <w:pStyle w:val="ListParagraph"/>
        <w:numPr>
          <w:ilvl w:val="3"/>
          <w:numId w:val="4"/>
        </w:numPr>
        <w:rPr>
          <w:sz w:val="20"/>
          <w:szCs w:val="20"/>
        </w:rPr>
      </w:pPr>
      <w:r>
        <w:rPr>
          <w:sz w:val="20"/>
          <w:szCs w:val="20"/>
        </w:rPr>
        <w:t>Requires more than simple inability to collect</w:t>
      </w:r>
      <w:r w:rsidR="00FC03AE">
        <w:rPr>
          <w:sz w:val="20"/>
          <w:szCs w:val="20"/>
        </w:rPr>
        <w:t xml:space="preserve"> – how much more is unclear</w:t>
      </w:r>
    </w:p>
    <w:p w14:paraId="5F1E7A05" w14:textId="7B753691" w:rsidR="00A1606B" w:rsidRDefault="00A1606B" w:rsidP="00FD0BEC">
      <w:pPr>
        <w:pStyle w:val="ListParagraph"/>
        <w:numPr>
          <w:ilvl w:val="3"/>
          <w:numId w:val="4"/>
        </w:numPr>
        <w:rPr>
          <w:sz w:val="20"/>
          <w:szCs w:val="20"/>
        </w:rPr>
      </w:pPr>
      <w:r>
        <w:rPr>
          <w:i/>
          <w:sz w:val="20"/>
          <w:szCs w:val="20"/>
        </w:rPr>
        <w:t xml:space="preserve">Silicone Gel Breast Implants </w:t>
      </w:r>
      <w:r w:rsidR="00754287">
        <w:rPr>
          <w:sz w:val="20"/>
          <w:szCs w:val="20"/>
        </w:rPr>
        <w:t>(might) deny</w:t>
      </w:r>
      <w:r>
        <w:rPr>
          <w:sz w:val="20"/>
          <w:szCs w:val="20"/>
        </w:rPr>
        <w:t xml:space="preserve"> step two</w:t>
      </w:r>
      <w:r w:rsidR="00754287">
        <w:rPr>
          <w:sz w:val="20"/>
          <w:szCs w:val="20"/>
        </w:rPr>
        <w:t>’s utility – just</w:t>
      </w:r>
      <w:r>
        <w:rPr>
          <w:sz w:val="20"/>
          <w:szCs w:val="20"/>
        </w:rPr>
        <w:t xml:space="preserve"> differing state law, or a fundamental distinction between tort and contract cases? </w:t>
      </w:r>
    </w:p>
    <w:p w14:paraId="4D23EBE0" w14:textId="4B8CDCC7" w:rsidR="00B46CE2" w:rsidRDefault="00B46CE2" w:rsidP="00FD0BEC">
      <w:pPr>
        <w:pStyle w:val="ListParagraph"/>
        <w:numPr>
          <w:ilvl w:val="0"/>
          <w:numId w:val="4"/>
        </w:numPr>
        <w:rPr>
          <w:sz w:val="20"/>
          <w:szCs w:val="20"/>
        </w:rPr>
      </w:pPr>
      <w:r>
        <w:rPr>
          <w:sz w:val="20"/>
          <w:szCs w:val="20"/>
        </w:rPr>
        <w:t>Clark understands corporate veil cases through the lens of fraudulent conveyance law</w:t>
      </w:r>
    </w:p>
    <w:p w14:paraId="75FEA996" w14:textId="40EF13F5" w:rsidR="00B46CE2" w:rsidRDefault="00B46CE2" w:rsidP="00FD0BEC">
      <w:pPr>
        <w:pStyle w:val="ListParagraph"/>
        <w:numPr>
          <w:ilvl w:val="1"/>
          <w:numId w:val="4"/>
        </w:numPr>
        <w:rPr>
          <w:sz w:val="20"/>
          <w:szCs w:val="20"/>
        </w:rPr>
      </w:pPr>
      <w:r>
        <w:rPr>
          <w:sz w:val="20"/>
          <w:szCs w:val="20"/>
        </w:rPr>
        <w:t>Under §4(a), if a transaction is motivated by intent to defraud and is an unfair transfer done by a business debtor left with unreasonably little capital, it is fraudulent as to future creditors</w:t>
      </w:r>
    </w:p>
    <w:p w14:paraId="6792218E" w14:textId="0CCBBC8B" w:rsidR="00B46CE2" w:rsidRDefault="001C3BDF" w:rsidP="00FD0BEC">
      <w:pPr>
        <w:pStyle w:val="ListParagraph"/>
        <w:numPr>
          <w:ilvl w:val="1"/>
          <w:numId w:val="4"/>
        </w:numPr>
        <w:rPr>
          <w:sz w:val="20"/>
          <w:szCs w:val="20"/>
        </w:rPr>
      </w:pPr>
      <w:r>
        <w:rPr>
          <w:sz w:val="20"/>
          <w:szCs w:val="20"/>
        </w:rPr>
        <w:t xml:space="preserve">§5(a) is </w:t>
      </w:r>
      <w:r w:rsidR="00B46CE2">
        <w:rPr>
          <w:sz w:val="20"/>
          <w:szCs w:val="20"/>
        </w:rPr>
        <w:t>broader, finding fraudulent conveyance if transfer was done without receiving reasonably equ</w:t>
      </w:r>
      <w:r>
        <w:rPr>
          <w:sz w:val="20"/>
          <w:szCs w:val="20"/>
        </w:rPr>
        <w:t xml:space="preserve">ivalent value in exchange and </w:t>
      </w:r>
      <w:r w:rsidR="00B46CE2">
        <w:rPr>
          <w:sz w:val="20"/>
          <w:szCs w:val="20"/>
        </w:rPr>
        <w:t>debtor is insolvent – “constructive fraudulent conveyance”</w:t>
      </w:r>
    </w:p>
    <w:p w14:paraId="42682A28" w14:textId="61F86567" w:rsidR="00F773DB" w:rsidRDefault="00F773DB" w:rsidP="00FD0BEC">
      <w:pPr>
        <w:pStyle w:val="ListParagraph"/>
        <w:numPr>
          <w:ilvl w:val="2"/>
          <w:numId w:val="4"/>
        </w:numPr>
        <w:rPr>
          <w:sz w:val="20"/>
          <w:szCs w:val="20"/>
        </w:rPr>
      </w:pPr>
      <w:r>
        <w:rPr>
          <w:sz w:val="20"/>
          <w:szCs w:val="20"/>
        </w:rPr>
        <w:t>Insolvency is presumed if debts are not being paid when due</w:t>
      </w:r>
    </w:p>
    <w:p w14:paraId="1150947A" w14:textId="568F4583" w:rsidR="00B46CE2" w:rsidRDefault="00B46CE2" w:rsidP="00FD0BEC">
      <w:pPr>
        <w:pStyle w:val="ListParagraph"/>
        <w:numPr>
          <w:ilvl w:val="1"/>
          <w:numId w:val="4"/>
        </w:numPr>
        <w:rPr>
          <w:sz w:val="20"/>
          <w:szCs w:val="20"/>
        </w:rPr>
      </w:pPr>
      <w:r>
        <w:rPr>
          <w:sz w:val="20"/>
          <w:szCs w:val="20"/>
        </w:rPr>
        <w:t>Corporate veil cases are a loose form of fraudulent conveyance law, since corporate veil cases don’t necessarily require a finding of fraud, and policy judgment that plaintiffs shouldn’t carry burden of proving knowledgeable defendant’s fraud in corporate cases</w:t>
      </w:r>
    </w:p>
    <w:p w14:paraId="516A9F03" w14:textId="5BA72246" w:rsidR="008B279C" w:rsidRDefault="008B279C" w:rsidP="00FD0BEC">
      <w:pPr>
        <w:pStyle w:val="ListParagraph"/>
        <w:numPr>
          <w:ilvl w:val="0"/>
          <w:numId w:val="4"/>
        </w:numPr>
        <w:rPr>
          <w:sz w:val="20"/>
          <w:szCs w:val="20"/>
        </w:rPr>
      </w:pPr>
      <w:r>
        <w:rPr>
          <w:sz w:val="20"/>
          <w:szCs w:val="20"/>
        </w:rPr>
        <w:t>Limited partners do not incur general liability for an LLP’s obligations because they are officers of the corporate general partner</w:t>
      </w:r>
      <w:r w:rsidR="0097509B">
        <w:rPr>
          <w:sz w:val="20"/>
          <w:szCs w:val="20"/>
        </w:rPr>
        <w:t xml:space="preserve"> (</w:t>
      </w:r>
      <w:r w:rsidR="0097509B">
        <w:rPr>
          <w:i/>
          <w:sz w:val="20"/>
          <w:szCs w:val="20"/>
        </w:rPr>
        <w:t>Frigidaire Sales</w:t>
      </w:r>
      <w:r w:rsidR="0097509B">
        <w:rPr>
          <w:sz w:val="20"/>
          <w:szCs w:val="20"/>
        </w:rPr>
        <w:t>)</w:t>
      </w:r>
    </w:p>
    <w:p w14:paraId="34583F90" w14:textId="43E69E48" w:rsidR="008B279C" w:rsidRDefault="008B279C" w:rsidP="00FD0BEC">
      <w:pPr>
        <w:pStyle w:val="ListParagraph"/>
        <w:numPr>
          <w:ilvl w:val="1"/>
          <w:numId w:val="4"/>
        </w:numPr>
        <w:rPr>
          <w:sz w:val="20"/>
          <w:szCs w:val="20"/>
        </w:rPr>
      </w:pPr>
      <w:r>
        <w:rPr>
          <w:sz w:val="20"/>
          <w:szCs w:val="20"/>
        </w:rPr>
        <w:t>Formalities trumped equitable principles here, probably because of the tort-contract distinction – creditors knew what the deal was</w:t>
      </w:r>
    </w:p>
    <w:p w14:paraId="374948CF" w14:textId="3A6E5BEC" w:rsidR="007E640C" w:rsidRPr="00BB1004" w:rsidRDefault="007443E7" w:rsidP="00030A8A">
      <w:pPr>
        <w:pStyle w:val="ListParagraph"/>
        <w:numPr>
          <w:ilvl w:val="2"/>
          <w:numId w:val="4"/>
        </w:numPr>
        <w:rPr>
          <w:rFonts w:asciiTheme="majorHAnsi" w:eastAsiaTheme="majorEastAsia" w:hAnsiTheme="majorHAnsi" w:cstheme="majorBidi"/>
          <w:i/>
          <w:iCs/>
          <w:color w:val="2E74B5" w:themeColor="accent1" w:themeShade="BF"/>
          <w:sz w:val="20"/>
        </w:rPr>
      </w:pPr>
      <w:r w:rsidRPr="00BB1004">
        <w:rPr>
          <w:sz w:val="20"/>
          <w:szCs w:val="20"/>
        </w:rPr>
        <w:t>In cases of contract, in the absence of fraud or manifest injustice, the corporation’s separate entity should be respected</w:t>
      </w:r>
    </w:p>
    <w:p w14:paraId="7E811A3D" w14:textId="77777777" w:rsidR="00BB1004" w:rsidRDefault="00BB1004">
      <w:pPr>
        <w:rPr>
          <w:rFonts w:asciiTheme="majorHAnsi" w:eastAsiaTheme="majorEastAsia" w:hAnsiTheme="majorHAnsi" w:cstheme="majorBidi"/>
          <w:i/>
          <w:iCs/>
          <w:color w:val="2E74B5" w:themeColor="accent1" w:themeShade="BF"/>
          <w:sz w:val="20"/>
        </w:rPr>
      </w:pPr>
      <w:r>
        <w:rPr>
          <w:sz w:val="20"/>
        </w:rPr>
        <w:br w:type="page"/>
      </w:r>
    </w:p>
    <w:p w14:paraId="12043394" w14:textId="48D71658" w:rsidR="000767BF" w:rsidRDefault="000767BF" w:rsidP="000767BF">
      <w:pPr>
        <w:pStyle w:val="Heading4"/>
        <w:rPr>
          <w:sz w:val="20"/>
        </w:rPr>
      </w:pPr>
      <w:r w:rsidRPr="000767BF">
        <w:rPr>
          <w:sz w:val="20"/>
        </w:rPr>
        <w:lastRenderedPageBreak/>
        <w:t>Managerial Power</w:t>
      </w:r>
      <w:r w:rsidR="008F1EDF">
        <w:rPr>
          <w:sz w:val="20"/>
        </w:rPr>
        <w:t xml:space="preserve"> – Boundaries</w:t>
      </w:r>
    </w:p>
    <w:p w14:paraId="445DBB61" w14:textId="195E7F98" w:rsidR="008F1EDF" w:rsidRPr="00E12A27" w:rsidRDefault="00994893" w:rsidP="008F1EDF">
      <w:pPr>
        <w:pStyle w:val="ListParagraph"/>
        <w:numPr>
          <w:ilvl w:val="0"/>
          <w:numId w:val="7"/>
        </w:numPr>
      </w:pPr>
      <w:r>
        <w:rPr>
          <w:sz w:val="20"/>
        </w:rPr>
        <w:t>Forum selection bylaws, duly enacted by the board, are enforceable if such power has been given to the board under DGCL §109(a)</w:t>
      </w:r>
      <w:r w:rsidR="00400450">
        <w:rPr>
          <w:sz w:val="20"/>
        </w:rPr>
        <w:t xml:space="preserve"> – </w:t>
      </w:r>
      <w:r w:rsidR="00400450">
        <w:rPr>
          <w:i/>
          <w:sz w:val="20"/>
        </w:rPr>
        <w:t>Boilermakers v. Chevron</w:t>
      </w:r>
    </w:p>
    <w:p w14:paraId="5951B0CD" w14:textId="15188C36" w:rsidR="00E12A27" w:rsidRPr="00772201" w:rsidRDefault="000734CF" w:rsidP="00E12A27">
      <w:pPr>
        <w:pStyle w:val="ListParagraph"/>
        <w:numPr>
          <w:ilvl w:val="1"/>
          <w:numId w:val="7"/>
        </w:numPr>
      </w:pPr>
      <w:r>
        <w:rPr>
          <w:sz w:val="20"/>
        </w:rPr>
        <w:t>SH</w:t>
      </w:r>
      <w:r w:rsidR="00E12A27">
        <w:rPr>
          <w:sz w:val="20"/>
        </w:rPr>
        <w:t>s may check this authority by repealing board bylaws or voting board members out</w:t>
      </w:r>
    </w:p>
    <w:p w14:paraId="294DB367" w14:textId="2F8105EE" w:rsidR="00772201" w:rsidRPr="00772201" w:rsidRDefault="00772201" w:rsidP="00E12A27">
      <w:pPr>
        <w:pStyle w:val="ListParagraph"/>
        <w:numPr>
          <w:ilvl w:val="1"/>
          <w:numId w:val="7"/>
        </w:numPr>
      </w:pPr>
      <w:r>
        <w:rPr>
          <w:sz w:val="20"/>
        </w:rPr>
        <w:t xml:space="preserve">Bylaws are a binding part of the contract between a Delaware corporation and its </w:t>
      </w:r>
      <w:r w:rsidR="000734CF">
        <w:rPr>
          <w:sz w:val="20"/>
        </w:rPr>
        <w:t>SH</w:t>
      </w:r>
      <w:r>
        <w:rPr>
          <w:sz w:val="20"/>
        </w:rPr>
        <w:t>s</w:t>
      </w:r>
    </w:p>
    <w:p w14:paraId="2998FC7A" w14:textId="74CD397B" w:rsidR="00772201" w:rsidRPr="00772201" w:rsidRDefault="00772201" w:rsidP="00772201">
      <w:pPr>
        <w:pStyle w:val="ListParagraph"/>
        <w:numPr>
          <w:ilvl w:val="2"/>
          <w:numId w:val="7"/>
        </w:numPr>
      </w:pPr>
      <w:r>
        <w:rPr>
          <w:sz w:val="20"/>
        </w:rPr>
        <w:t xml:space="preserve">Corporation can </w:t>
      </w:r>
      <w:r>
        <w:rPr>
          <w:i/>
          <w:sz w:val="20"/>
        </w:rPr>
        <w:t xml:space="preserve">change </w:t>
      </w:r>
      <w:r>
        <w:rPr>
          <w:sz w:val="20"/>
        </w:rPr>
        <w:t xml:space="preserve">its bylaws under DGCL §109(a) – that right is part of the contract </w:t>
      </w:r>
      <w:r w:rsidR="000734CF">
        <w:rPr>
          <w:sz w:val="20"/>
        </w:rPr>
        <w:t>SH</w:t>
      </w:r>
      <w:r>
        <w:rPr>
          <w:sz w:val="20"/>
        </w:rPr>
        <w:t>s agreed to by purchasing shares</w:t>
      </w:r>
    </w:p>
    <w:p w14:paraId="6A2C131B" w14:textId="5ED13109" w:rsidR="00772201" w:rsidRPr="00E748AD" w:rsidRDefault="00772201" w:rsidP="00FE56F0">
      <w:pPr>
        <w:pStyle w:val="ListParagraph"/>
        <w:numPr>
          <w:ilvl w:val="2"/>
          <w:numId w:val="7"/>
        </w:numPr>
      </w:pPr>
      <w:r>
        <w:rPr>
          <w:sz w:val="20"/>
        </w:rPr>
        <w:t xml:space="preserve">Bylaws have a process-oriented nature; if bylaws bind </w:t>
      </w:r>
      <w:r w:rsidR="000734CF">
        <w:rPr>
          <w:sz w:val="20"/>
        </w:rPr>
        <w:t>SH</w:t>
      </w:r>
      <w:r>
        <w:rPr>
          <w:sz w:val="20"/>
        </w:rPr>
        <w:t>s as such</w:t>
      </w:r>
      <w:r w:rsidR="00FE56F0">
        <w:rPr>
          <w:sz w:val="20"/>
        </w:rPr>
        <w:t xml:space="preserve"> (not third party tort victims)</w:t>
      </w:r>
      <w:r>
        <w:rPr>
          <w:sz w:val="20"/>
        </w:rPr>
        <w:t>, they are valid</w:t>
      </w:r>
    </w:p>
    <w:p w14:paraId="69127375" w14:textId="36155E40" w:rsidR="00E748AD" w:rsidRPr="00E748AD" w:rsidRDefault="00E748AD" w:rsidP="00E748AD">
      <w:pPr>
        <w:pStyle w:val="ListParagraph"/>
        <w:numPr>
          <w:ilvl w:val="1"/>
          <w:numId w:val="7"/>
        </w:numPr>
      </w:pPr>
      <w:r>
        <w:rPr>
          <w:sz w:val="20"/>
        </w:rPr>
        <w:t>Forum selection clauses (in bylaws) can be good because they reduce litigation costs, channels litigation to courts with high expertise and history of favorability for corporate defendants, and reduces the holdup power of plaintiff lawyers</w:t>
      </w:r>
    </w:p>
    <w:p w14:paraId="6CCD93A4" w14:textId="790736C3" w:rsidR="00E748AD" w:rsidRPr="00A854F8" w:rsidRDefault="00E748AD" w:rsidP="00E748AD">
      <w:pPr>
        <w:pStyle w:val="ListParagraph"/>
        <w:numPr>
          <w:ilvl w:val="2"/>
          <w:numId w:val="7"/>
        </w:numPr>
      </w:pPr>
      <w:r>
        <w:rPr>
          <w:sz w:val="20"/>
        </w:rPr>
        <w:t xml:space="preserve">Might burden local </w:t>
      </w:r>
      <w:r w:rsidR="000734CF">
        <w:rPr>
          <w:sz w:val="20"/>
        </w:rPr>
        <w:t>SH</w:t>
      </w:r>
      <w:r>
        <w:rPr>
          <w:sz w:val="20"/>
        </w:rPr>
        <w:t xml:space="preserve">s (forcing travel to distant locations) and reduces the disciplinary power of </w:t>
      </w:r>
      <w:r w:rsidR="000734CF">
        <w:rPr>
          <w:sz w:val="20"/>
        </w:rPr>
        <w:t>SH</w:t>
      </w:r>
      <w:r>
        <w:rPr>
          <w:sz w:val="20"/>
        </w:rPr>
        <w:t>s over boards of directors</w:t>
      </w:r>
    </w:p>
    <w:p w14:paraId="612C683C" w14:textId="64197753" w:rsidR="00A854F8" w:rsidRPr="00A854F8" w:rsidRDefault="00A854F8" w:rsidP="00A854F8">
      <w:pPr>
        <w:pStyle w:val="ListParagraph"/>
        <w:numPr>
          <w:ilvl w:val="0"/>
          <w:numId w:val="7"/>
        </w:numPr>
      </w:pPr>
      <w:r>
        <w:rPr>
          <w:sz w:val="20"/>
        </w:rPr>
        <w:t>A suit is direct or derivative under a two-part test: (</w:t>
      </w:r>
      <w:proofErr w:type="spellStart"/>
      <w:r>
        <w:rPr>
          <w:i/>
          <w:sz w:val="20"/>
        </w:rPr>
        <w:t>Tooley</w:t>
      </w:r>
      <w:proofErr w:type="spellEnd"/>
      <w:r>
        <w:rPr>
          <w:sz w:val="20"/>
        </w:rPr>
        <w:t>)</w:t>
      </w:r>
    </w:p>
    <w:p w14:paraId="4003910E" w14:textId="6204679D" w:rsidR="00A854F8" w:rsidRPr="001F3C64" w:rsidRDefault="00A854F8" w:rsidP="00A854F8">
      <w:pPr>
        <w:pStyle w:val="ListParagraph"/>
        <w:numPr>
          <w:ilvl w:val="1"/>
          <w:numId w:val="7"/>
        </w:numPr>
      </w:pPr>
      <w:r>
        <w:rPr>
          <w:sz w:val="20"/>
        </w:rPr>
        <w:t xml:space="preserve">Who suffered harm (corporation or </w:t>
      </w:r>
      <w:r w:rsidR="000734CF">
        <w:rPr>
          <w:sz w:val="20"/>
        </w:rPr>
        <w:t>SH</w:t>
      </w:r>
      <w:r>
        <w:rPr>
          <w:sz w:val="20"/>
        </w:rPr>
        <w:t>s)?</w:t>
      </w:r>
    </w:p>
    <w:p w14:paraId="5586314E" w14:textId="551DEF46" w:rsidR="001F3C64" w:rsidRPr="00AC518E" w:rsidRDefault="000734CF" w:rsidP="001F3C64">
      <w:pPr>
        <w:pStyle w:val="ListParagraph"/>
        <w:numPr>
          <w:ilvl w:val="2"/>
          <w:numId w:val="7"/>
        </w:numPr>
      </w:pPr>
      <w:r>
        <w:rPr>
          <w:sz w:val="20"/>
        </w:rPr>
        <w:t>SH</w:t>
      </w:r>
      <w:r w:rsidR="00E10EAE">
        <w:rPr>
          <w:sz w:val="20"/>
        </w:rPr>
        <w:t xml:space="preserve">’s case was strengthened in </w:t>
      </w:r>
      <w:r w:rsidR="00E10EAE">
        <w:rPr>
          <w:i/>
          <w:sz w:val="20"/>
        </w:rPr>
        <w:t xml:space="preserve">Eisenberg </w:t>
      </w:r>
      <w:r w:rsidR="00E10EAE">
        <w:rPr>
          <w:sz w:val="20"/>
        </w:rPr>
        <w:t xml:space="preserve">because </w:t>
      </w:r>
      <w:r>
        <w:rPr>
          <w:sz w:val="20"/>
        </w:rPr>
        <w:t>SH</w:t>
      </w:r>
      <w:r w:rsidR="00E10EAE">
        <w:rPr>
          <w:sz w:val="20"/>
        </w:rPr>
        <w:t>s originally had stock in an operating company</w:t>
      </w:r>
      <w:r w:rsidR="001356F9">
        <w:rPr>
          <w:sz w:val="20"/>
        </w:rPr>
        <w:t>, and later had stock only in a holding company</w:t>
      </w:r>
    </w:p>
    <w:p w14:paraId="7ED6DBAB" w14:textId="4D0EEFDE" w:rsidR="00AC518E" w:rsidRPr="00E37287" w:rsidRDefault="00AC518E" w:rsidP="00AC518E">
      <w:pPr>
        <w:pStyle w:val="ListParagraph"/>
        <w:numPr>
          <w:ilvl w:val="3"/>
          <w:numId w:val="7"/>
        </w:numPr>
      </w:pPr>
      <w:r>
        <w:rPr>
          <w:sz w:val="20"/>
        </w:rPr>
        <w:t xml:space="preserve">Suit was permitted as a direct class-action, since </w:t>
      </w:r>
      <w:r w:rsidR="000734CF">
        <w:rPr>
          <w:sz w:val="20"/>
        </w:rPr>
        <w:t>SH</w:t>
      </w:r>
      <w:r w:rsidR="001C3BDF">
        <w:rPr>
          <w:sz w:val="20"/>
        </w:rPr>
        <w:t xml:space="preserve">s were </w:t>
      </w:r>
      <w:r>
        <w:rPr>
          <w:sz w:val="20"/>
        </w:rPr>
        <w:t>ultimately harmed</w:t>
      </w:r>
    </w:p>
    <w:p w14:paraId="4C1A0A94" w14:textId="5920AD37" w:rsidR="00E37287" w:rsidRPr="00E37287" w:rsidRDefault="000734CF" w:rsidP="00E37287">
      <w:pPr>
        <w:pStyle w:val="ListParagraph"/>
        <w:numPr>
          <w:ilvl w:val="2"/>
          <w:numId w:val="7"/>
        </w:numPr>
      </w:pPr>
      <w:r>
        <w:rPr>
          <w:sz w:val="20"/>
        </w:rPr>
        <w:t>SH</w:t>
      </w:r>
      <w:r w:rsidR="00E37287">
        <w:rPr>
          <w:sz w:val="20"/>
        </w:rPr>
        <w:t xml:space="preserve">s have a right to a </w:t>
      </w:r>
      <w:r>
        <w:rPr>
          <w:sz w:val="20"/>
        </w:rPr>
        <w:t>BoD</w:t>
      </w:r>
      <w:r w:rsidR="00E37287">
        <w:rPr>
          <w:sz w:val="20"/>
        </w:rPr>
        <w:t xml:space="preserve"> that is overseeing the company – abdicat</w:t>
      </w:r>
      <w:r w:rsidR="001C3BDF">
        <w:rPr>
          <w:sz w:val="20"/>
        </w:rPr>
        <w:t xml:space="preserve">ion of this duty creates a </w:t>
      </w:r>
      <w:r w:rsidR="00E37287">
        <w:rPr>
          <w:sz w:val="20"/>
        </w:rPr>
        <w:t xml:space="preserve">direct claim – </w:t>
      </w:r>
      <w:r w:rsidR="00E37287">
        <w:rPr>
          <w:i/>
          <w:sz w:val="20"/>
        </w:rPr>
        <w:t xml:space="preserve">Grimes </w:t>
      </w:r>
    </w:p>
    <w:p w14:paraId="58A76FF5" w14:textId="08692391" w:rsidR="00E37287" w:rsidRPr="00847F2C" w:rsidRDefault="00E37287" w:rsidP="00E37287">
      <w:pPr>
        <w:pStyle w:val="ListParagraph"/>
        <w:numPr>
          <w:ilvl w:val="3"/>
          <w:numId w:val="7"/>
        </w:numPr>
      </w:pPr>
      <w:r>
        <w:rPr>
          <w:sz w:val="20"/>
        </w:rPr>
        <w:t>Abdication of managerial oversight must be formal – limits on a board’s freedom of future action don’t rise to actionable abdication</w:t>
      </w:r>
      <w:r w:rsidR="00887FA3">
        <w:rPr>
          <w:sz w:val="20"/>
        </w:rPr>
        <w:t xml:space="preserve"> (large severance payments do not effectively prevent a board from exercising oversight powers)</w:t>
      </w:r>
    </w:p>
    <w:p w14:paraId="44863017" w14:textId="2EBE7D6C" w:rsidR="00847F2C" w:rsidRPr="00AC518E" w:rsidRDefault="00847F2C" w:rsidP="00E37287">
      <w:pPr>
        <w:pStyle w:val="ListParagraph"/>
        <w:numPr>
          <w:ilvl w:val="3"/>
          <w:numId w:val="7"/>
        </w:numPr>
      </w:pPr>
      <w:r>
        <w:rPr>
          <w:sz w:val="20"/>
        </w:rPr>
        <w:t>Generally, executive compensatio</w:t>
      </w:r>
      <w:r w:rsidR="00183FBC">
        <w:rPr>
          <w:sz w:val="20"/>
        </w:rPr>
        <w:t>n decisions are protected under</w:t>
      </w:r>
      <w:r>
        <w:rPr>
          <w:sz w:val="20"/>
        </w:rPr>
        <w:t xml:space="preserve"> BJR</w:t>
      </w:r>
    </w:p>
    <w:p w14:paraId="530BB46B" w14:textId="0CFA61FC" w:rsidR="00A854F8" w:rsidRPr="009223D0" w:rsidRDefault="00A854F8" w:rsidP="00A854F8">
      <w:pPr>
        <w:pStyle w:val="ListParagraph"/>
        <w:numPr>
          <w:ilvl w:val="1"/>
          <w:numId w:val="7"/>
        </w:numPr>
      </w:pPr>
      <w:r>
        <w:rPr>
          <w:sz w:val="20"/>
        </w:rPr>
        <w:t xml:space="preserve">Who received benefit of any recovery (corporation or </w:t>
      </w:r>
      <w:r w:rsidR="000734CF">
        <w:rPr>
          <w:sz w:val="20"/>
        </w:rPr>
        <w:t>SH</w:t>
      </w:r>
      <w:r>
        <w:rPr>
          <w:sz w:val="20"/>
        </w:rPr>
        <w:t>s)?</w:t>
      </w:r>
    </w:p>
    <w:p w14:paraId="4B923A73" w14:textId="30AC5E2D" w:rsidR="00FC2907" w:rsidRPr="00C35EFE" w:rsidRDefault="009223D0" w:rsidP="00FC2907">
      <w:pPr>
        <w:pStyle w:val="ListParagraph"/>
        <w:numPr>
          <w:ilvl w:val="2"/>
          <w:numId w:val="7"/>
        </w:numPr>
      </w:pPr>
      <w:r>
        <w:rPr>
          <w:sz w:val="20"/>
        </w:rPr>
        <w:t xml:space="preserve">In a derivative action, the wronged individual (corporation) will get the benefit of any recovery – if </w:t>
      </w:r>
      <w:r w:rsidR="000734CF">
        <w:rPr>
          <w:sz w:val="20"/>
        </w:rPr>
        <w:t>SH</w:t>
      </w:r>
      <w:r>
        <w:rPr>
          <w:sz w:val="20"/>
        </w:rPr>
        <w:t>s want a “piece of the action”, they must file a direct suit</w:t>
      </w:r>
    </w:p>
    <w:p w14:paraId="687FFF69" w14:textId="71702C49" w:rsidR="00C35EFE" w:rsidRPr="000B16CE" w:rsidRDefault="000734CF" w:rsidP="00C35EFE">
      <w:pPr>
        <w:pStyle w:val="ListParagraph"/>
        <w:numPr>
          <w:ilvl w:val="3"/>
          <w:numId w:val="7"/>
        </w:numPr>
      </w:pPr>
      <w:r>
        <w:rPr>
          <w:sz w:val="20"/>
        </w:rPr>
        <w:t>SH</w:t>
      </w:r>
      <w:r w:rsidR="00C35EFE">
        <w:rPr>
          <w:sz w:val="20"/>
        </w:rPr>
        <w:t>s cannot recoup their legal fees from the company in direct suits</w:t>
      </w:r>
    </w:p>
    <w:p w14:paraId="6C13A8C6" w14:textId="794F96C8" w:rsidR="000B16CE" w:rsidRPr="00FC2907" w:rsidRDefault="000B16CE" w:rsidP="009223D0">
      <w:pPr>
        <w:pStyle w:val="ListParagraph"/>
        <w:numPr>
          <w:ilvl w:val="2"/>
          <w:numId w:val="7"/>
        </w:numPr>
      </w:pPr>
      <w:r>
        <w:rPr>
          <w:sz w:val="20"/>
        </w:rPr>
        <w:t>Defendant board members and plaintiff’s attorneys are incentivized to settle</w:t>
      </w:r>
      <w:r w:rsidR="0056258A">
        <w:rPr>
          <w:sz w:val="20"/>
        </w:rPr>
        <w:t xml:space="preserve"> derivative</w:t>
      </w:r>
      <w:r>
        <w:rPr>
          <w:sz w:val="20"/>
        </w:rPr>
        <w:t xml:space="preserve"> claims – </w:t>
      </w:r>
      <w:r w:rsidR="0056258A">
        <w:rPr>
          <w:sz w:val="20"/>
        </w:rPr>
        <w:t>the corporation pay directors’</w:t>
      </w:r>
      <w:r>
        <w:rPr>
          <w:sz w:val="20"/>
        </w:rPr>
        <w:t xml:space="preserve"> legal fees, and plaintiffs’ attorneys will get a large portion of settlement funds without too much additional work</w:t>
      </w:r>
    </w:p>
    <w:p w14:paraId="0C2FCF86" w14:textId="0220C027" w:rsidR="00FC2907" w:rsidRPr="00957419" w:rsidRDefault="00FC2907" w:rsidP="00E747D0">
      <w:pPr>
        <w:pStyle w:val="ListParagraph"/>
        <w:numPr>
          <w:ilvl w:val="0"/>
          <w:numId w:val="7"/>
        </w:numPr>
      </w:pPr>
      <w:r>
        <w:rPr>
          <w:sz w:val="20"/>
        </w:rPr>
        <w:t>Derivative suits leverage highly incentivized private parties</w:t>
      </w:r>
      <w:r w:rsidR="00C35EFE">
        <w:rPr>
          <w:sz w:val="20"/>
        </w:rPr>
        <w:t xml:space="preserve"> to monitor/protect the corporation from bad management, and is the most effective remedy (AG might lack resources to bring suit, voting out </w:t>
      </w:r>
      <w:r w:rsidR="000734CF">
        <w:rPr>
          <w:sz w:val="20"/>
        </w:rPr>
        <w:t>BoD</w:t>
      </w:r>
      <w:r w:rsidR="00C35EFE">
        <w:rPr>
          <w:sz w:val="20"/>
        </w:rPr>
        <w:t xml:space="preserve"> raises collective action problems)</w:t>
      </w:r>
    </w:p>
    <w:p w14:paraId="0EC8BC47" w14:textId="48ECC248" w:rsidR="00957419" w:rsidRPr="00C35EFE" w:rsidRDefault="000734CF" w:rsidP="00E747D0">
      <w:pPr>
        <w:pStyle w:val="ListParagraph"/>
        <w:numPr>
          <w:ilvl w:val="1"/>
          <w:numId w:val="7"/>
        </w:numPr>
      </w:pPr>
      <w:r>
        <w:rPr>
          <w:sz w:val="20"/>
        </w:rPr>
        <w:t>BoD</w:t>
      </w:r>
      <w:r w:rsidR="00957419">
        <w:rPr>
          <w:sz w:val="20"/>
        </w:rPr>
        <w:t xml:space="preserve"> always has option to create a special litigation committee to determine action for a derivative lawsuit, and </w:t>
      </w:r>
      <w:r w:rsidR="00957419">
        <w:rPr>
          <w:i/>
          <w:sz w:val="20"/>
        </w:rPr>
        <w:t xml:space="preserve">Zapata </w:t>
      </w:r>
      <w:r w:rsidR="00957419">
        <w:rPr>
          <w:sz w:val="20"/>
        </w:rPr>
        <w:t>allows courts to decide if the spirit of the law has been violated</w:t>
      </w:r>
    </w:p>
    <w:p w14:paraId="3B9773A3" w14:textId="0C59CB22" w:rsidR="00C35EFE" w:rsidRPr="009223D0" w:rsidRDefault="00C35EFE" w:rsidP="00E747D0">
      <w:pPr>
        <w:pStyle w:val="ListParagraph"/>
        <w:numPr>
          <w:ilvl w:val="1"/>
          <w:numId w:val="7"/>
        </w:numPr>
      </w:pPr>
      <w:r>
        <w:rPr>
          <w:sz w:val="20"/>
        </w:rPr>
        <w:t>However, derivative lawsuits conflict with traditional power allocation (boards make corporate decisions) and might not benefit plaintiffs (incentive to settle for large attorneys’ fees)</w:t>
      </w:r>
    </w:p>
    <w:p w14:paraId="1F26B6F0" w14:textId="4183C104" w:rsidR="009223D0" w:rsidRPr="00606893" w:rsidRDefault="009223D0" w:rsidP="009223D0">
      <w:pPr>
        <w:pStyle w:val="ListParagraph"/>
        <w:numPr>
          <w:ilvl w:val="0"/>
          <w:numId w:val="7"/>
        </w:numPr>
      </w:pPr>
      <w:r>
        <w:rPr>
          <w:sz w:val="20"/>
        </w:rPr>
        <w:t xml:space="preserve">Before a derivative suit may be filed, a </w:t>
      </w:r>
      <w:r w:rsidR="000734CF">
        <w:rPr>
          <w:sz w:val="20"/>
        </w:rPr>
        <w:t xml:space="preserve">SH must </w:t>
      </w:r>
      <w:r>
        <w:rPr>
          <w:sz w:val="20"/>
        </w:rPr>
        <w:t xml:space="preserve">demand </w:t>
      </w:r>
      <w:r w:rsidR="000734CF">
        <w:rPr>
          <w:sz w:val="20"/>
        </w:rPr>
        <w:t>the BoD</w:t>
      </w:r>
      <w:r>
        <w:rPr>
          <w:sz w:val="20"/>
        </w:rPr>
        <w:t xml:space="preserve"> resolve the issue</w:t>
      </w:r>
    </w:p>
    <w:p w14:paraId="37BE3589" w14:textId="0FEACBCF" w:rsidR="00606893" w:rsidRPr="00014F3D" w:rsidRDefault="00606893" w:rsidP="00606893">
      <w:pPr>
        <w:pStyle w:val="ListParagraph"/>
        <w:numPr>
          <w:ilvl w:val="1"/>
          <w:numId w:val="7"/>
        </w:numPr>
      </w:pPr>
      <w:r>
        <w:rPr>
          <w:sz w:val="20"/>
        </w:rPr>
        <w:t xml:space="preserve">Demand is </w:t>
      </w:r>
      <w:r>
        <w:rPr>
          <w:i/>
          <w:sz w:val="20"/>
        </w:rPr>
        <w:t xml:space="preserve">not </w:t>
      </w:r>
      <w:r>
        <w:rPr>
          <w:sz w:val="20"/>
        </w:rPr>
        <w:t>required before a direct lawsuit may be filed</w:t>
      </w:r>
    </w:p>
    <w:p w14:paraId="0A7CDA22" w14:textId="2A6CA201" w:rsidR="008F4892" w:rsidRPr="008F4892" w:rsidRDefault="008F4892" w:rsidP="00606893">
      <w:pPr>
        <w:pStyle w:val="ListParagraph"/>
        <w:numPr>
          <w:ilvl w:val="1"/>
          <w:numId w:val="7"/>
        </w:numPr>
      </w:pPr>
      <w:r>
        <w:rPr>
          <w:sz w:val="20"/>
        </w:rPr>
        <w:t>Demand requirement avoids litigation by incentivizing ADR-type remedies</w:t>
      </w:r>
      <w:r w:rsidR="003D4CFE">
        <w:rPr>
          <w:sz w:val="20"/>
        </w:rPr>
        <w:t xml:space="preserve">, allows corporation to control potentially beneficial litigation (if demand is accepted), </w:t>
      </w:r>
      <w:r w:rsidR="00E86E86">
        <w:rPr>
          <w:sz w:val="20"/>
        </w:rPr>
        <w:t xml:space="preserve">and may </w:t>
      </w:r>
      <w:r w:rsidR="003D4CFE">
        <w:rPr>
          <w:sz w:val="20"/>
        </w:rPr>
        <w:t>sc</w:t>
      </w:r>
      <w:r w:rsidR="00E86E86">
        <w:rPr>
          <w:sz w:val="20"/>
        </w:rPr>
        <w:t>reen out some baseless suits</w:t>
      </w:r>
      <w:r w:rsidR="0051007E">
        <w:rPr>
          <w:sz w:val="20"/>
        </w:rPr>
        <w:t xml:space="preserve"> (“strike suits” entered into for personal gain)</w:t>
      </w:r>
    </w:p>
    <w:p w14:paraId="3D996F82" w14:textId="0DF93534" w:rsidR="00014F3D" w:rsidRPr="009223D0" w:rsidRDefault="00FC37C6" w:rsidP="008F4892">
      <w:pPr>
        <w:pStyle w:val="ListParagraph"/>
        <w:numPr>
          <w:ilvl w:val="0"/>
          <w:numId w:val="7"/>
        </w:numPr>
      </w:pPr>
      <w:r>
        <w:rPr>
          <w:sz w:val="20"/>
        </w:rPr>
        <w:t xml:space="preserve">The demand requirement may be avoided if </w:t>
      </w:r>
      <w:r w:rsidR="000B2441">
        <w:rPr>
          <w:sz w:val="20"/>
        </w:rPr>
        <w:t xml:space="preserve">1) board wrongfully rejected a pre-suit demand, or 2) </w:t>
      </w:r>
      <w:r w:rsidR="000734CF">
        <w:rPr>
          <w:sz w:val="20"/>
        </w:rPr>
        <w:t>SH</w:t>
      </w:r>
      <w:r w:rsidR="000E1C40">
        <w:rPr>
          <w:sz w:val="20"/>
        </w:rPr>
        <w:t xml:space="preserve">s </w:t>
      </w:r>
      <w:r w:rsidR="00F9105F">
        <w:rPr>
          <w:sz w:val="20"/>
        </w:rPr>
        <w:t>prove</w:t>
      </w:r>
      <w:r w:rsidR="000E1C40">
        <w:rPr>
          <w:sz w:val="20"/>
        </w:rPr>
        <w:t xml:space="preserve"> demand is</w:t>
      </w:r>
      <w:r w:rsidR="000B2441">
        <w:rPr>
          <w:sz w:val="20"/>
        </w:rPr>
        <w:t xml:space="preserve"> futile</w:t>
      </w:r>
      <w:r w:rsidR="00014F3D">
        <w:rPr>
          <w:sz w:val="20"/>
        </w:rPr>
        <w:t xml:space="preserve">. </w:t>
      </w:r>
      <w:r w:rsidR="000E1C40">
        <w:rPr>
          <w:sz w:val="20"/>
        </w:rPr>
        <w:t>There are several different</w:t>
      </w:r>
      <w:r w:rsidR="00014F3D">
        <w:rPr>
          <w:sz w:val="20"/>
        </w:rPr>
        <w:t xml:space="preserve"> formulations of the futility test:</w:t>
      </w:r>
    </w:p>
    <w:p w14:paraId="2B5E16B8" w14:textId="62ABFA92" w:rsidR="009223D0" w:rsidRPr="00AC518E" w:rsidRDefault="009223D0" w:rsidP="008F4892">
      <w:pPr>
        <w:pStyle w:val="ListParagraph"/>
        <w:numPr>
          <w:ilvl w:val="1"/>
          <w:numId w:val="7"/>
        </w:numPr>
      </w:pPr>
      <w:r>
        <w:rPr>
          <w:i/>
          <w:sz w:val="20"/>
        </w:rPr>
        <w:t>Grimes</w:t>
      </w:r>
      <w:r w:rsidR="00014F3D">
        <w:rPr>
          <w:i/>
          <w:sz w:val="20"/>
        </w:rPr>
        <w:t xml:space="preserve"> </w:t>
      </w:r>
      <w:r w:rsidR="00014F3D">
        <w:rPr>
          <w:sz w:val="20"/>
        </w:rPr>
        <w:t>(</w:t>
      </w:r>
      <w:r w:rsidR="00042C78">
        <w:rPr>
          <w:sz w:val="20"/>
        </w:rPr>
        <w:t>Delaware</w:t>
      </w:r>
      <w:r w:rsidR="00014F3D">
        <w:rPr>
          <w:sz w:val="20"/>
        </w:rPr>
        <w:t>)</w:t>
      </w:r>
      <w:r>
        <w:rPr>
          <w:i/>
          <w:sz w:val="20"/>
        </w:rPr>
        <w:t xml:space="preserve"> </w:t>
      </w:r>
      <w:r>
        <w:rPr>
          <w:sz w:val="20"/>
        </w:rPr>
        <w:t xml:space="preserve">creates a </w:t>
      </w:r>
      <w:r w:rsidR="00014F3D">
        <w:rPr>
          <w:sz w:val="20"/>
        </w:rPr>
        <w:t>three-pronged test</w:t>
      </w:r>
      <w:r w:rsidR="000B2441">
        <w:rPr>
          <w:sz w:val="20"/>
        </w:rPr>
        <w:t>:</w:t>
      </w:r>
    </w:p>
    <w:p w14:paraId="539A5148" w14:textId="1FD78322" w:rsidR="009223D0" w:rsidRPr="009223D0" w:rsidRDefault="009223D0" w:rsidP="008F4892">
      <w:pPr>
        <w:pStyle w:val="ListParagraph"/>
        <w:numPr>
          <w:ilvl w:val="2"/>
          <w:numId w:val="7"/>
        </w:numPr>
      </w:pPr>
      <w:r>
        <w:rPr>
          <w:sz w:val="20"/>
        </w:rPr>
        <w:t xml:space="preserve">Majority of </w:t>
      </w:r>
      <w:r w:rsidR="000734CF">
        <w:rPr>
          <w:sz w:val="20"/>
        </w:rPr>
        <w:t>BoD</w:t>
      </w:r>
      <w:r>
        <w:rPr>
          <w:sz w:val="20"/>
        </w:rPr>
        <w:t xml:space="preserve"> has material financial/familial interest in transaction</w:t>
      </w:r>
    </w:p>
    <w:p w14:paraId="622D1916" w14:textId="6E19AC07" w:rsidR="009223D0" w:rsidRPr="00941C85" w:rsidRDefault="009223D0" w:rsidP="008F4892">
      <w:pPr>
        <w:pStyle w:val="ListParagraph"/>
        <w:numPr>
          <w:ilvl w:val="2"/>
          <w:numId w:val="7"/>
        </w:numPr>
      </w:pPr>
      <w:r>
        <w:rPr>
          <w:sz w:val="20"/>
        </w:rPr>
        <w:t xml:space="preserve">Majority of </w:t>
      </w:r>
      <w:r w:rsidR="000734CF">
        <w:rPr>
          <w:sz w:val="20"/>
        </w:rPr>
        <w:t>BoD</w:t>
      </w:r>
      <w:r>
        <w:rPr>
          <w:sz w:val="20"/>
        </w:rPr>
        <w:t xml:space="preserve"> is dominated/controlled by an alleged wrongdoer or interested party</w:t>
      </w:r>
    </w:p>
    <w:p w14:paraId="65120962" w14:textId="169ACD0B" w:rsidR="00941C85" w:rsidRPr="009223D0" w:rsidRDefault="00941C85" w:rsidP="008F4892">
      <w:pPr>
        <w:pStyle w:val="ListParagraph"/>
        <w:numPr>
          <w:ilvl w:val="3"/>
          <w:numId w:val="7"/>
        </w:numPr>
      </w:pPr>
      <w:r>
        <w:rPr>
          <w:sz w:val="20"/>
        </w:rPr>
        <w:lastRenderedPageBreak/>
        <w:t>Demand is not excused simply because a plaintiff sues all directors</w:t>
      </w:r>
    </w:p>
    <w:p w14:paraId="77284A57" w14:textId="541C3F89" w:rsidR="009223D0" w:rsidRPr="000B2441" w:rsidRDefault="009223D0" w:rsidP="008F4892">
      <w:pPr>
        <w:pStyle w:val="ListParagraph"/>
        <w:numPr>
          <w:ilvl w:val="2"/>
          <w:numId w:val="7"/>
        </w:numPr>
      </w:pPr>
      <w:r>
        <w:rPr>
          <w:sz w:val="20"/>
        </w:rPr>
        <w:t>Underlying transaction was not a valid exercise of the business judgment rule</w:t>
      </w:r>
    </w:p>
    <w:p w14:paraId="5ABE461B" w14:textId="14ED3EA9" w:rsidR="000B2441" w:rsidRPr="00E72403" w:rsidRDefault="00216824" w:rsidP="008F4892">
      <w:pPr>
        <w:pStyle w:val="ListParagraph"/>
        <w:numPr>
          <w:ilvl w:val="3"/>
          <w:numId w:val="7"/>
        </w:numPr>
      </w:pPr>
      <w:r>
        <w:rPr>
          <w:sz w:val="20"/>
        </w:rPr>
        <w:t>This usually implies a lack</w:t>
      </w:r>
      <w:r w:rsidR="000B2441">
        <w:rPr>
          <w:sz w:val="20"/>
        </w:rPr>
        <w:t xml:space="preserve"> of adequate process in the board’s decision</w:t>
      </w:r>
    </w:p>
    <w:p w14:paraId="6C898C6B" w14:textId="680375B9" w:rsidR="00E72403" w:rsidRPr="00806058" w:rsidRDefault="00E72403" w:rsidP="00E72403">
      <w:pPr>
        <w:pStyle w:val="ListParagraph"/>
        <w:numPr>
          <w:ilvl w:val="2"/>
          <w:numId w:val="7"/>
        </w:numPr>
      </w:pPr>
      <w:r>
        <w:rPr>
          <w:i/>
          <w:sz w:val="20"/>
        </w:rPr>
        <w:t xml:space="preserve">Grimes </w:t>
      </w:r>
      <w:r>
        <w:rPr>
          <w:sz w:val="20"/>
        </w:rPr>
        <w:t>is criticized for its phrasing that demand is excused if there is a “reasonable doubt” that the board is capable of making an independent decision</w:t>
      </w:r>
    </w:p>
    <w:p w14:paraId="67C8365C" w14:textId="15D5F160" w:rsidR="00806058" w:rsidRPr="0051007E" w:rsidRDefault="00806058" w:rsidP="00E72403">
      <w:pPr>
        <w:pStyle w:val="ListParagraph"/>
        <w:numPr>
          <w:ilvl w:val="2"/>
          <w:numId w:val="7"/>
        </w:numPr>
      </w:pPr>
      <w:r>
        <w:rPr>
          <w:i/>
          <w:sz w:val="20"/>
        </w:rPr>
        <w:t xml:space="preserve">Rales </w:t>
      </w:r>
      <w:r>
        <w:rPr>
          <w:sz w:val="20"/>
        </w:rPr>
        <w:t>is Delaware’s test for exc</w:t>
      </w:r>
      <w:r w:rsidR="00462A2C">
        <w:rPr>
          <w:sz w:val="20"/>
        </w:rPr>
        <w:t xml:space="preserve">use of demand in cases where corporate </w:t>
      </w:r>
      <w:r w:rsidR="00462A2C">
        <w:rPr>
          <w:i/>
          <w:sz w:val="20"/>
        </w:rPr>
        <w:t xml:space="preserve">action </w:t>
      </w:r>
      <w:r w:rsidR="00462A2C">
        <w:rPr>
          <w:sz w:val="20"/>
        </w:rPr>
        <w:t xml:space="preserve">is not at issue (i.e., </w:t>
      </w:r>
      <w:r w:rsidR="00462A2C">
        <w:rPr>
          <w:i/>
          <w:sz w:val="20"/>
        </w:rPr>
        <w:t xml:space="preserve">Caremark </w:t>
      </w:r>
      <w:r w:rsidR="00462A2C">
        <w:rPr>
          <w:sz w:val="20"/>
        </w:rPr>
        <w:t>violations) or if the futility is alleged against a board member who did not participate in the challenged decision</w:t>
      </w:r>
    </w:p>
    <w:p w14:paraId="6A94FA06" w14:textId="3EAF6324" w:rsidR="0051007E" w:rsidRPr="00DD372F" w:rsidRDefault="0051007E" w:rsidP="0051007E">
      <w:pPr>
        <w:pStyle w:val="ListParagraph"/>
        <w:numPr>
          <w:ilvl w:val="1"/>
          <w:numId w:val="7"/>
        </w:numPr>
      </w:pPr>
      <w:r>
        <w:rPr>
          <w:i/>
          <w:sz w:val="20"/>
        </w:rPr>
        <w:t xml:space="preserve">Marx v. Akers </w:t>
      </w:r>
      <w:r w:rsidR="001C3BDF">
        <w:rPr>
          <w:sz w:val="20"/>
        </w:rPr>
        <w:t>(NY</w:t>
      </w:r>
      <w:r>
        <w:rPr>
          <w:sz w:val="20"/>
        </w:rPr>
        <w:t xml:space="preserve">) </w:t>
      </w:r>
      <w:r w:rsidR="001C3BDF">
        <w:rPr>
          <w:sz w:val="20"/>
        </w:rPr>
        <w:t xml:space="preserve">rejects </w:t>
      </w:r>
      <w:r w:rsidR="00DD372F">
        <w:rPr>
          <w:sz w:val="20"/>
        </w:rPr>
        <w:t>universa</w:t>
      </w:r>
      <w:r w:rsidR="001C3BDF">
        <w:rPr>
          <w:sz w:val="20"/>
        </w:rPr>
        <w:t>l demand requirement and creates alternate three</w:t>
      </w:r>
      <w:r w:rsidR="00DD372F">
        <w:rPr>
          <w:sz w:val="20"/>
        </w:rPr>
        <w:t>-prong test</w:t>
      </w:r>
    </w:p>
    <w:p w14:paraId="164845D0" w14:textId="2D1C1650" w:rsidR="00DD372F" w:rsidRPr="00133FD7" w:rsidRDefault="00DD372F" w:rsidP="00DD372F">
      <w:pPr>
        <w:pStyle w:val="ListParagraph"/>
        <w:numPr>
          <w:ilvl w:val="2"/>
          <w:numId w:val="7"/>
        </w:numPr>
      </w:pPr>
      <w:r>
        <w:rPr>
          <w:sz w:val="20"/>
        </w:rPr>
        <w:t xml:space="preserve">Majority of directors are interested (links </w:t>
      </w:r>
      <w:r>
        <w:rPr>
          <w:i/>
          <w:sz w:val="20"/>
        </w:rPr>
        <w:t xml:space="preserve">Grimes </w:t>
      </w:r>
      <w:r>
        <w:rPr>
          <w:sz w:val="20"/>
        </w:rPr>
        <w:t>prongs one and two)</w:t>
      </w:r>
    </w:p>
    <w:p w14:paraId="2990C731" w14:textId="43A7DC4D" w:rsidR="00133FD7" w:rsidRPr="00DD372F" w:rsidRDefault="00133FD7" w:rsidP="00133FD7">
      <w:pPr>
        <w:pStyle w:val="ListParagraph"/>
        <w:numPr>
          <w:ilvl w:val="3"/>
          <w:numId w:val="7"/>
        </w:numPr>
      </w:pPr>
      <w:r>
        <w:rPr>
          <w:sz w:val="20"/>
        </w:rPr>
        <w:t xml:space="preserve">Directors are self-interested when they receive a direct financial benefit from a transaction that is different from the benefit to </w:t>
      </w:r>
      <w:r w:rsidR="000734CF">
        <w:rPr>
          <w:sz w:val="20"/>
        </w:rPr>
        <w:t>SH</w:t>
      </w:r>
      <w:r>
        <w:rPr>
          <w:sz w:val="20"/>
        </w:rPr>
        <w:t>s generally</w:t>
      </w:r>
      <w:r w:rsidR="008816E2">
        <w:rPr>
          <w:sz w:val="20"/>
        </w:rPr>
        <w:t xml:space="preserve"> - </w:t>
      </w:r>
      <w:r w:rsidR="008816E2">
        <w:rPr>
          <w:i/>
          <w:sz w:val="20"/>
        </w:rPr>
        <w:t>Marx</w:t>
      </w:r>
    </w:p>
    <w:p w14:paraId="5449FFE1" w14:textId="321A4253" w:rsidR="00DD372F" w:rsidRPr="00DD372F" w:rsidRDefault="00DD372F" w:rsidP="00DD372F">
      <w:pPr>
        <w:pStyle w:val="ListParagraph"/>
        <w:numPr>
          <w:ilvl w:val="2"/>
          <w:numId w:val="7"/>
        </w:numPr>
      </w:pPr>
      <w:r>
        <w:rPr>
          <w:sz w:val="20"/>
        </w:rPr>
        <w:t xml:space="preserve">Directors </w:t>
      </w:r>
      <w:r w:rsidR="007165B2">
        <w:rPr>
          <w:sz w:val="20"/>
        </w:rPr>
        <w:t xml:space="preserve">failed to inform themselves to </w:t>
      </w:r>
      <w:r>
        <w:rPr>
          <w:sz w:val="20"/>
        </w:rPr>
        <w:t>reaso</w:t>
      </w:r>
      <w:r w:rsidR="007165B2">
        <w:rPr>
          <w:sz w:val="20"/>
        </w:rPr>
        <w:t>nably necessary degree about</w:t>
      </w:r>
      <w:r>
        <w:rPr>
          <w:sz w:val="20"/>
        </w:rPr>
        <w:t xml:space="preserve"> transaction</w:t>
      </w:r>
    </w:p>
    <w:p w14:paraId="3634EB7C" w14:textId="4256C774" w:rsidR="00DD372F" w:rsidRPr="00DF34D4" w:rsidRDefault="00DD372F" w:rsidP="00DD372F">
      <w:pPr>
        <w:pStyle w:val="ListParagraph"/>
        <w:numPr>
          <w:ilvl w:val="2"/>
          <w:numId w:val="7"/>
        </w:numPr>
      </w:pPr>
      <w:r>
        <w:rPr>
          <w:sz w:val="20"/>
        </w:rPr>
        <w:t>Directors failed to exercise their busine</w:t>
      </w:r>
      <w:r w:rsidR="008816E2">
        <w:rPr>
          <w:sz w:val="20"/>
        </w:rPr>
        <w:t>ss judgment in approving the tra</w:t>
      </w:r>
      <w:r>
        <w:rPr>
          <w:sz w:val="20"/>
        </w:rPr>
        <w:t>nsaction</w:t>
      </w:r>
    </w:p>
    <w:p w14:paraId="507B1FB5" w14:textId="6F353BD7" w:rsidR="00DF34D4" w:rsidRPr="00133FD7" w:rsidRDefault="00DF34D4" w:rsidP="00DF34D4">
      <w:pPr>
        <w:pStyle w:val="ListParagraph"/>
        <w:numPr>
          <w:ilvl w:val="3"/>
          <w:numId w:val="7"/>
        </w:numPr>
      </w:pPr>
      <w:r>
        <w:rPr>
          <w:sz w:val="20"/>
        </w:rPr>
        <w:t>Transaction must be “so egregious” that it couldn’t have been a valid BJ</w:t>
      </w:r>
    </w:p>
    <w:p w14:paraId="68458C42" w14:textId="642979AF" w:rsidR="00133FD7" w:rsidRPr="0036798C" w:rsidRDefault="00133FD7" w:rsidP="00DF34D4">
      <w:pPr>
        <w:pStyle w:val="ListParagraph"/>
        <w:numPr>
          <w:ilvl w:val="3"/>
          <w:numId w:val="7"/>
        </w:numPr>
      </w:pPr>
      <w:r>
        <w:rPr>
          <w:sz w:val="20"/>
        </w:rPr>
        <w:t>Acts as a catch-all provision (in both tests) to give equity courts more power</w:t>
      </w:r>
    </w:p>
    <w:p w14:paraId="161B25B2" w14:textId="1B565CFF" w:rsidR="0036798C" w:rsidRPr="00941C85" w:rsidRDefault="0036798C" w:rsidP="0036798C">
      <w:pPr>
        <w:pStyle w:val="ListParagraph"/>
        <w:numPr>
          <w:ilvl w:val="2"/>
          <w:numId w:val="7"/>
        </w:numPr>
      </w:pPr>
      <w:r>
        <w:rPr>
          <w:sz w:val="20"/>
        </w:rPr>
        <w:t xml:space="preserve">In practice, the </w:t>
      </w:r>
      <w:r>
        <w:rPr>
          <w:i/>
          <w:sz w:val="20"/>
        </w:rPr>
        <w:t xml:space="preserve">Grimes </w:t>
      </w:r>
      <w:r>
        <w:rPr>
          <w:sz w:val="20"/>
        </w:rPr>
        <w:t xml:space="preserve">and </w:t>
      </w:r>
      <w:r>
        <w:rPr>
          <w:i/>
          <w:sz w:val="20"/>
        </w:rPr>
        <w:t xml:space="preserve">Marx </w:t>
      </w:r>
      <w:r>
        <w:rPr>
          <w:sz w:val="20"/>
        </w:rPr>
        <w:t>tests are not terribly different</w:t>
      </w:r>
    </w:p>
    <w:p w14:paraId="48F40FC1" w14:textId="1A675B6E" w:rsidR="00941C85" w:rsidRPr="00FC37C6" w:rsidRDefault="007165B2" w:rsidP="008F4892">
      <w:pPr>
        <w:pStyle w:val="ListParagraph"/>
        <w:numPr>
          <w:ilvl w:val="1"/>
          <w:numId w:val="7"/>
        </w:numPr>
      </w:pPr>
      <w:r>
        <w:rPr>
          <w:sz w:val="20"/>
        </w:rPr>
        <w:t>Showing</w:t>
      </w:r>
      <w:r w:rsidR="00941C85">
        <w:rPr>
          <w:sz w:val="20"/>
        </w:rPr>
        <w:t xml:space="preserve"> of</w:t>
      </w:r>
      <w:r>
        <w:rPr>
          <w:sz w:val="20"/>
        </w:rPr>
        <w:t xml:space="preserve"> futility must be made using “tools at hand”;</w:t>
      </w:r>
      <w:r w:rsidR="00941C85">
        <w:rPr>
          <w:sz w:val="20"/>
        </w:rPr>
        <w:t xml:space="preserve"> judicially ordered discovery is unavailable</w:t>
      </w:r>
    </w:p>
    <w:p w14:paraId="45D03C32" w14:textId="7AE8A164" w:rsidR="00FC37C6" w:rsidRPr="00F9105F" w:rsidRDefault="00FC37C6" w:rsidP="003D2559">
      <w:pPr>
        <w:pStyle w:val="ListParagraph"/>
        <w:numPr>
          <w:ilvl w:val="1"/>
          <w:numId w:val="7"/>
        </w:numPr>
      </w:pPr>
      <w:r>
        <w:rPr>
          <w:sz w:val="20"/>
        </w:rPr>
        <w:t>Wrongful rejection is reviewed under BJR</w:t>
      </w:r>
    </w:p>
    <w:p w14:paraId="49846A65" w14:textId="53945F84" w:rsidR="00F9105F" w:rsidRPr="00FC37C6" w:rsidRDefault="00F9105F" w:rsidP="003D2559">
      <w:pPr>
        <w:pStyle w:val="ListParagraph"/>
        <w:numPr>
          <w:ilvl w:val="2"/>
          <w:numId w:val="7"/>
        </w:numPr>
      </w:pPr>
      <w:r>
        <w:rPr>
          <w:sz w:val="20"/>
        </w:rPr>
        <w:t xml:space="preserve">BJR presumption is overcome if </w:t>
      </w:r>
      <w:r w:rsidR="000734CF">
        <w:rPr>
          <w:sz w:val="20"/>
        </w:rPr>
        <w:t>SH</w:t>
      </w:r>
      <w:r>
        <w:rPr>
          <w:sz w:val="20"/>
        </w:rPr>
        <w:t xml:space="preserve"> can allege </w:t>
      </w:r>
      <w:r w:rsidR="0051007E">
        <w:rPr>
          <w:sz w:val="20"/>
        </w:rPr>
        <w:t xml:space="preserve">“particularized </w:t>
      </w:r>
      <w:r>
        <w:rPr>
          <w:sz w:val="20"/>
        </w:rPr>
        <w:t>facts</w:t>
      </w:r>
      <w:r w:rsidR="0051007E">
        <w:rPr>
          <w:sz w:val="20"/>
        </w:rPr>
        <w:t>”</w:t>
      </w:r>
      <w:r>
        <w:rPr>
          <w:sz w:val="20"/>
        </w:rPr>
        <w:t xml:space="preserve"> </w:t>
      </w:r>
      <w:r w:rsidR="0051007E">
        <w:rPr>
          <w:sz w:val="20"/>
        </w:rPr>
        <w:t xml:space="preserve">using “tools at hand” </w:t>
      </w:r>
      <w:r>
        <w:rPr>
          <w:sz w:val="20"/>
        </w:rPr>
        <w:t>that creat</w:t>
      </w:r>
      <w:r w:rsidR="000734CF">
        <w:rPr>
          <w:sz w:val="20"/>
        </w:rPr>
        <w:t>e a “reasonable doubt” that board is entitled to</w:t>
      </w:r>
      <w:r>
        <w:rPr>
          <w:sz w:val="20"/>
        </w:rPr>
        <w:t xml:space="preserve"> benefit of the presumption</w:t>
      </w:r>
    </w:p>
    <w:p w14:paraId="045858E2" w14:textId="2BA43644" w:rsidR="00FC37C6" w:rsidRPr="00FC37C6" w:rsidRDefault="00962B87" w:rsidP="008F4892">
      <w:pPr>
        <w:pStyle w:val="ListParagraph"/>
        <w:numPr>
          <w:ilvl w:val="1"/>
          <w:numId w:val="7"/>
        </w:numPr>
      </w:pPr>
      <w:r>
        <w:rPr>
          <w:sz w:val="20"/>
        </w:rPr>
        <w:t>If demand is made &amp;</w:t>
      </w:r>
      <w:r w:rsidR="00FC37C6">
        <w:rPr>
          <w:sz w:val="20"/>
        </w:rPr>
        <w:t xml:space="preserve"> rejected, </w:t>
      </w:r>
      <w:r w:rsidR="000734CF">
        <w:rPr>
          <w:sz w:val="20"/>
        </w:rPr>
        <w:t>SH</w:t>
      </w:r>
      <w:r w:rsidR="00FC37C6">
        <w:rPr>
          <w:sz w:val="20"/>
        </w:rPr>
        <w:t xml:space="preserve"> is estopped from claiming that making demand was excused</w:t>
      </w:r>
    </w:p>
    <w:p w14:paraId="4C0D77E2" w14:textId="09076FAE" w:rsidR="009223D0" w:rsidRPr="00DB6718" w:rsidRDefault="00FC37C6" w:rsidP="008F4892">
      <w:pPr>
        <w:pStyle w:val="ListParagraph"/>
        <w:numPr>
          <w:ilvl w:val="2"/>
          <w:numId w:val="7"/>
        </w:numPr>
      </w:pPr>
      <w:r>
        <w:rPr>
          <w:sz w:val="20"/>
        </w:rPr>
        <w:t>Preven</w:t>
      </w:r>
      <w:r w:rsidR="00C762ED">
        <w:rPr>
          <w:sz w:val="20"/>
        </w:rPr>
        <w:t>ts the board from being unduly</w:t>
      </w:r>
      <w:r>
        <w:rPr>
          <w:sz w:val="20"/>
        </w:rPr>
        <w:t xml:space="preserve"> harassed by </w:t>
      </w:r>
      <w:r w:rsidR="000734CF">
        <w:rPr>
          <w:sz w:val="20"/>
        </w:rPr>
        <w:t>SH</w:t>
      </w:r>
      <w:r>
        <w:rPr>
          <w:sz w:val="20"/>
        </w:rPr>
        <w:t>s</w:t>
      </w:r>
    </w:p>
    <w:p w14:paraId="2121A039" w14:textId="15EB6375" w:rsidR="00DB6718" w:rsidRPr="00DB6718" w:rsidRDefault="00DB6718" w:rsidP="00DB6718">
      <w:pPr>
        <w:pStyle w:val="ListParagraph"/>
        <w:numPr>
          <w:ilvl w:val="0"/>
          <w:numId w:val="7"/>
        </w:numPr>
      </w:pPr>
      <w:r>
        <w:rPr>
          <w:sz w:val="20"/>
        </w:rPr>
        <w:t>Directors can create “special litigation committees” (SLCs)</w:t>
      </w:r>
      <w:r w:rsidR="007165B2">
        <w:rPr>
          <w:sz w:val="20"/>
        </w:rPr>
        <w:t xml:space="preserve"> in response to derivative lawsuits</w:t>
      </w:r>
    </w:p>
    <w:p w14:paraId="01208F43" w14:textId="1C720525" w:rsidR="00DB6718" w:rsidRPr="00BB5345" w:rsidRDefault="00DB6718" w:rsidP="00DB6718">
      <w:pPr>
        <w:pStyle w:val="ListParagraph"/>
        <w:numPr>
          <w:ilvl w:val="1"/>
          <w:numId w:val="7"/>
        </w:numPr>
      </w:pPr>
      <w:r>
        <w:rPr>
          <w:sz w:val="20"/>
        </w:rPr>
        <w:t>Can be used as a delaying tactic against derivative litigation, and also a</w:t>
      </w:r>
      <w:r w:rsidR="008620ED">
        <w:rPr>
          <w:sz w:val="20"/>
        </w:rPr>
        <w:t>llows the company to re</w:t>
      </w:r>
      <w:r>
        <w:rPr>
          <w:sz w:val="20"/>
        </w:rPr>
        <w:t>take control of the litigation</w:t>
      </w:r>
    </w:p>
    <w:p w14:paraId="1CC0FCEB" w14:textId="1BAA20F8" w:rsidR="00BB5345" w:rsidRPr="00092411" w:rsidRDefault="00BB5345" w:rsidP="00DB6718">
      <w:pPr>
        <w:pStyle w:val="ListParagraph"/>
        <w:numPr>
          <w:ilvl w:val="1"/>
          <w:numId w:val="7"/>
        </w:numPr>
      </w:pPr>
      <w:r>
        <w:rPr>
          <w:sz w:val="20"/>
        </w:rPr>
        <w:t xml:space="preserve">Threshold inquiry of SLC viability is whether members are sufficiently disinterested to be </w:t>
      </w:r>
      <w:r w:rsidR="00092411">
        <w:rPr>
          <w:sz w:val="20"/>
        </w:rPr>
        <w:t xml:space="preserve">neutral </w:t>
      </w:r>
    </w:p>
    <w:p w14:paraId="43A1C820" w14:textId="6BFF73F3" w:rsidR="00722B7F" w:rsidRPr="00722B7F" w:rsidRDefault="00722B7F" w:rsidP="00092411">
      <w:pPr>
        <w:pStyle w:val="ListParagraph"/>
        <w:numPr>
          <w:ilvl w:val="2"/>
          <w:numId w:val="7"/>
        </w:numPr>
      </w:pPr>
      <w:r>
        <w:rPr>
          <w:sz w:val="20"/>
        </w:rPr>
        <w:t>Sounds similar to a demand-excused inquiry, but burden of proof has shifted to SLC to demonstrate independence and adequacy of procedures</w:t>
      </w:r>
    </w:p>
    <w:p w14:paraId="6838516B" w14:textId="29944923" w:rsidR="00092411" w:rsidRPr="00C91C5C" w:rsidRDefault="007E640C" w:rsidP="00092411">
      <w:pPr>
        <w:pStyle w:val="ListParagraph"/>
        <w:numPr>
          <w:ilvl w:val="2"/>
          <w:numId w:val="7"/>
        </w:numPr>
      </w:pPr>
      <w:r>
        <w:rPr>
          <w:sz w:val="20"/>
        </w:rPr>
        <w:t>I</w:t>
      </w:r>
      <w:r w:rsidR="00092411">
        <w:rPr>
          <w:sz w:val="20"/>
        </w:rPr>
        <w:t xml:space="preserve">nterested directors may not serve on the SLC and have its independent judgment be </w:t>
      </w:r>
      <w:r w:rsidR="00E718C7">
        <w:rPr>
          <w:sz w:val="20"/>
        </w:rPr>
        <w:t>“above</w:t>
      </w:r>
      <w:r w:rsidR="00092411">
        <w:rPr>
          <w:sz w:val="20"/>
        </w:rPr>
        <w:t xml:space="preserve"> reproach</w:t>
      </w:r>
      <w:r w:rsidR="00E718C7">
        <w:rPr>
          <w:sz w:val="20"/>
        </w:rPr>
        <w:t>”</w:t>
      </w:r>
    </w:p>
    <w:p w14:paraId="415668F0" w14:textId="659B1E76" w:rsidR="00C91C5C" w:rsidRPr="00092411" w:rsidRDefault="00C91C5C" w:rsidP="00C91C5C">
      <w:pPr>
        <w:pStyle w:val="ListParagraph"/>
        <w:numPr>
          <w:ilvl w:val="3"/>
          <w:numId w:val="7"/>
        </w:numPr>
      </w:pPr>
      <w:r>
        <w:rPr>
          <w:i/>
          <w:sz w:val="20"/>
        </w:rPr>
        <w:t xml:space="preserve">Possibility </w:t>
      </w:r>
      <w:r>
        <w:rPr>
          <w:sz w:val="20"/>
        </w:rPr>
        <w:t>of bias is all that is required – SLC has burden of persuasion</w:t>
      </w:r>
    </w:p>
    <w:p w14:paraId="2C703EB3" w14:textId="116473D4" w:rsidR="00092411" w:rsidRPr="008C0453" w:rsidRDefault="00092411" w:rsidP="00092411">
      <w:pPr>
        <w:pStyle w:val="ListParagraph"/>
        <w:numPr>
          <w:ilvl w:val="2"/>
          <w:numId w:val="7"/>
        </w:numPr>
      </w:pPr>
      <w:r>
        <w:rPr>
          <w:sz w:val="20"/>
        </w:rPr>
        <w:t>The natural hesitancy of directors to brand fellow directors as wrongdoers is not enough of a barrier to bar the use of SLCs</w:t>
      </w:r>
    </w:p>
    <w:p w14:paraId="55BC3C7E" w14:textId="4C2A2F79" w:rsidR="008C0453" w:rsidRPr="008C0453" w:rsidRDefault="00176846" w:rsidP="008C0453">
      <w:pPr>
        <w:pStyle w:val="ListParagraph"/>
        <w:numPr>
          <w:ilvl w:val="1"/>
          <w:numId w:val="7"/>
        </w:numPr>
      </w:pPr>
      <w:r>
        <w:rPr>
          <w:sz w:val="20"/>
        </w:rPr>
        <w:t xml:space="preserve">Under New York law, </w:t>
      </w:r>
      <w:r w:rsidR="008C0453">
        <w:rPr>
          <w:sz w:val="20"/>
        </w:rPr>
        <w:t xml:space="preserve">BJR protects against judicial review of the decision made by the SLC – </w:t>
      </w:r>
      <w:r w:rsidR="008C0453">
        <w:rPr>
          <w:i/>
          <w:sz w:val="20"/>
        </w:rPr>
        <w:t xml:space="preserve">only </w:t>
      </w:r>
      <w:r w:rsidR="008C0453">
        <w:rPr>
          <w:sz w:val="20"/>
        </w:rPr>
        <w:t xml:space="preserve">procedures used to </w:t>
      </w:r>
      <w:r w:rsidR="008C0453">
        <w:rPr>
          <w:i/>
          <w:sz w:val="20"/>
        </w:rPr>
        <w:t xml:space="preserve">come </w:t>
      </w:r>
      <w:r w:rsidR="008C0453">
        <w:rPr>
          <w:sz w:val="20"/>
        </w:rPr>
        <w:t>to that decision are reviewable</w:t>
      </w:r>
      <w:r w:rsidR="00A71569">
        <w:rPr>
          <w:sz w:val="20"/>
        </w:rPr>
        <w:t xml:space="preserve"> – </w:t>
      </w:r>
      <w:proofErr w:type="spellStart"/>
      <w:r>
        <w:rPr>
          <w:i/>
          <w:sz w:val="20"/>
        </w:rPr>
        <w:t>Auerbach</w:t>
      </w:r>
      <w:proofErr w:type="spellEnd"/>
    </w:p>
    <w:p w14:paraId="345D9DA1" w14:textId="0B32CF24" w:rsidR="008C0453" w:rsidRPr="00FE01E6" w:rsidRDefault="008C0453" w:rsidP="008C0453">
      <w:pPr>
        <w:pStyle w:val="ListParagraph"/>
        <w:numPr>
          <w:ilvl w:val="2"/>
          <w:numId w:val="7"/>
        </w:numPr>
      </w:pPr>
      <w:r>
        <w:rPr>
          <w:sz w:val="20"/>
        </w:rPr>
        <w:t>If procedures are inadequate (indicating bad faith or fraud), a court may intervene</w:t>
      </w:r>
    </w:p>
    <w:p w14:paraId="374142F1" w14:textId="43452319" w:rsidR="00FE01E6" w:rsidRPr="00FE01E6" w:rsidRDefault="00FE01E6" w:rsidP="00FE01E6">
      <w:pPr>
        <w:pStyle w:val="ListParagraph"/>
        <w:numPr>
          <w:ilvl w:val="1"/>
          <w:numId w:val="7"/>
        </w:numPr>
      </w:pPr>
      <w:r>
        <w:rPr>
          <w:sz w:val="20"/>
        </w:rPr>
        <w:t xml:space="preserve">Delaware opts for </w:t>
      </w:r>
      <w:r w:rsidR="00CA1E0F">
        <w:rPr>
          <w:sz w:val="20"/>
        </w:rPr>
        <w:t xml:space="preserve">a different, </w:t>
      </w:r>
      <w:r>
        <w:rPr>
          <w:sz w:val="20"/>
        </w:rPr>
        <w:t>two-step inquiry</w:t>
      </w:r>
      <w:r w:rsidR="00DE1A0A">
        <w:rPr>
          <w:sz w:val="20"/>
        </w:rPr>
        <w:t xml:space="preserve"> (</w:t>
      </w:r>
      <w:r w:rsidR="00DE1A0A">
        <w:rPr>
          <w:i/>
          <w:sz w:val="20"/>
        </w:rPr>
        <w:t>Zapata</w:t>
      </w:r>
      <w:r w:rsidR="00DE1A0A">
        <w:rPr>
          <w:sz w:val="20"/>
        </w:rPr>
        <w:t>)</w:t>
      </w:r>
    </w:p>
    <w:p w14:paraId="0427AB8C" w14:textId="0E3B4200" w:rsidR="00FE01E6" w:rsidRPr="00C0113A" w:rsidRDefault="00CA1E0F" w:rsidP="00FE01E6">
      <w:pPr>
        <w:pStyle w:val="ListParagraph"/>
        <w:numPr>
          <w:ilvl w:val="2"/>
          <w:numId w:val="7"/>
        </w:numPr>
      </w:pPr>
      <w:r>
        <w:rPr>
          <w:sz w:val="20"/>
        </w:rPr>
        <w:t>SLC</w:t>
      </w:r>
      <w:r w:rsidR="0073568A">
        <w:rPr>
          <w:sz w:val="20"/>
        </w:rPr>
        <w:t>’s independence, good faith, &amp;</w:t>
      </w:r>
      <w:r>
        <w:rPr>
          <w:sz w:val="20"/>
        </w:rPr>
        <w:t xml:space="preserve"> bases supporting recommendations are all reviewed</w:t>
      </w:r>
    </w:p>
    <w:p w14:paraId="693A0565" w14:textId="4C74A0AA" w:rsidR="00C0113A" w:rsidRPr="00C0113A" w:rsidRDefault="00C0113A" w:rsidP="00C0113A">
      <w:pPr>
        <w:pStyle w:val="ListParagraph"/>
        <w:numPr>
          <w:ilvl w:val="3"/>
          <w:numId w:val="7"/>
        </w:numPr>
      </w:pPr>
      <w:r>
        <w:rPr>
          <w:sz w:val="20"/>
        </w:rPr>
        <w:t xml:space="preserve">Domination/control </w:t>
      </w:r>
      <w:r w:rsidR="00147EB0">
        <w:rPr>
          <w:sz w:val="20"/>
        </w:rPr>
        <w:t>by an interested party is not sole</w:t>
      </w:r>
      <w:r>
        <w:rPr>
          <w:sz w:val="20"/>
        </w:rPr>
        <w:t xml:space="preserve"> determinant of </w:t>
      </w:r>
      <w:r w:rsidR="00147EB0">
        <w:rPr>
          <w:sz w:val="20"/>
        </w:rPr>
        <w:t>SLC independence</w:t>
      </w:r>
      <w:r>
        <w:rPr>
          <w:sz w:val="20"/>
        </w:rPr>
        <w:t>. Independence</w:t>
      </w:r>
      <w:r w:rsidR="00962B87">
        <w:rPr>
          <w:sz w:val="20"/>
        </w:rPr>
        <w:t xml:space="preserve"> turns on whether a director is</w:t>
      </w:r>
      <w:r>
        <w:rPr>
          <w:sz w:val="20"/>
        </w:rPr>
        <w:t xml:space="preserve"> for </w:t>
      </w:r>
      <w:r>
        <w:rPr>
          <w:i/>
          <w:sz w:val="20"/>
        </w:rPr>
        <w:t xml:space="preserve">any </w:t>
      </w:r>
      <w:r w:rsidR="00962B87">
        <w:rPr>
          <w:sz w:val="20"/>
        </w:rPr>
        <w:t>reason incapable of bearing</w:t>
      </w:r>
      <w:r w:rsidR="00147EB0">
        <w:rPr>
          <w:sz w:val="20"/>
        </w:rPr>
        <w:t xml:space="preserve"> only corporation’s best interests in </w:t>
      </w:r>
      <w:r>
        <w:rPr>
          <w:sz w:val="20"/>
        </w:rPr>
        <w:t xml:space="preserve">mind – </w:t>
      </w:r>
      <w:r>
        <w:rPr>
          <w:i/>
          <w:sz w:val="20"/>
        </w:rPr>
        <w:t>Oracle</w:t>
      </w:r>
      <w:r w:rsidR="00147EB0">
        <w:rPr>
          <w:i/>
          <w:sz w:val="20"/>
        </w:rPr>
        <w:t xml:space="preserve"> </w:t>
      </w:r>
      <w:r w:rsidR="00962B87">
        <w:rPr>
          <w:sz w:val="20"/>
        </w:rPr>
        <w:t>(Stanford professors can’t be on SLC when officers</w:t>
      </w:r>
      <w:r w:rsidR="00147EB0">
        <w:rPr>
          <w:sz w:val="20"/>
        </w:rPr>
        <w:t xml:space="preserve"> make sub</w:t>
      </w:r>
      <w:r w:rsidR="00962B87">
        <w:rPr>
          <w:sz w:val="20"/>
        </w:rPr>
        <w:t>stantial donations</w:t>
      </w:r>
      <w:r w:rsidR="00147EB0">
        <w:rPr>
          <w:sz w:val="20"/>
        </w:rPr>
        <w:t>, SLC members have substantial personal relationships with defendants)</w:t>
      </w:r>
    </w:p>
    <w:p w14:paraId="397876D0" w14:textId="1DFEAC9C" w:rsidR="00C0113A" w:rsidRPr="00147EB0" w:rsidRDefault="00962B87" w:rsidP="00C0113A">
      <w:pPr>
        <w:pStyle w:val="ListParagraph"/>
        <w:numPr>
          <w:ilvl w:val="4"/>
          <w:numId w:val="7"/>
        </w:numPr>
      </w:pPr>
      <w:r>
        <w:rPr>
          <w:sz w:val="20"/>
        </w:rPr>
        <w:t xml:space="preserve">Relationship </w:t>
      </w:r>
      <w:r w:rsidR="00C0113A">
        <w:rPr>
          <w:sz w:val="20"/>
        </w:rPr>
        <w:t>must be of a bias-producing</w:t>
      </w:r>
      <w:r>
        <w:rPr>
          <w:sz w:val="20"/>
        </w:rPr>
        <w:t xml:space="preserve"> nature – personal friendship,</w:t>
      </w:r>
      <w:r w:rsidR="00C0113A">
        <w:rPr>
          <w:sz w:val="20"/>
        </w:rPr>
        <w:t xml:space="preserve"> mere external business relationship is insufficient</w:t>
      </w:r>
      <w:r w:rsidR="00147EB0">
        <w:rPr>
          <w:sz w:val="20"/>
        </w:rPr>
        <w:t xml:space="preserve"> - </w:t>
      </w:r>
      <w:r w:rsidR="00147EB0">
        <w:rPr>
          <w:i/>
          <w:sz w:val="20"/>
        </w:rPr>
        <w:t>Martha Stewart</w:t>
      </w:r>
    </w:p>
    <w:p w14:paraId="3698B3DE" w14:textId="6F350A5C" w:rsidR="00CA1E0F" w:rsidRPr="008F1EDF" w:rsidRDefault="00F63772" w:rsidP="00FE01E6">
      <w:pPr>
        <w:pStyle w:val="ListParagraph"/>
        <w:numPr>
          <w:ilvl w:val="2"/>
          <w:numId w:val="7"/>
        </w:numPr>
      </w:pPr>
      <w:r>
        <w:rPr>
          <w:sz w:val="20"/>
        </w:rPr>
        <w:t>C</w:t>
      </w:r>
      <w:r w:rsidR="00CA1E0F">
        <w:rPr>
          <w:sz w:val="20"/>
        </w:rPr>
        <w:t>ourt applies its own, independent BJ to determine if the SLC’s decision was reasonable</w:t>
      </w:r>
    </w:p>
    <w:p w14:paraId="4D3180FF" w14:textId="1EEF3EB8" w:rsidR="000767BF" w:rsidRDefault="000767BF" w:rsidP="000767BF">
      <w:pPr>
        <w:pStyle w:val="Heading4"/>
        <w:rPr>
          <w:sz w:val="20"/>
        </w:rPr>
      </w:pPr>
      <w:r>
        <w:rPr>
          <w:sz w:val="20"/>
        </w:rPr>
        <w:lastRenderedPageBreak/>
        <w:t>Legal Personality – Purpose of Corporations</w:t>
      </w:r>
    </w:p>
    <w:p w14:paraId="1C89FB6F" w14:textId="5C1491EC" w:rsidR="003B6C17" w:rsidRPr="003B6C17" w:rsidRDefault="003B6C17" w:rsidP="00FD0BEC">
      <w:pPr>
        <w:pStyle w:val="ListParagraph"/>
        <w:numPr>
          <w:ilvl w:val="0"/>
          <w:numId w:val="6"/>
        </w:numPr>
      </w:pPr>
      <w:r>
        <w:rPr>
          <w:sz w:val="20"/>
        </w:rPr>
        <w:t xml:space="preserve">There is a tension between conceptions of corporations as profit-maximizing institutions </w:t>
      </w:r>
      <w:r w:rsidR="00CF5A78">
        <w:rPr>
          <w:sz w:val="20"/>
        </w:rPr>
        <w:t xml:space="preserve">(property model) </w:t>
      </w:r>
      <w:r>
        <w:rPr>
          <w:sz w:val="20"/>
        </w:rPr>
        <w:t>and general welfare promoters</w:t>
      </w:r>
      <w:r w:rsidR="00CF5A78">
        <w:rPr>
          <w:sz w:val="20"/>
        </w:rPr>
        <w:t xml:space="preserve"> (stakeholder model)</w:t>
      </w:r>
    </w:p>
    <w:p w14:paraId="5B45E5CB" w14:textId="0922A43F" w:rsidR="000767BF" w:rsidRPr="003B6C17" w:rsidRDefault="003B6C17" w:rsidP="00263756">
      <w:pPr>
        <w:pStyle w:val="ListParagraph"/>
        <w:numPr>
          <w:ilvl w:val="0"/>
          <w:numId w:val="6"/>
        </w:numPr>
      </w:pPr>
      <w:r>
        <w:rPr>
          <w:sz w:val="20"/>
        </w:rPr>
        <w:t>Corporations have a fiduciary duty to maximize SH value, obey the law (even if disobedience would be profit-maximizing) and meet all obligations to non-SHs</w:t>
      </w:r>
    </w:p>
    <w:p w14:paraId="1103A868" w14:textId="74AAF825" w:rsidR="003B6C17" w:rsidRPr="003B6C17" w:rsidRDefault="003B6C17" w:rsidP="00263756">
      <w:pPr>
        <w:pStyle w:val="ListParagraph"/>
        <w:numPr>
          <w:ilvl w:val="0"/>
          <w:numId w:val="6"/>
        </w:numPr>
      </w:pPr>
      <w:r>
        <w:rPr>
          <w:sz w:val="20"/>
        </w:rPr>
        <w:t>Potential caveats to pure profit maximizations include:</w:t>
      </w:r>
    </w:p>
    <w:p w14:paraId="5DFE8A51" w14:textId="2296195C" w:rsidR="003B6C17" w:rsidRPr="00B2272F" w:rsidRDefault="00683C96" w:rsidP="00263756">
      <w:pPr>
        <w:pStyle w:val="ListParagraph"/>
        <w:numPr>
          <w:ilvl w:val="1"/>
          <w:numId w:val="6"/>
        </w:numPr>
      </w:pPr>
      <w:r>
        <w:rPr>
          <w:sz w:val="20"/>
        </w:rPr>
        <w:t>C</w:t>
      </w:r>
      <w:r w:rsidR="003B6C17">
        <w:rPr>
          <w:sz w:val="20"/>
        </w:rPr>
        <w:t>orpor</w:t>
      </w:r>
      <w:r>
        <w:rPr>
          <w:sz w:val="20"/>
        </w:rPr>
        <w:t>ations may</w:t>
      </w:r>
      <w:r w:rsidR="003B6C17">
        <w:rPr>
          <w:sz w:val="20"/>
        </w:rPr>
        <w:t xml:space="preserve"> engage in (limited) charitable giving</w:t>
      </w:r>
      <w:r w:rsidR="00607C6F">
        <w:rPr>
          <w:sz w:val="20"/>
        </w:rPr>
        <w:t xml:space="preserve"> – DGCL §122(9)</w:t>
      </w:r>
    </w:p>
    <w:p w14:paraId="7D816AD7" w14:textId="43ACB5D6" w:rsidR="00B2272F" w:rsidRPr="00607C6F" w:rsidRDefault="00B2272F" w:rsidP="00263756">
      <w:pPr>
        <w:pStyle w:val="ListParagraph"/>
        <w:numPr>
          <w:ilvl w:val="2"/>
          <w:numId w:val="6"/>
        </w:numPr>
      </w:pPr>
      <w:r>
        <w:rPr>
          <w:sz w:val="20"/>
        </w:rPr>
        <w:t>Might lead to increased giving (but only to charities that directors favor (highbrow charities at the expense of religious charities)</w:t>
      </w:r>
    </w:p>
    <w:p w14:paraId="53C8AED5" w14:textId="63FA652B" w:rsidR="00607C6F" w:rsidRPr="00607C6F" w:rsidRDefault="00607C6F" w:rsidP="00263756">
      <w:pPr>
        <w:pStyle w:val="ListParagraph"/>
        <w:numPr>
          <w:ilvl w:val="2"/>
          <w:numId w:val="6"/>
        </w:numPr>
      </w:pPr>
      <w:r>
        <w:rPr>
          <w:sz w:val="20"/>
        </w:rPr>
        <w:t xml:space="preserve">Corporations have implied power to pursue goals within the public interest that will benefit the corporations in the long run – </w:t>
      </w:r>
      <w:r>
        <w:rPr>
          <w:i/>
          <w:sz w:val="20"/>
        </w:rPr>
        <w:t>A.P. Smith</w:t>
      </w:r>
      <w:r>
        <w:rPr>
          <w:sz w:val="20"/>
        </w:rPr>
        <w:t xml:space="preserve"> (donation to Princeton)</w:t>
      </w:r>
    </w:p>
    <w:p w14:paraId="18081D48" w14:textId="2B9955F2" w:rsidR="00607C6F" w:rsidRPr="00607C6F" w:rsidRDefault="00607C6F" w:rsidP="00263756">
      <w:pPr>
        <w:pStyle w:val="ListParagraph"/>
        <w:numPr>
          <w:ilvl w:val="3"/>
          <w:numId w:val="6"/>
        </w:numPr>
      </w:pPr>
      <w:r>
        <w:rPr>
          <w:sz w:val="20"/>
        </w:rPr>
        <w:t>Example of BJ deference</w:t>
      </w:r>
    </w:p>
    <w:p w14:paraId="3482F936" w14:textId="6917003B" w:rsidR="00607C6F" w:rsidRPr="003B6C17" w:rsidRDefault="00607C6F" w:rsidP="00263756">
      <w:pPr>
        <w:pStyle w:val="ListParagraph"/>
        <w:numPr>
          <w:ilvl w:val="3"/>
          <w:numId w:val="6"/>
        </w:numPr>
      </w:pPr>
      <w:r>
        <w:rPr>
          <w:sz w:val="20"/>
        </w:rPr>
        <w:t>Since corporations are creatures of statute, legislature has an implied reserved power to alter terms of incorporation at any time – simply part of the deal SHs agreed to on buying stock</w:t>
      </w:r>
    </w:p>
    <w:p w14:paraId="4048EC51" w14:textId="31FA4485" w:rsidR="003B6C17" w:rsidRPr="00B2272F" w:rsidRDefault="00683C96" w:rsidP="00263756">
      <w:pPr>
        <w:pStyle w:val="ListParagraph"/>
        <w:numPr>
          <w:ilvl w:val="1"/>
          <w:numId w:val="6"/>
        </w:numPr>
      </w:pPr>
      <w:r>
        <w:rPr>
          <w:sz w:val="20"/>
        </w:rPr>
        <w:t>Company may</w:t>
      </w:r>
      <w:r w:rsidR="00F856DC">
        <w:rPr>
          <w:sz w:val="20"/>
        </w:rPr>
        <w:t xml:space="preserve"> end</w:t>
      </w:r>
      <w:r w:rsidR="003B6C17">
        <w:rPr>
          <w:sz w:val="20"/>
        </w:rPr>
        <w:t xml:space="preserve"> seriously unethical actions (mat</w:t>
      </w:r>
      <w:r>
        <w:rPr>
          <w:sz w:val="20"/>
        </w:rPr>
        <w:t>ter</w:t>
      </w:r>
      <w:r w:rsidR="003B6C17">
        <w:rPr>
          <w:sz w:val="20"/>
        </w:rPr>
        <w:t xml:space="preserve"> of conscience exception)</w:t>
      </w:r>
    </w:p>
    <w:p w14:paraId="69237EC7" w14:textId="28B346F7" w:rsidR="00B2272F" w:rsidRPr="00607C6F" w:rsidRDefault="0073568A" w:rsidP="00263756">
      <w:pPr>
        <w:pStyle w:val="ListParagraph"/>
        <w:numPr>
          <w:ilvl w:val="2"/>
          <w:numId w:val="6"/>
        </w:numPr>
      </w:pPr>
      <w:r>
        <w:rPr>
          <w:sz w:val="20"/>
        </w:rPr>
        <w:t>R</w:t>
      </w:r>
      <w:r w:rsidR="00B2272F">
        <w:rPr>
          <w:sz w:val="20"/>
        </w:rPr>
        <w:t>esisting takeover attempts to protect workers’ jobs?</w:t>
      </w:r>
      <w:r w:rsidR="00607C6F">
        <w:rPr>
          <w:sz w:val="20"/>
        </w:rPr>
        <w:t xml:space="preserve"> Voluntary pollution reduction? </w:t>
      </w:r>
    </w:p>
    <w:p w14:paraId="1B19B29C" w14:textId="0FD2B457" w:rsidR="00607C6F" w:rsidRPr="00F61582" w:rsidRDefault="00EA714E" w:rsidP="00263756">
      <w:pPr>
        <w:pStyle w:val="ListParagraph"/>
        <w:numPr>
          <w:ilvl w:val="3"/>
          <w:numId w:val="6"/>
        </w:numPr>
      </w:pPr>
      <w:r>
        <w:rPr>
          <w:sz w:val="20"/>
        </w:rPr>
        <w:t xml:space="preserve">BoD may not </w:t>
      </w:r>
      <w:r w:rsidR="00F61582">
        <w:rPr>
          <w:sz w:val="20"/>
        </w:rPr>
        <w:t>change the corporation’s primary purpos</w:t>
      </w:r>
      <w:r>
        <w:rPr>
          <w:sz w:val="20"/>
        </w:rPr>
        <w:t xml:space="preserve">e to benefiting others, providing only </w:t>
      </w:r>
      <w:r w:rsidR="00F61582">
        <w:rPr>
          <w:sz w:val="20"/>
        </w:rPr>
        <w:t xml:space="preserve">incidental benefits inure to SHs– </w:t>
      </w:r>
      <w:r w:rsidR="00F61582">
        <w:rPr>
          <w:i/>
          <w:sz w:val="20"/>
        </w:rPr>
        <w:t>Dodge v. Ford</w:t>
      </w:r>
    </w:p>
    <w:p w14:paraId="4013EABB" w14:textId="7C635E18" w:rsidR="00F61582" w:rsidRPr="00F61582" w:rsidRDefault="00F61582" w:rsidP="00263756">
      <w:pPr>
        <w:pStyle w:val="ListParagraph"/>
        <w:numPr>
          <w:ilvl w:val="4"/>
          <w:numId w:val="6"/>
        </w:numPr>
      </w:pPr>
      <w:r>
        <w:rPr>
          <w:sz w:val="20"/>
        </w:rPr>
        <w:t>Can the result here be partially explained by FCL?</w:t>
      </w:r>
    </w:p>
    <w:p w14:paraId="0B1DB64F" w14:textId="07AD29C1" w:rsidR="00F61582" w:rsidRPr="00263756" w:rsidRDefault="00F61582" w:rsidP="00263756">
      <w:pPr>
        <w:pStyle w:val="ListParagraph"/>
        <w:numPr>
          <w:ilvl w:val="4"/>
          <w:numId w:val="6"/>
        </w:numPr>
      </w:pPr>
      <w:r>
        <w:rPr>
          <w:sz w:val="20"/>
        </w:rPr>
        <w:t xml:space="preserve">Ford probably could have gotten away with </w:t>
      </w:r>
      <w:r w:rsidR="0073568A">
        <w:rPr>
          <w:sz w:val="20"/>
        </w:rPr>
        <w:t>this if he’d stated “r</w:t>
      </w:r>
      <w:r>
        <w:rPr>
          <w:sz w:val="20"/>
        </w:rPr>
        <w:t>eal</w:t>
      </w:r>
      <w:r w:rsidR="007E640C">
        <w:rPr>
          <w:sz w:val="20"/>
        </w:rPr>
        <w:t>”</w:t>
      </w:r>
      <w:r>
        <w:rPr>
          <w:sz w:val="20"/>
        </w:rPr>
        <w:t xml:space="preserve"> reason for</w:t>
      </w:r>
      <w:r w:rsidR="00263756">
        <w:rPr>
          <w:sz w:val="20"/>
        </w:rPr>
        <w:t xml:space="preserve"> dividend</w:t>
      </w:r>
      <w:r>
        <w:rPr>
          <w:sz w:val="20"/>
        </w:rPr>
        <w:t xml:space="preserve"> plowback – keep money out of Dodge hands (which they planned to use to start a competitor)</w:t>
      </w:r>
    </w:p>
    <w:p w14:paraId="3B178FE0" w14:textId="50BC5163" w:rsidR="00263756" w:rsidRPr="002D553C" w:rsidRDefault="00263756" w:rsidP="00263756">
      <w:pPr>
        <w:pStyle w:val="ListParagraph"/>
        <w:numPr>
          <w:ilvl w:val="4"/>
          <w:numId w:val="6"/>
        </w:numPr>
      </w:pPr>
      <w:r>
        <w:rPr>
          <w:sz w:val="20"/>
        </w:rPr>
        <w:t>Otherwise questionable undertaking might be permitted if ultim</w:t>
      </w:r>
      <w:r w:rsidR="002C70E9">
        <w:rPr>
          <w:sz w:val="20"/>
        </w:rPr>
        <w:t>ate result is uncertain (expanding</w:t>
      </w:r>
      <w:r w:rsidR="000E57AA">
        <w:rPr>
          <w:sz w:val="20"/>
        </w:rPr>
        <w:t xml:space="preserve"> capacity to meet</w:t>
      </w:r>
      <w:r>
        <w:rPr>
          <w:sz w:val="20"/>
        </w:rPr>
        <w:t xml:space="preserve"> increasing demand)</w:t>
      </w:r>
    </w:p>
    <w:p w14:paraId="695E720E" w14:textId="632D3A9E" w:rsidR="002D553C" w:rsidRPr="00042C78" w:rsidRDefault="002D553C" w:rsidP="00263756">
      <w:pPr>
        <w:pStyle w:val="ListParagraph"/>
        <w:numPr>
          <w:ilvl w:val="0"/>
          <w:numId w:val="6"/>
        </w:numPr>
      </w:pPr>
      <w:r>
        <w:rPr>
          <w:sz w:val="20"/>
        </w:rPr>
        <w:t>Legislators should optimize ability f</w:t>
      </w:r>
      <w:r w:rsidR="00263756">
        <w:rPr>
          <w:sz w:val="20"/>
        </w:rPr>
        <w:t>or corporations to improve</w:t>
      </w:r>
      <w:r>
        <w:rPr>
          <w:sz w:val="20"/>
        </w:rPr>
        <w:t xml:space="preserve"> w</w:t>
      </w:r>
      <w:r w:rsidR="00263756">
        <w:rPr>
          <w:sz w:val="20"/>
        </w:rPr>
        <w:t>elfare while meeting</w:t>
      </w:r>
      <w:r>
        <w:rPr>
          <w:sz w:val="20"/>
        </w:rPr>
        <w:t xml:space="preserve"> fiduciary obligations</w:t>
      </w:r>
    </w:p>
    <w:p w14:paraId="592EA5D3" w14:textId="21047621" w:rsidR="00042C78" w:rsidRPr="00042C78" w:rsidRDefault="00042C78" w:rsidP="00263756">
      <w:pPr>
        <w:pStyle w:val="ListParagraph"/>
        <w:numPr>
          <w:ilvl w:val="0"/>
          <w:numId w:val="6"/>
        </w:numPr>
      </w:pPr>
      <w:r>
        <w:rPr>
          <w:sz w:val="20"/>
        </w:rPr>
        <w:t xml:space="preserve">Courts will not interfere with directors’ judgment absent a showing of fraud, illegality, or conflict of interest – </w:t>
      </w:r>
      <w:r>
        <w:rPr>
          <w:i/>
          <w:sz w:val="20"/>
        </w:rPr>
        <w:t>Wrigley</w:t>
      </w:r>
      <w:r w:rsidR="00EA62BC">
        <w:rPr>
          <w:i/>
          <w:sz w:val="20"/>
        </w:rPr>
        <w:t xml:space="preserve"> </w:t>
      </w:r>
      <w:r w:rsidR="00EA62BC">
        <w:rPr>
          <w:sz w:val="20"/>
        </w:rPr>
        <w:t>(failure to install lights for Cubs night games</w:t>
      </w:r>
      <w:r w:rsidR="00140323">
        <w:rPr>
          <w:sz w:val="20"/>
        </w:rPr>
        <w:t xml:space="preserve"> out of concern for community</w:t>
      </w:r>
      <w:r w:rsidR="00EA62BC">
        <w:rPr>
          <w:sz w:val="20"/>
        </w:rPr>
        <w:t>)</w:t>
      </w:r>
    </w:p>
    <w:p w14:paraId="0BF747FB" w14:textId="1F232647" w:rsidR="00042C78" w:rsidRDefault="00042C78" w:rsidP="00042C78">
      <w:pPr>
        <w:pStyle w:val="ListParagraph"/>
        <w:numPr>
          <w:ilvl w:val="1"/>
          <w:numId w:val="6"/>
        </w:numPr>
      </w:pPr>
      <w:r>
        <w:rPr>
          <w:sz w:val="20"/>
        </w:rPr>
        <w:t>Plaintiffs must do more than show that a different decision could have been made – a more direct attack, showing that actions demonstrate a lack of interest in profits is necessary</w:t>
      </w:r>
    </w:p>
    <w:p w14:paraId="01B876A4" w14:textId="11B245AF" w:rsidR="000767BF" w:rsidRDefault="000767BF" w:rsidP="000767BF">
      <w:pPr>
        <w:pStyle w:val="Heading3"/>
        <w:rPr>
          <w:sz w:val="22"/>
        </w:rPr>
      </w:pPr>
      <w:r w:rsidRPr="000767BF">
        <w:rPr>
          <w:sz w:val="22"/>
        </w:rPr>
        <w:t>Fiduciary Duties</w:t>
      </w:r>
    </w:p>
    <w:p w14:paraId="74812FA6" w14:textId="739D12D2" w:rsidR="00453011" w:rsidRPr="00453011" w:rsidRDefault="00453011" w:rsidP="00453011">
      <w:pPr>
        <w:pStyle w:val="ListParagraph"/>
        <w:numPr>
          <w:ilvl w:val="0"/>
          <w:numId w:val="9"/>
        </w:numPr>
      </w:pPr>
      <w:r>
        <w:rPr>
          <w:sz w:val="20"/>
        </w:rPr>
        <w:t xml:space="preserve">Duties are generally </w:t>
      </w:r>
      <w:r w:rsidR="002C70E9">
        <w:rPr>
          <w:sz w:val="20"/>
        </w:rPr>
        <w:t>owed only to SHs</w:t>
      </w:r>
      <w:r>
        <w:rPr>
          <w:sz w:val="20"/>
        </w:rPr>
        <w:t>. However, in some circumstances, duti</w:t>
      </w:r>
      <w:r w:rsidR="002C70E9">
        <w:rPr>
          <w:sz w:val="20"/>
        </w:rPr>
        <w:t>es may be owed to others</w:t>
      </w:r>
    </w:p>
    <w:p w14:paraId="0B06A111" w14:textId="7204746F" w:rsidR="00453011" w:rsidRPr="00453011" w:rsidRDefault="00453011" w:rsidP="00453011">
      <w:pPr>
        <w:pStyle w:val="ListParagraph"/>
        <w:numPr>
          <w:ilvl w:val="1"/>
          <w:numId w:val="9"/>
        </w:numPr>
      </w:pPr>
      <w:r>
        <w:rPr>
          <w:sz w:val="20"/>
        </w:rPr>
        <w:t xml:space="preserve">If insolvent, directors may have a duty to creditors – </w:t>
      </w:r>
      <w:r>
        <w:rPr>
          <w:i/>
          <w:sz w:val="20"/>
        </w:rPr>
        <w:t>Francis v. United Jersey Bank</w:t>
      </w:r>
    </w:p>
    <w:p w14:paraId="2FF3AE2D" w14:textId="703E2485" w:rsidR="00453011" w:rsidRPr="00453011" w:rsidRDefault="004A15F7" w:rsidP="00453011">
      <w:pPr>
        <w:pStyle w:val="ListParagraph"/>
        <w:numPr>
          <w:ilvl w:val="1"/>
          <w:numId w:val="9"/>
        </w:numPr>
      </w:pPr>
      <w:r>
        <w:rPr>
          <w:sz w:val="20"/>
        </w:rPr>
        <w:t xml:space="preserve">Director of banks, </w:t>
      </w:r>
      <w:r w:rsidR="00453011">
        <w:rPr>
          <w:sz w:val="20"/>
        </w:rPr>
        <w:t>simi</w:t>
      </w:r>
      <w:r>
        <w:rPr>
          <w:sz w:val="20"/>
        </w:rPr>
        <w:t xml:space="preserve">lar institutions may owe </w:t>
      </w:r>
      <w:r w:rsidR="00453011">
        <w:rPr>
          <w:sz w:val="20"/>
        </w:rPr>
        <w:t xml:space="preserve">duties </w:t>
      </w:r>
      <w:r>
        <w:rPr>
          <w:sz w:val="20"/>
        </w:rPr>
        <w:t>to those whose funds are held</w:t>
      </w:r>
      <w:r w:rsidR="00453011">
        <w:rPr>
          <w:sz w:val="20"/>
        </w:rPr>
        <w:t xml:space="preserve"> in trust</w:t>
      </w:r>
    </w:p>
    <w:p w14:paraId="4BD9B4FF" w14:textId="3B40271F" w:rsidR="000767BF" w:rsidRDefault="000767BF" w:rsidP="000767BF">
      <w:pPr>
        <w:pStyle w:val="Heading4"/>
        <w:rPr>
          <w:sz w:val="20"/>
        </w:rPr>
      </w:pPr>
      <w:r w:rsidRPr="000767BF">
        <w:rPr>
          <w:sz w:val="20"/>
        </w:rPr>
        <w:t>Duty of Care</w:t>
      </w:r>
    </w:p>
    <w:p w14:paraId="2729A801" w14:textId="015963B0" w:rsidR="00042C78" w:rsidRPr="008A4A53" w:rsidRDefault="001C59E8" w:rsidP="00042C78">
      <w:pPr>
        <w:pStyle w:val="ListParagraph"/>
        <w:numPr>
          <w:ilvl w:val="0"/>
          <w:numId w:val="8"/>
        </w:numPr>
      </w:pPr>
      <w:r>
        <w:rPr>
          <w:sz w:val="20"/>
        </w:rPr>
        <w:t xml:space="preserve">Mere errors in judgment are an insufficient basis for courts to insert themselves in corporate governance (such as declaration of dividends) – </w:t>
      </w:r>
      <w:proofErr w:type="spellStart"/>
      <w:r>
        <w:rPr>
          <w:i/>
          <w:sz w:val="20"/>
        </w:rPr>
        <w:t>Kamin</w:t>
      </w:r>
      <w:proofErr w:type="spellEnd"/>
      <w:r>
        <w:rPr>
          <w:i/>
          <w:sz w:val="20"/>
        </w:rPr>
        <w:t xml:space="preserve"> v. AmEx</w:t>
      </w:r>
      <w:r w:rsidR="00631F63">
        <w:rPr>
          <w:i/>
          <w:sz w:val="20"/>
        </w:rPr>
        <w:t xml:space="preserve"> </w:t>
      </w:r>
      <w:r w:rsidR="00631F63">
        <w:rPr>
          <w:sz w:val="20"/>
        </w:rPr>
        <w:t>(bad choice on form of dividend was not breach)</w:t>
      </w:r>
    </w:p>
    <w:p w14:paraId="7F877D2D" w14:textId="3CAF1EC4" w:rsidR="00453011" w:rsidRPr="00BA0DC6" w:rsidRDefault="00453011" w:rsidP="00453011">
      <w:pPr>
        <w:pStyle w:val="ListParagraph"/>
        <w:numPr>
          <w:ilvl w:val="1"/>
          <w:numId w:val="8"/>
        </w:numPr>
      </w:pPr>
      <w:r>
        <w:rPr>
          <w:sz w:val="20"/>
        </w:rPr>
        <w:t>F</w:t>
      </w:r>
      <w:r w:rsidR="008A4A53">
        <w:rPr>
          <w:sz w:val="20"/>
        </w:rPr>
        <w:t>raud, illegality, self-dealing, bad faith or non-</w:t>
      </w:r>
      <w:proofErr w:type="spellStart"/>
      <w:r w:rsidR="008A4A53">
        <w:rPr>
          <w:sz w:val="20"/>
        </w:rPr>
        <w:t>feasance</w:t>
      </w:r>
      <w:proofErr w:type="spellEnd"/>
      <w:r w:rsidR="008A4A53">
        <w:rPr>
          <w:sz w:val="20"/>
        </w:rPr>
        <w:t xml:space="preserve"> must be s</w:t>
      </w:r>
      <w:r>
        <w:rPr>
          <w:sz w:val="20"/>
        </w:rPr>
        <w:t>hown to rebut</w:t>
      </w:r>
      <w:r w:rsidR="008A4A53">
        <w:rPr>
          <w:sz w:val="20"/>
        </w:rPr>
        <w:t xml:space="preserve"> BJR</w:t>
      </w:r>
    </w:p>
    <w:p w14:paraId="253C2962" w14:textId="67C92D69" w:rsidR="00BA0DC6" w:rsidRPr="00D526CA" w:rsidRDefault="00BA0DC6" w:rsidP="00453011">
      <w:pPr>
        <w:pStyle w:val="ListParagraph"/>
        <w:numPr>
          <w:ilvl w:val="1"/>
          <w:numId w:val="8"/>
        </w:numPr>
      </w:pPr>
      <w:r>
        <w:rPr>
          <w:sz w:val="20"/>
        </w:rPr>
        <w:t xml:space="preserve">Directors owe the duty of care that a businessman of ordinary prudence would exercise in the management of his own affairs – </w:t>
      </w:r>
      <w:r>
        <w:rPr>
          <w:i/>
          <w:sz w:val="20"/>
        </w:rPr>
        <w:t>Francis v. United Jersey Bank</w:t>
      </w:r>
    </w:p>
    <w:p w14:paraId="338C9B63" w14:textId="77777777" w:rsidR="00453011" w:rsidRPr="00183FBC" w:rsidRDefault="00453011" w:rsidP="00453011">
      <w:pPr>
        <w:pStyle w:val="ListParagraph"/>
        <w:numPr>
          <w:ilvl w:val="0"/>
          <w:numId w:val="8"/>
        </w:numPr>
      </w:pPr>
      <w:r>
        <w:rPr>
          <w:sz w:val="20"/>
        </w:rPr>
        <w:t xml:space="preserve">Plaintiffs can show duty of care violation (around BJR) if they effectively attack decision-making </w:t>
      </w:r>
      <w:r>
        <w:rPr>
          <w:i/>
          <w:sz w:val="20"/>
        </w:rPr>
        <w:t xml:space="preserve">process </w:t>
      </w:r>
      <w:r>
        <w:rPr>
          <w:sz w:val="20"/>
        </w:rPr>
        <w:t>- NOT substantive merits</w:t>
      </w:r>
    </w:p>
    <w:p w14:paraId="5EDC3626" w14:textId="2418BFD7" w:rsidR="00453011" w:rsidRPr="00453011" w:rsidRDefault="00453011" w:rsidP="00453011">
      <w:pPr>
        <w:pStyle w:val="ListParagraph"/>
        <w:numPr>
          <w:ilvl w:val="1"/>
          <w:numId w:val="8"/>
        </w:numPr>
      </w:pPr>
      <w:r>
        <w:rPr>
          <w:sz w:val="20"/>
        </w:rPr>
        <w:t>The party attacking a board’s decision as uninformed bears the burden of proving that the business judgment was informed</w:t>
      </w:r>
      <w:r w:rsidR="0059043B">
        <w:rPr>
          <w:sz w:val="20"/>
        </w:rPr>
        <w:t>, and that the lack of information proximately caused harm</w:t>
      </w:r>
    </w:p>
    <w:p w14:paraId="6C880E40" w14:textId="6B2E00A9" w:rsidR="00453011" w:rsidRPr="00D76E15" w:rsidRDefault="00453011" w:rsidP="00453011">
      <w:pPr>
        <w:pStyle w:val="ListParagraph"/>
        <w:numPr>
          <w:ilvl w:val="1"/>
          <w:numId w:val="8"/>
        </w:numPr>
      </w:pPr>
      <w:r>
        <w:rPr>
          <w:sz w:val="20"/>
        </w:rPr>
        <w:t>If successful in attacking BJR presumption, burden shifts to directors to prove transaction meets burden of “entire fairness”</w:t>
      </w:r>
    </w:p>
    <w:p w14:paraId="3A979E2B" w14:textId="77777777" w:rsidR="00453011" w:rsidRPr="00140323" w:rsidRDefault="00453011" w:rsidP="00453011">
      <w:pPr>
        <w:pStyle w:val="ListParagraph"/>
        <w:numPr>
          <w:ilvl w:val="2"/>
          <w:numId w:val="8"/>
        </w:numPr>
      </w:pPr>
      <w:r>
        <w:rPr>
          <w:sz w:val="20"/>
        </w:rPr>
        <w:lastRenderedPageBreak/>
        <w:t xml:space="preserve">Elements to consider include timing, initiation, negotiation, structure, disclosure to/approval by directors </w:t>
      </w:r>
      <w:r>
        <w:rPr>
          <w:i/>
          <w:sz w:val="20"/>
        </w:rPr>
        <w:t xml:space="preserve">and </w:t>
      </w:r>
      <w:r>
        <w:rPr>
          <w:sz w:val="20"/>
        </w:rPr>
        <w:t xml:space="preserve">SHs – </w:t>
      </w:r>
      <w:r>
        <w:rPr>
          <w:i/>
          <w:sz w:val="20"/>
        </w:rPr>
        <w:t>Cinerama v. Technicolor</w:t>
      </w:r>
    </w:p>
    <w:p w14:paraId="490F42C8" w14:textId="77777777" w:rsidR="00D526CA" w:rsidRPr="00F63CC7" w:rsidRDefault="00D526CA" w:rsidP="00D526CA">
      <w:pPr>
        <w:pStyle w:val="ListParagraph"/>
        <w:numPr>
          <w:ilvl w:val="1"/>
          <w:numId w:val="8"/>
        </w:numPr>
      </w:pPr>
      <w:r>
        <w:rPr>
          <w:sz w:val="20"/>
        </w:rPr>
        <w:t xml:space="preserve">SH ratification only cures breach of duty of care if the ratification is made by SHs fully informed about </w:t>
      </w:r>
      <w:r>
        <w:rPr>
          <w:i/>
          <w:sz w:val="20"/>
        </w:rPr>
        <w:t xml:space="preserve">all material facts </w:t>
      </w:r>
      <w:r>
        <w:rPr>
          <w:sz w:val="20"/>
        </w:rPr>
        <w:t xml:space="preserve">surrounding the transaction – </w:t>
      </w:r>
      <w:r>
        <w:rPr>
          <w:i/>
          <w:sz w:val="20"/>
        </w:rPr>
        <w:t xml:space="preserve">Van </w:t>
      </w:r>
      <w:proofErr w:type="spellStart"/>
      <w:r>
        <w:rPr>
          <w:i/>
          <w:sz w:val="20"/>
        </w:rPr>
        <w:t>Gorkom</w:t>
      </w:r>
      <w:proofErr w:type="spellEnd"/>
    </w:p>
    <w:p w14:paraId="1B4CD019" w14:textId="51D15BEC" w:rsidR="00D526CA" w:rsidRPr="008A4A53" w:rsidRDefault="00D526CA" w:rsidP="00C639BC">
      <w:pPr>
        <w:pStyle w:val="ListParagraph"/>
        <w:numPr>
          <w:ilvl w:val="1"/>
          <w:numId w:val="8"/>
        </w:numPr>
      </w:pPr>
      <w:r>
        <w:rPr>
          <w:sz w:val="20"/>
        </w:rPr>
        <w:t xml:space="preserve">If SHs have ratified the transaction, </w:t>
      </w:r>
      <w:r w:rsidR="000B6727">
        <w:rPr>
          <w:sz w:val="20"/>
        </w:rPr>
        <w:t>the duty of care clai</w:t>
      </w:r>
      <w:r w:rsidR="00C87ED2">
        <w:rPr>
          <w:sz w:val="20"/>
        </w:rPr>
        <w:t>m is</w:t>
      </w:r>
      <w:r w:rsidR="000B6727">
        <w:rPr>
          <w:sz w:val="20"/>
        </w:rPr>
        <w:t xml:space="preserve"> extinguished - </w:t>
      </w:r>
      <w:proofErr w:type="spellStart"/>
      <w:r w:rsidR="000E6E56">
        <w:rPr>
          <w:i/>
          <w:sz w:val="20"/>
        </w:rPr>
        <w:t>Whee</w:t>
      </w:r>
      <w:r w:rsidR="000B6727">
        <w:rPr>
          <w:i/>
          <w:sz w:val="20"/>
        </w:rPr>
        <w:t>labrator</w:t>
      </w:r>
      <w:proofErr w:type="spellEnd"/>
    </w:p>
    <w:p w14:paraId="30C460B8" w14:textId="1E90E84E" w:rsidR="000163A0" w:rsidRPr="000163A0" w:rsidRDefault="00D526CA" w:rsidP="000163A0">
      <w:pPr>
        <w:pStyle w:val="ListParagraph"/>
        <w:numPr>
          <w:ilvl w:val="0"/>
          <w:numId w:val="8"/>
        </w:numPr>
      </w:pPr>
      <w:r>
        <w:rPr>
          <w:sz w:val="20"/>
        </w:rPr>
        <w:t xml:space="preserve">Directors violate </w:t>
      </w:r>
      <w:r w:rsidR="000163A0">
        <w:rPr>
          <w:sz w:val="20"/>
        </w:rPr>
        <w:t>duty of care</w:t>
      </w:r>
      <w:r>
        <w:rPr>
          <w:sz w:val="20"/>
        </w:rPr>
        <w:t xml:space="preserve"> when they make unintelligent/</w:t>
      </w:r>
      <w:r w:rsidR="000163A0">
        <w:rPr>
          <w:sz w:val="20"/>
        </w:rPr>
        <w:t xml:space="preserve">uninformed judgment – </w:t>
      </w:r>
      <w:r w:rsidR="000163A0">
        <w:rPr>
          <w:i/>
          <w:sz w:val="20"/>
        </w:rPr>
        <w:t xml:space="preserve">Smith v. Van </w:t>
      </w:r>
      <w:proofErr w:type="spellStart"/>
      <w:r w:rsidR="000163A0">
        <w:rPr>
          <w:i/>
          <w:sz w:val="20"/>
        </w:rPr>
        <w:t>Gorkom</w:t>
      </w:r>
      <w:proofErr w:type="spellEnd"/>
    </w:p>
    <w:p w14:paraId="475FEE2A" w14:textId="2684DEDA" w:rsidR="000163A0" w:rsidRPr="000163A0" w:rsidRDefault="00183FBC" w:rsidP="000163A0">
      <w:pPr>
        <w:pStyle w:val="ListParagraph"/>
        <w:numPr>
          <w:ilvl w:val="1"/>
          <w:numId w:val="8"/>
        </w:numPr>
      </w:pPr>
      <w:r>
        <w:rPr>
          <w:sz w:val="20"/>
        </w:rPr>
        <w:t>Could</w:t>
      </w:r>
      <w:r w:rsidR="000163A0">
        <w:rPr>
          <w:sz w:val="20"/>
        </w:rPr>
        <w:t xml:space="preserve"> be characterized as a breach of duty of care (for lack of information) or breach of duty to disclose (lack of material information about the proposed merger to SHs)</w:t>
      </w:r>
    </w:p>
    <w:p w14:paraId="679906A3" w14:textId="56BC5237" w:rsidR="000163A0" w:rsidRPr="00991DB1" w:rsidRDefault="000163A0" w:rsidP="000163A0">
      <w:pPr>
        <w:pStyle w:val="ListParagraph"/>
        <w:numPr>
          <w:ilvl w:val="1"/>
          <w:numId w:val="8"/>
        </w:numPr>
      </w:pPr>
      <w:r>
        <w:rPr>
          <w:sz w:val="20"/>
        </w:rPr>
        <w:t xml:space="preserve">Directors may not abdicate </w:t>
      </w:r>
      <w:r w:rsidR="00D526CA">
        <w:rPr>
          <w:sz w:val="20"/>
        </w:rPr>
        <w:t>decision</w:t>
      </w:r>
      <w:r>
        <w:rPr>
          <w:sz w:val="20"/>
        </w:rPr>
        <w:t xml:space="preserve"> to </w:t>
      </w:r>
      <w:r w:rsidR="00D526CA">
        <w:rPr>
          <w:sz w:val="20"/>
        </w:rPr>
        <w:t>SHs</w:t>
      </w:r>
      <w:r>
        <w:rPr>
          <w:sz w:val="20"/>
        </w:rPr>
        <w:t xml:space="preserve"> to approve or disapprove of the agreement</w:t>
      </w:r>
    </w:p>
    <w:p w14:paraId="396CA075" w14:textId="7E7E15AE" w:rsidR="00991DB1" w:rsidRPr="00991DB1" w:rsidRDefault="00991DB1" w:rsidP="00991DB1">
      <w:pPr>
        <w:pStyle w:val="ListParagraph"/>
        <w:numPr>
          <w:ilvl w:val="1"/>
          <w:numId w:val="8"/>
        </w:numPr>
      </w:pPr>
      <w:r>
        <w:rPr>
          <w:sz w:val="20"/>
        </w:rPr>
        <w:t>Although directors can rely in good faith on reports made by officers (DGCL §141(e)), if the “report” is made by a similarly uninformed director, there is no protection</w:t>
      </w:r>
    </w:p>
    <w:p w14:paraId="4612AE58" w14:textId="6150B045" w:rsidR="00991DB1" w:rsidRPr="00991DB1" w:rsidRDefault="00991DB1" w:rsidP="00991DB1">
      <w:pPr>
        <w:pStyle w:val="ListParagraph"/>
        <w:numPr>
          <w:ilvl w:val="1"/>
          <w:numId w:val="8"/>
        </w:numPr>
      </w:pPr>
      <w:r>
        <w:rPr>
          <w:sz w:val="20"/>
        </w:rPr>
        <w:t xml:space="preserve">Absence of several key methods of ensuring transactional fairness (fairness opinions, cursory oral presentations and inadequate time to review prepared materials, half-baked market auction) </w:t>
      </w:r>
      <w:r w:rsidR="00D04D5B">
        <w:rPr>
          <w:sz w:val="20"/>
        </w:rPr>
        <w:t>undercut</w:t>
      </w:r>
      <w:r>
        <w:rPr>
          <w:sz w:val="20"/>
        </w:rPr>
        <w:t xml:space="preserve"> directors’ </w:t>
      </w:r>
      <w:r w:rsidR="004A15F7">
        <w:rPr>
          <w:sz w:val="20"/>
        </w:rPr>
        <w:t xml:space="preserve">claims of informed judgment in </w:t>
      </w:r>
      <w:r w:rsidR="004A15F7">
        <w:rPr>
          <w:i/>
          <w:sz w:val="20"/>
        </w:rPr>
        <w:t xml:space="preserve">Van </w:t>
      </w:r>
      <w:proofErr w:type="spellStart"/>
      <w:r w:rsidR="004A15F7">
        <w:rPr>
          <w:i/>
          <w:sz w:val="20"/>
        </w:rPr>
        <w:t>Gorkom</w:t>
      </w:r>
      <w:proofErr w:type="spellEnd"/>
    </w:p>
    <w:p w14:paraId="6F99EE55" w14:textId="345BC5B4" w:rsidR="00991DB1" w:rsidRPr="00991DB1" w:rsidRDefault="00352A52" w:rsidP="00991DB1">
      <w:pPr>
        <w:pStyle w:val="ListParagraph"/>
        <w:numPr>
          <w:ilvl w:val="2"/>
          <w:numId w:val="8"/>
        </w:numPr>
      </w:pPr>
      <w:r>
        <w:rPr>
          <w:sz w:val="20"/>
        </w:rPr>
        <w:t>Increases role for</w:t>
      </w:r>
      <w:r w:rsidR="00991DB1">
        <w:rPr>
          <w:sz w:val="20"/>
        </w:rPr>
        <w:t xml:space="preserve"> investment bankers, outside </w:t>
      </w:r>
      <w:r>
        <w:rPr>
          <w:sz w:val="20"/>
        </w:rPr>
        <w:t>counsel</w:t>
      </w:r>
      <w:r w:rsidR="00991DB1">
        <w:rPr>
          <w:sz w:val="20"/>
        </w:rPr>
        <w:t xml:space="preserve">, and BoD. Does this ensure better deals for SHs? </w:t>
      </w:r>
    </w:p>
    <w:p w14:paraId="4090B4FD" w14:textId="0BABC628" w:rsidR="00991DB1" w:rsidRPr="00140323" w:rsidRDefault="00991DB1" w:rsidP="00991DB1">
      <w:pPr>
        <w:pStyle w:val="ListParagraph"/>
        <w:numPr>
          <w:ilvl w:val="2"/>
          <w:numId w:val="8"/>
        </w:numPr>
      </w:pPr>
      <w:r>
        <w:rPr>
          <w:sz w:val="20"/>
        </w:rPr>
        <w:t xml:space="preserve">Existence of a market premium doesn’t speak to the </w:t>
      </w:r>
      <w:r>
        <w:rPr>
          <w:i/>
          <w:sz w:val="20"/>
        </w:rPr>
        <w:t xml:space="preserve">fairness </w:t>
      </w:r>
      <w:r>
        <w:rPr>
          <w:sz w:val="20"/>
        </w:rPr>
        <w:t xml:space="preserve">of the deal to existing SHs – there </w:t>
      </w:r>
      <w:r w:rsidR="00D526CA">
        <w:rPr>
          <w:sz w:val="20"/>
        </w:rPr>
        <w:t xml:space="preserve">is no </w:t>
      </w:r>
      <w:r>
        <w:rPr>
          <w:sz w:val="20"/>
        </w:rPr>
        <w:t>indication of intrinsic value</w:t>
      </w:r>
    </w:p>
    <w:p w14:paraId="22F9ED0E" w14:textId="7A8ADF80" w:rsidR="00453011" w:rsidRPr="00453011" w:rsidRDefault="007E640C" w:rsidP="00453011">
      <w:pPr>
        <w:pStyle w:val="ListParagraph"/>
        <w:numPr>
          <w:ilvl w:val="3"/>
          <w:numId w:val="8"/>
        </w:numPr>
      </w:pPr>
      <w:proofErr w:type="spellStart"/>
      <w:r>
        <w:rPr>
          <w:sz w:val="20"/>
        </w:rPr>
        <w:t>BoD’s</w:t>
      </w:r>
      <w:proofErr w:type="spellEnd"/>
      <w:r>
        <w:rPr>
          <w:sz w:val="20"/>
        </w:rPr>
        <w:t xml:space="preserve"> </w:t>
      </w:r>
      <w:r w:rsidR="00140323">
        <w:rPr>
          <w:sz w:val="20"/>
        </w:rPr>
        <w:t>“collecti</w:t>
      </w:r>
      <w:r>
        <w:rPr>
          <w:sz w:val="20"/>
        </w:rPr>
        <w:t>ve wisdom and experience”</w:t>
      </w:r>
      <w:r w:rsidR="00352A52">
        <w:rPr>
          <w:sz w:val="20"/>
        </w:rPr>
        <w:t xml:space="preserve"> is </w:t>
      </w:r>
      <w:r w:rsidR="00140323">
        <w:rPr>
          <w:sz w:val="20"/>
        </w:rPr>
        <w:t xml:space="preserve">inadequate </w:t>
      </w:r>
      <w:r w:rsidR="00352A52">
        <w:rPr>
          <w:sz w:val="20"/>
        </w:rPr>
        <w:t>for the same reason</w:t>
      </w:r>
    </w:p>
    <w:p w14:paraId="34959FEC" w14:textId="26D82FB6" w:rsidR="00453011" w:rsidRPr="00453011" w:rsidRDefault="00453011" w:rsidP="00453011">
      <w:pPr>
        <w:pStyle w:val="ListParagraph"/>
        <w:numPr>
          <w:ilvl w:val="0"/>
          <w:numId w:val="8"/>
        </w:numPr>
      </w:pPr>
      <w:r>
        <w:rPr>
          <w:sz w:val="20"/>
        </w:rPr>
        <w:t>BJR may not be used as a shield against non-</w:t>
      </w:r>
      <w:proofErr w:type="spellStart"/>
      <w:r>
        <w:rPr>
          <w:sz w:val="20"/>
        </w:rPr>
        <w:t>feasance</w:t>
      </w:r>
      <w:proofErr w:type="spellEnd"/>
      <w:r>
        <w:rPr>
          <w:sz w:val="20"/>
        </w:rPr>
        <w:t xml:space="preserve"> (dereliction of duty of ordinary care)</w:t>
      </w:r>
      <w:r w:rsidR="00A26AD9">
        <w:rPr>
          <w:sz w:val="20"/>
        </w:rPr>
        <w:t xml:space="preserve"> – </w:t>
      </w:r>
      <w:r w:rsidR="00A26AD9">
        <w:rPr>
          <w:i/>
          <w:sz w:val="20"/>
        </w:rPr>
        <w:t>Francis v. United Jersey Bank</w:t>
      </w:r>
      <w:r w:rsidR="000E4656">
        <w:rPr>
          <w:sz w:val="20"/>
        </w:rPr>
        <w:t xml:space="preserve"> (mom owed duty to discover and discourage sons’ embezzlement)</w:t>
      </w:r>
    </w:p>
    <w:p w14:paraId="536F4E63" w14:textId="23176764" w:rsidR="00453011" w:rsidRPr="0059043B" w:rsidRDefault="00453011" w:rsidP="00453011">
      <w:pPr>
        <w:pStyle w:val="ListParagraph"/>
        <w:numPr>
          <w:ilvl w:val="1"/>
          <w:numId w:val="8"/>
        </w:numPr>
      </w:pPr>
      <w:r>
        <w:rPr>
          <w:sz w:val="20"/>
        </w:rPr>
        <w:t>Lack of knowledge of business affairs is not an acceptable defense</w:t>
      </w:r>
    </w:p>
    <w:p w14:paraId="53E6376D" w14:textId="6ED1D843" w:rsidR="0059043B" w:rsidRPr="00453011" w:rsidRDefault="0059043B" w:rsidP="0059043B">
      <w:pPr>
        <w:pStyle w:val="ListParagraph"/>
        <w:numPr>
          <w:ilvl w:val="2"/>
          <w:numId w:val="8"/>
        </w:numPr>
      </w:pPr>
      <w:r>
        <w:rPr>
          <w:sz w:val="20"/>
        </w:rPr>
        <w:t>Good faith</w:t>
      </w:r>
      <w:r w:rsidR="000A47FD">
        <w:rPr>
          <w:sz w:val="20"/>
        </w:rPr>
        <w:t>, reasonable</w:t>
      </w:r>
      <w:r>
        <w:rPr>
          <w:sz w:val="20"/>
        </w:rPr>
        <w:t xml:space="preserve"> reliance on advice of counsel and/or properly prepared financial statements might excuse non-</w:t>
      </w:r>
      <w:proofErr w:type="spellStart"/>
      <w:r>
        <w:rPr>
          <w:sz w:val="20"/>
        </w:rPr>
        <w:t>feasance</w:t>
      </w:r>
      <w:proofErr w:type="spellEnd"/>
      <w:r>
        <w:rPr>
          <w:sz w:val="20"/>
        </w:rPr>
        <w:t xml:space="preserve"> (cf. DGCL §141(e))</w:t>
      </w:r>
    </w:p>
    <w:p w14:paraId="44FDA7C2" w14:textId="3111CEA8" w:rsidR="00453011" w:rsidRPr="000163A0" w:rsidRDefault="00453011" w:rsidP="00453011">
      <w:pPr>
        <w:pStyle w:val="ListParagraph"/>
        <w:numPr>
          <w:ilvl w:val="1"/>
          <w:numId w:val="8"/>
        </w:numPr>
      </w:pPr>
      <w:r>
        <w:rPr>
          <w:sz w:val="20"/>
        </w:rPr>
        <w:t xml:space="preserve">Upon discovery of an illegal course of action, director </w:t>
      </w:r>
      <w:r w:rsidR="00392CB5">
        <w:rPr>
          <w:i/>
          <w:sz w:val="20"/>
        </w:rPr>
        <w:t xml:space="preserve">must </w:t>
      </w:r>
      <w:r>
        <w:rPr>
          <w:sz w:val="20"/>
        </w:rPr>
        <w:t>object, and if not corrected, resign</w:t>
      </w:r>
    </w:p>
    <w:p w14:paraId="65B34275" w14:textId="6DBA23F9" w:rsidR="00AF70E9" w:rsidRPr="00AF70E9" w:rsidRDefault="00AF70E9" w:rsidP="00AF70E9">
      <w:pPr>
        <w:pStyle w:val="ListParagraph"/>
        <w:numPr>
          <w:ilvl w:val="0"/>
          <w:numId w:val="8"/>
        </w:numPr>
      </w:pPr>
      <w:r>
        <w:rPr>
          <w:sz w:val="20"/>
        </w:rPr>
        <w:t>DGCL §102(b)(7) allows companies to place director exculpation clauses in their articles of incorporation</w:t>
      </w:r>
    </w:p>
    <w:p w14:paraId="14BF4316" w14:textId="09468A17" w:rsidR="00AF70E9" w:rsidRPr="00286468" w:rsidRDefault="00AF70E9" w:rsidP="00AF70E9">
      <w:pPr>
        <w:pStyle w:val="ListParagraph"/>
        <w:numPr>
          <w:ilvl w:val="1"/>
          <w:numId w:val="8"/>
        </w:numPr>
      </w:pPr>
      <w:r>
        <w:rPr>
          <w:sz w:val="20"/>
        </w:rPr>
        <w:t xml:space="preserve">Relieves directors of personal liability for breaches of fiduciary duties, but </w:t>
      </w:r>
      <w:r>
        <w:rPr>
          <w:i/>
          <w:sz w:val="20"/>
        </w:rPr>
        <w:t xml:space="preserve">cannot </w:t>
      </w:r>
      <w:r>
        <w:rPr>
          <w:sz w:val="20"/>
        </w:rPr>
        <w:t>limit liability for breaches of duty of loyalty or acts/omissions not in good faith</w:t>
      </w:r>
      <w:r w:rsidR="00286468">
        <w:rPr>
          <w:sz w:val="20"/>
        </w:rPr>
        <w:t xml:space="preserve"> (or which involve intentional misconduct or a knowing violation of law)</w:t>
      </w:r>
    </w:p>
    <w:p w14:paraId="722C4A73" w14:textId="039A9675" w:rsidR="00286468" w:rsidRPr="00CB4FDE" w:rsidRDefault="00286468" w:rsidP="00AF70E9">
      <w:pPr>
        <w:pStyle w:val="ListParagraph"/>
        <w:numPr>
          <w:ilvl w:val="1"/>
          <w:numId w:val="8"/>
        </w:numPr>
      </w:pPr>
      <w:r>
        <w:rPr>
          <w:sz w:val="20"/>
        </w:rPr>
        <w:t xml:space="preserve">This is not an end to the duty of care – injunctions are still </w:t>
      </w:r>
      <w:r w:rsidR="007E640C">
        <w:rPr>
          <w:sz w:val="20"/>
        </w:rPr>
        <w:t>possible. Only</w:t>
      </w:r>
      <w:r>
        <w:rPr>
          <w:sz w:val="20"/>
        </w:rPr>
        <w:t xml:space="preserve"> </w:t>
      </w:r>
      <w:r>
        <w:rPr>
          <w:i/>
          <w:sz w:val="20"/>
        </w:rPr>
        <w:t xml:space="preserve">personal </w:t>
      </w:r>
      <w:r>
        <w:rPr>
          <w:sz w:val="20"/>
        </w:rPr>
        <w:t xml:space="preserve">liability of directors </w:t>
      </w:r>
      <w:r w:rsidR="007E640C">
        <w:rPr>
          <w:sz w:val="20"/>
        </w:rPr>
        <w:t xml:space="preserve">is limited </w:t>
      </w:r>
      <w:r>
        <w:rPr>
          <w:sz w:val="20"/>
        </w:rPr>
        <w:t>for breaches</w:t>
      </w:r>
    </w:p>
    <w:p w14:paraId="0B8E2F4F" w14:textId="4DBD1C0C" w:rsidR="000767BF" w:rsidRDefault="000767BF" w:rsidP="000767BF">
      <w:pPr>
        <w:pStyle w:val="Heading4"/>
        <w:rPr>
          <w:sz w:val="20"/>
        </w:rPr>
      </w:pPr>
      <w:r w:rsidRPr="000767BF">
        <w:rPr>
          <w:sz w:val="20"/>
        </w:rPr>
        <w:t>Duty of Loyalty</w:t>
      </w:r>
    </w:p>
    <w:p w14:paraId="6AE9CB3A" w14:textId="7242A18E" w:rsidR="00910B4A" w:rsidRPr="00964715" w:rsidRDefault="00964715" w:rsidP="00910B4A">
      <w:pPr>
        <w:pStyle w:val="ListParagraph"/>
        <w:numPr>
          <w:ilvl w:val="0"/>
          <w:numId w:val="10"/>
        </w:numPr>
      </w:pPr>
      <w:r>
        <w:rPr>
          <w:sz w:val="20"/>
        </w:rPr>
        <w:t xml:space="preserve">If a breach of the duty of loyalty (self-dealing) is alleged, directors bear burden of proving </w:t>
      </w:r>
      <w:r>
        <w:rPr>
          <w:i/>
          <w:sz w:val="20"/>
        </w:rPr>
        <w:t xml:space="preserve">both </w:t>
      </w:r>
      <w:r>
        <w:rPr>
          <w:sz w:val="20"/>
        </w:rPr>
        <w:t xml:space="preserve">good faith </w:t>
      </w:r>
      <w:r>
        <w:rPr>
          <w:i/>
          <w:sz w:val="20"/>
        </w:rPr>
        <w:t xml:space="preserve">and </w:t>
      </w:r>
      <w:r>
        <w:rPr>
          <w:sz w:val="20"/>
        </w:rPr>
        <w:t xml:space="preserve">entire fairness –BJR will not protect directors – </w:t>
      </w:r>
      <w:r>
        <w:rPr>
          <w:i/>
          <w:sz w:val="20"/>
        </w:rPr>
        <w:t xml:space="preserve">Bayer v. </w:t>
      </w:r>
      <w:proofErr w:type="spellStart"/>
      <w:r>
        <w:rPr>
          <w:i/>
          <w:sz w:val="20"/>
        </w:rPr>
        <w:t>Beran</w:t>
      </w:r>
      <w:proofErr w:type="spellEnd"/>
      <w:r>
        <w:rPr>
          <w:i/>
          <w:sz w:val="20"/>
        </w:rPr>
        <w:t xml:space="preserve"> </w:t>
      </w:r>
      <w:r>
        <w:rPr>
          <w:sz w:val="20"/>
        </w:rPr>
        <w:t>(president’s wife as opera singer)</w:t>
      </w:r>
    </w:p>
    <w:p w14:paraId="03BC4252" w14:textId="4886A9D6" w:rsidR="00964715" w:rsidRPr="00964715" w:rsidRDefault="00964715" w:rsidP="00964715">
      <w:pPr>
        <w:pStyle w:val="ListParagraph"/>
        <w:numPr>
          <w:ilvl w:val="1"/>
          <w:numId w:val="10"/>
        </w:numPr>
      </w:pPr>
      <w:r>
        <w:rPr>
          <w:sz w:val="20"/>
        </w:rPr>
        <w:t xml:space="preserve">Entire fairness is proven if there is a legitimate/useful corporate purpose, and the corporation received full benefit (terms were as good as they would have </w:t>
      </w:r>
      <w:r w:rsidR="002E5839">
        <w:rPr>
          <w:sz w:val="20"/>
        </w:rPr>
        <w:t>been in an arms-length transact</w:t>
      </w:r>
      <w:r w:rsidR="009E3DA7">
        <w:rPr>
          <w:sz w:val="20"/>
        </w:rPr>
        <w:t>i</w:t>
      </w:r>
      <w:r>
        <w:rPr>
          <w:sz w:val="20"/>
        </w:rPr>
        <w:t>on)</w:t>
      </w:r>
    </w:p>
    <w:p w14:paraId="51C9AADE" w14:textId="62765F06" w:rsidR="00964715" w:rsidRPr="002E5839" w:rsidRDefault="00964715" w:rsidP="00964715">
      <w:pPr>
        <w:pStyle w:val="ListParagraph"/>
        <w:numPr>
          <w:ilvl w:val="2"/>
          <w:numId w:val="10"/>
        </w:numPr>
      </w:pPr>
      <w:r>
        <w:rPr>
          <w:sz w:val="20"/>
        </w:rPr>
        <w:t xml:space="preserve">Fairness can trump a process deficiency </w:t>
      </w:r>
      <w:r w:rsidR="003221C2">
        <w:rPr>
          <w:sz w:val="20"/>
        </w:rPr>
        <w:t>(lack of formal approval at board meeting)</w:t>
      </w:r>
      <w:r w:rsidR="00DC6721">
        <w:rPr>
          <w:sz w:val="20"/>
        </w:rPr>
        <w:t xml:space="preserve"> IF fully informed– </w:t>
      </w:r>
      <w:r w:rsidR="00DC6721">
        <w:rPr>
          <w:i/>
          <w:sz w:val="20"/>
        </w:rPr>
        <w:t xml:space="preserve">Bayer, </w:t>
      </w:r>
      <w:proofErr w:type="spellStart"/>
      <w:r w:rsidR="00DC6721">
        <w:rPr>
          <w:i/>
          <w:sz w:val="20"/>
        </w:rPr>
        <w:t>Wheelabrator</w:t>
      </w:r>
      <w:proofErr w:type="spellEnd"/>
    </w:p>
    <w:p w14:paraId="7C42B4AE" w14:textId="4D56192B" w:rsidR="002E5839" w:rsidRPr="002E5839" w:rsidRDefault="002E5839" w:rsidP="009E3DA7">
      <w:pPr>
        <w:pStyle w:val="ListParagraph"/>
        <w:numPr>
          <w:ilvl w:val="0"/>
          <w:numId w:val="10"/>
        </w:numPr>
      </w:pPr>
      <w:r>
        <w:rPr>
          <w:sz w:val="20"/>
        </w:rPr>
        <w:t>DGCL §144(a) creates a safe harbor for interested transactions if:</w:t>
      </w:r>
    </w:p>
    <w:p w14:paraId="7B105DAF" w14:textId="1CF3E60C" w:rsidR="002E5839" w:rsidRPr="00F53900" w:rsidRDefault="001D31A4" w:rsidP="009E3DA7">
      <w:pPr>
        <w:pStyle w:val="ListParagraph"/>
        <w:numPr>
          <w:ilvl w:val="1"/>
          <w:numId w:val="10"/>
        </w:numPr>
      </w:pPr>
      <w:r>
        <w:rPr>
          <w:sz w:val="20"/>
        </w:rPr>
        <w:t>(</w:t>
      </w:r>
      <w:r w:rsidR="002E5839">
        <w:rPr>
          <w:sz w:val="20"/>
        </w:rPr>
        <w:t xml:space="preserve">1) </w:t>
      </w:r>
      <w:r>
        <w:rPr>
          <w:sz w:val="20"/>
        </w:rPr>
        <w:t>Material facts of</w:t>
      </w:r>
      <w:r w:rsidR="00D91B4F">
        <w:rPr>
          <w:sz w:val="20"/>
        </w:rPr>
        <w:t xml:space="preserve"> </w:t>
      </w:r>
      <w:r w:rsidR="002E5839">
        <w:rPr>
          <w:sz w:val="20"/>
        </w:rPr>
        <w:t xml:space="preserve">interest </w:t>
      </w:r>
      <w:r w:rsidR="002E5839">
        <w:rPr>
          <w:i/>
          <w:sz w:val="20"/>
        </w:rPr>
        <w:t xml:space="preserve">and </w:t>
      </w:r>
      <w:r w:rsidR="002E5839">
        <w:rPr>
          <w:sz w:val="20"/>
        </w:rPr>
        <w:t>contract are disclos</w:t>
      </w:r>
      <w:r>
        <w:rPr>
          <w:sz w:val="20"/>
        </w:rPr>
        <w:t>ed/known to</w:t>
      </w:r>
      <w:r w:rsidR="002E5839">
        <w:rPr>
          <w:sz w:val="20"/>
        </w:rPr>
        <w:t xml:space="preserve"> B</w:t>
      </w:r>
      <w:r>
        <w:rPr>
          <w:sz w:val="20"/>
        </w:rPr>
        <w:t>oD, and</w:t>
      </w:r>
      <w:r w:rsidR="00D91B4F">
        <w:rPr>
          <w:sz w:val="20"/>
        </w:rPr>
        <w:t xml:space="preserve"> BoD</w:t>
      </w:r>
      <w:r w:rsidR="002E5839">
        <w:rPr>
          <w:sz w:val="20"/>
        </w:rPr>
        <w:t xml:space="preserve"> in good faith </w:t>
      </w:r>
      <w:r w:rsidR="00D91B4F">
        <w:rPr>
          <w:sz w:val="20"/>
        </w:rPr>
        <w:t xml:space="preserve">approves by </w:t>
      </w:r>
      <w:r w:rsidR="002E5839">
        <w:rPr>
          <w:sz w:val="20"/>
        </w:rPr>
        <w:t>affirmative vote of majority of disinterested directors (even if less than a quorum)</w:t>
      </w:r>
    </w:p>
    <w:p w14:paraId="5467CC1B" w14:textId="4089351B" w:rsidR="00F53900" w:rsidRPr="00F53900" w:rsidRDefault="00F53900" w:rsidP="009E3DA7">
      <w:pPr>
        <w:pStyle w:val="ListParagraph"/>
        <w:numPr>
          <w:ilvl w:val="2"/>
          <w:numId w:val="10"/>
        </w:numPr>
      </w:pPr>
      <w:r>
        <w:rPr>
          <w:sz w:val="20"/>
        </w:rPr>
        <w:t xml:space="preserve">Explicit disclosure might not be necessary – a clear understanding of material facts might be sufficient – </w:t>
      </w:r>
      <w:proofErr w:type="spellStart"/>
      <w:r>
        <w:rPr>
          <w:i/>
          <w:sz w:val="20"/>
        </w:rPr>
        <w:t>Benihana</w:t>
      </w:r>
      <w:proofErr w:type="spellEnd"/>
      <w:r>
        <w:rPr>
          <w:sz w:val="20"/>
        </w:rPr>
        <w:t xml:space="preserve"> (financing scheme benefitted a director)</w:t>
      </w:r>
    </w:p>
    <w:p w14:paraId="6AC734E2" w14:textId="6E84322F" w:rsidR="00F53900" w:rsidRPr="004E0C22" w:rsidRDefault="00F53900" w:rsidP="00526EB5">
      <w:pPr>
        <w:pStyle w:val="ListParagraph"/>
        <w:numPr>
          <w:ilvl w:val="3"/>
          <w:numId w:val="10"/>
        </w:numPr>
      </w:pPr>
      <w:r>
        <w:rPr>
          <w:sz w:val="20"/>
        </w:rPr>
        <w:t xml:space="preserve">Might have been a different case if director had used confidential information in negotiating deal with </w:t>
      </w:r>
      <w:proofErr w:type="spellStart"/>
      <w:r>
        <w:rPr>
          <w:sz w:val="20"/>
        </w:rPr>
        <w:t>Benihana</w:t>
      </w:r>
      <w:proofErr w:type="spellEnd"/>
    </w:p>
    <w:p w14:paraId="60861D99" w14:textId="2A42E9F8" w:rsidR="004E0C22" w:rsidRPr="001D31A4" w:rsidRDefault="004E0C22" w:rsidP="009E3DA7">
      <w:pPr>
        <w:pStyle w:val="ListParagraph"/>
        <w:numPr>
          <w:ilvl w:val="2"/>
          <w:numId w:val="10"/>
        </w:numPr>
      </w:pPr>
      <w:r>
        <w:rPr>
          <w:sz w:val="20"/>
        </w:rPr>
        <w:t>If majority of disinterested directors ratify, BJR is re-instituted</w:t>
      </w:r>
      <w:r w:rsidR="0053550D">
        <w:rPr>
          <w:sz w:val="20"/>
        </w:rPr>
        <w:t xml:space="preserve"> with burden on plaintiff</w:t>
      </w:r>
    </w:p>
    <w:p w14:paraId="2405BEB1" w14:textId="521667E4" w:rsidR="001D31A4" w:rsidRPr="00DD1E8D" w:rsidRDefault="001D31A4" w:rsidP="009E3DA7">
      <w:pPr>
        <w:pStyle w:val="ListParagraph"/>
        <w:numPr>
          <w:ilvl w:val="1"/>
          <w:numId w:val="10"/>
        </w:numPr>
      </w:pPr>
      <w:r>
        <w:rPr>
          <w:sz w:val="20"/>
        </w:rPr>
        <w:t xml:space="preserve">(2) Material facts of the interest </w:t>
      </w:r>
      <w:r>
        <w:rPr>
          <w:i/>
          <w:sz w:val="20"/>
        </w:rPr>
        <w:t xml:space="preserve">and </w:t>
      </w:r>
      <w:r>
        <w:rPr>
          <w:sz w:val="20"/>
        </w:rPr>
        <w:t xml:space="preserve">contract are disclosed/known </w:t>
      </w:r>
      <w:r w:rsidR="005C68A9">
        <w:rPr>
          <w:sz w:val="20"/>
        </w:rPr>
        <w:t>to</w:t>
      </w:r>
      <w:r w:rsidR="00D91B4F">
        <w:rPr>
          <w:sz w:val="20"/>
        </w:rPr>
        <w:t xml:space="preserve"> </w:t>
      </w:r>
      <w:r>
        <w:rPr>
          <w:sz w:val="20"/>
        </w:rPr>
        <w:t>SHs, and transaction is specifically a</w:t>
      </w:r>
      <w:r w:rsidR="00684D53">
        <w:rPr>
          <w:sz w:val="20"/>
        </w:rPr>
        <w:t xml:space="preserve">pproved in good faith by </w:t>
      </w:r>
      <w:r w:rsidR="00684D53">
        <w:rPr>
          <w:b/>
          <w:sz w:val="20"/>
        </w:rPr>
        <w:t xml:space="preserve">majority </w:t>
      </w:r>
      <w:r w:rsidR="00684D53">
        <w:rPr>
          <w:sz w:val="20"/>
        </w:rPr>
        <w:t xml:space="preserve">of </w:t>
      </w:r>
      <w:r w:rsidR="00684D53">
        <w:rPr>
          <w:b/>
          <w:sz w:val="20"/>
        </w:rPr>
        <w:t>all outstanding disinterested</w:t>
      </w:r>
      <w:r>
        <w:rPr>
          <w:sz w:val="20"/>
        </w:rPr>
        <w:t xml:space="preserve"> SHs</w:t>
      </w:r>
      <w:r w:rsidR="005C68A9">
        <w:rPr>
          <w:sz w:val="20"/>
        </w:rPr>
        <w:t xml:space="preserve"> </w:t>
      </w:r>
      <w:r w:rsidR="00DD1E8D">
        <w:rPr>
          <w:sz w:val="20"/>
        </w:rPr>
        <w:t>–</w:t>
      </w:r>
      <w:r w:rsidR="005C68A9">
        <w:rPr>
          <w:sz w:val="20"/>
        </w:rPr>
        <w:t xml:space="preserve"> </w:t>
      </w:r>
      <w:proofErr w:type="spellStart"/>
      <w:r w:rsidR="005C68A9">
        <w:rPr>
          <w:i/>
          <w:sz w:val="20"/>
        </w:rPr>
        <w:t>Fliegler</w:t>
      </w:r>
      <w:proofErr w:type="spellEnd"/>
    </w:p>
    <w:p w14:paraId="27A80D73" w14:textId="052314FD" w:rsidR="00DD1E8D" w:rsidRPr="00780A71" w:rsidRDefault="00DD1E8D" w:rsidP="00DD1E8D">
      <w:pPr>
        <w:pStyle w:val="ListParagraph"/>
        <w:numPr>
          <w:ilvl w:val="2"/>
          <w:numId w:val="10"/>
        </w:numPr>
      </w:pPr>
      <w:r>
        <w:rPr>
          <w:sz w:val="20"/>
        </w:rPr>
        <w:lastRenderedPageBreak/>
        <w:t>If this procedure is followed, compla</w:t>
      </w:r>
      <w:r w:rsidR="00684B57">
        <w:rPr>
          <w:sz w:val="20"/>
        </w:rPr>
        <w:t>ining plaintiff must rebut BJR, without lack of process as an excuse (must prove waste)</w:t>
      </w:r>
      <w:r w:rsidR="00F92E83">
        <w:rPr>
          <w:sz w:val="20"/>
        </w:rPr>
        <w:t xml:space="preserve"> </w:t>
      </w:r>
      <w:r w:rsidR="00780A71">
        <w:rPr>
          <w:sz w:val="20"/>
        </w:rPr>
        <w:t>–</w:t>
      </w:r>
      <w:r w:rsidR="00F92E83">
        <w:rPr>
          <w:sz w:val="20"/>
        </w:rPr>
        <w:t xml:space="preserve"> </w:t>
      </w:r>
      <w:proofErr w:type="spellStart"/>
      <w:r w:rsidR="00F92E83">
        <w:rPr>
          <w:i/>
          <w:sz w:val="20"/>
        </w:rPr>
        <w:t>Wheelabrator</w:t>
      </w:r>
      <w:proofErr w:type="spellEnd"/>
    </w:p>
    <w:p w14:paraId="108FC165" w14:textId="52EB28F0" w:rsidR="00780A71" w:rsidRPr="001D31A4" w:rsidRDefault="00780A71" w:rsidP="00780A71">
      <w:pPr>
        <w:pStyle w:val="ListParagraph"/>
        <w:numPr>
          <w:ilvl w:val="3"/>
          <w:numId w:val="10"/>
        </w:numPr>
      </w:pPr>
      <w:r>
        <w:rPr>
          <w:sz w:val="20"/>
        </w:rPr>
        <w:t xml:space="preserve">Requires a transaction “so one sided that no business person of ordinary, sound judgment could conclude” that the deal was a good one – “rare, unconscionable cases where directors </w:t>
      </w:r>
      <w:r w:rsidRPr="00780A71">
        <w:rPr>
          <w:b/>
          <w:sz w:val="20"/>
        </w:rPr>
        <w:t>irrationally</w:t>
      </w:r>
      <w:r>
        <w:rPr>
          <w:sz w:val="20"/>
        </w:rPr>
        <w:t xml:space="preserve"> squander or give away corporate assets” - </w:t>
      </w:r>
      <w:r>
        <w:rPr>
          <w:i/>
          <w:sz w:val="20"/>
        </w:rPr>
        <w:t>Disney</w:t>
      </w:r>
    </w:p>
    <w:p w14:paraId="0C4F4D24" w14:textId="11C05BB6" w:rsidR="00F53900" w:rsidRPr="00620755" w:rsidRDefault="001D31A4" w:rsidP="00620755">
      <w:pPr>
        <w:pStyle w:val="ListParagraph"/>
        <w:numPr>
          <w:ilvl w:val="1"/>
          <w:numId w:val="10"/>
        </w:numPr>
      </w:pPr>
      <w:r>
        <w:rPr>
          <w:sz w:val="20"/>
        </w:rPr>
        <w:t>(3) Transaction is fair to the corporation at the time approved</w:t>
      </w:r>
    </w:p>
    <w:p w14:paraId="7988520B" w14:textId="65CAC24D" w:rsidR="009E3DA7" w:rsidRPr="00B04727" w:rsidRDefault="009E3DA7" w:rsidP="009E3DA7">
      <w:pPr>
        <w:pStyle w:val="ListParagraph"/>
        <w:numPr>
          <w:ilvl w:val="0"/>
          <w:numId w:val="10"/>
        </w:numPr>
      </w:pPr>
      <w:r>
        <w:rPr>
          <w:sz w:val="20"/>
        </w:rPr>
        <w:t xml:space="preserve">Corporate action may not be taken for the primary purpose of board entrenchment – </w:t>
      </w:r>
      <w:proofErr w:type="spellStart"/>
      <w:r>
        <w:rPr>
          <w:i/>
          <w:sz w:val="20"/>
        </w:rPr>
        <w:t>Benihana</w:t>
      </w:r>
      <w:proofErr w:type="spellEnd"/>
    </w:p>
    <w:p w14:paraId="2E8CF86A" w14:textId="08FE2ADA" w:rsidR="00B04727" w:rsidRPr="00602128" w:rsidRDefault="00B04727" w:rsidP="00B04727">
      <w:pPr>
        <w:pStyle w:val="ListParagraph"/>
        <w:numPr>
          <w:ilvl w:val="1"/>
          <w:numId w:val="10"/>
        </w:numPr>
      </w:pPr>
      <w:r>
        <w:rPr>
          <w:sz w:val="20"/>
        </w:rPr>
        <w:t>What if primary purpose is permissible, but collateral purpose (dilution of voting rights) isn’t?</w:t>
      </w:r>
    </w:p>
    <w:p w14:paraId="19BEADA3" w14:textId="76C1F0D1" w:rsidR="00602128" w:rsidRPr="002119C7" w:rsidRDefault="00602128" w:rsidP="00B04727">
      <w:pPr>
        <w:pStyle w:val="ListParagraph"/>
        <w:numPr>
          <w:ilvl w:val="1"/>
          <w:numId w:val="10"/>
        </w:numPr>
      </w:pPr>
      <w:r>
        <w:rPr>
          <w:sz w:val="20"/>
        </w:rPr>
        <w:t xml:space="preserve">What if dilution of voting rights is </w:t>
      </w:r>
      <w:r w:rsidR="00263401">
        <w:rPr>
          <w:sz w:val="20"/>
        </w:rPr>
        <w:t>good for corporation?</w:t>
      </w:r>
    </w:p>
    <w:p w14:paraId="3DB36DF8" w14:textId="1BE2332D" w:rsidR="00F442D0" w:rsidRPr="00F442D0" w:rsidRDefault="0065442D" w:rsidP="00F442D0">
      <w:pPr>
        <w:pStyle w:val="ListParagraph"/>
        <w:numPr>
          <w:ilvl w:val="0"/>
          <w:numId w:val="10"/>
        </w:numPr>
      </w:pPr>
      <w:r>
        <w:rPr>
          <w:sz w:val="20"/>
        </w:rPr>
        <w:t xml:space="preserve">A director may not take an opportunity for himself </w:t>
      </w:r>
      <w:r w:rsidR="00A71496">
        <w:rPr>
          <w:sz w:val="20"/>
        </w:rPr>
        <w:t>if</w:t>
      </w:r>
      <w:r w:rsidR="00F442D0">
        <w:rPr>
          <w:sz w:val="20"/>
        </w:rPr>
        <w:t>: (</w:t>
      </w:r>
      <w:r w:rsidR="00F442D0" w:rsidRPr="00F442D0">
        <w:rPr>
          <w:i/>
          <w:sz w:val="20"/>
        </w:rPr>
        <w:t>Broz v. CIS</w:t>
      </w:r>
      <w:r w:rsidR="00F442D0">
        <w:rPr>
          <w:sz w:val="20"/>
        </w:rPr>
        <w:t>)</w:t>
      </w:r>
      <w:r w:rsidR="00F442D0">
        <w:rPr>
          <w:i/>
          <w:sz w:val="20"/>
        </w:rPr>
        <w:t xml:space="preserve"> </w:t>
      </w:r>
      <w:r w:rsidR="00F442D0">
        <w:rPr>
          <w:sz w:val="20"/>
        </w:rPr>
        <w:t xml:space="preserve">– </w:t>
      </w:r>
      <w:r w:rsidR="00F442D0" w:rsidRPr="00F442D0">
        <w:rPr>
          <w:sz w:val="20"/>
        </w:rPr>
        <w:t>director buys cellular li</w:t>
      </w:r>
      <w:r w:rsidR="00F442D0">
        <w:rPr>
          <w:sz w:val="20"/>
        </w:rPr>
        <w:t>cense after offering to company</w:t>
      </w:r>
    </w:p>
    <w:p w14:paraId="701AA301" w14:textId="77777777" w:rsidR="00F442D0" w:rsidRPr="00F442D0" w:rsidRDefault="00F442D0" w:rsidP="00F442D0">
      <w:pPr>
        <w:pStyle w:val="ListParagraph"/>
        <w:numPr>
          <w:ilvl w:val="1"/>
          <w:numId w:val="10"/>
        </w:numPr>
      </w:pPr>
      <w:r>
        <w:rPr>
          <w:sz w:val="20"/>
        </w:rPr>
        <w:t>C</w:t>
      </w:r>
      <w:r w:rsidR="00A71496" w:rsidRPr="00F442D0">
        <w:rPr>
          <w:sz w:val="20"/>
        </w:rPr>
        <w:t xml:space="preserve">ompany is </w:t>
      </w:r>
      <w:r w:rsidR="0065442D" w:rsidRPr="00F442D0">
        <w:rPr>
          <w:sz w:val="20"/>
        </w:rPr>
        <w:t>financially able to take</w:t>
      </w:r>
      <w:r>
        <w:rPr>
          <w:sz w:val="20"/>
        </w:rPr>
        <w:t xml:space="preserve"> opportunity </w:t>
      </w:r>
    </w:p>
    <w:p w14:paraId="594CD50A" w14:textId="562824C4" w:rsidR="00F442D0" w:rsidRPr="00F442D0" w:rsidRDefault="00F442D0" w:rsidP="00F442D0">
      <w:pPr>
        <w:pStyle w:val="ListParagraph"/>
        <w:numPr>
          <w:ilvl w:val="1"/>
          <w:numId w:val="10"/>
        </w:numPr>
      </w:pPr>
      <w:r>
        <w:rPr>
          <w:sz w:val="20"/>
        </w:rPr>
        <w:t xml:space="preserve">Opportunity </w:t>
      </w:r>
      <w:r w:rsidR="0065442D" w:rsidRPr="00F442D0">
        <w:rPr>
          <w:sz w:val="20"/>
        </w:rPr>
        <w:t>is in line with the company’</w:t>
      </w:r>
      <w:r>
        <w:rPr>
          <w:sz w:val="20"/>
        </w:rPr>
        <w:t>s business</w:t>
      </w:r>
    </w:p>
    <w:p w14:paraId="5D176459" w14:textId="277EF3DA" w:rsidR="00F442D0" w:rsidRPr="00F442D0" w:rsidRDefault="00F442D0" w:rsidP="00F442D0">
      <w:pPr>
        <w:pStyle w:val="ListParagraph"/>
        <w:numPr>
          <w:ilvl w:val="2"/>
          <w:numId w:val="10"/>
        </w:numPr>
      </w:pPr>
      <w:r>
        <w:rPr>
          <w:sz w:val="20"/>
        </w:rPr>
        <w:t xml:space="preserve">“In line with company’s business” means “fundamental knowledge, practical experience, and ability to pursue” – </w:t>
      </w:r>
      <w:r>
        <w:rPr>
          <w:i/>
          <w:sz w:val="20"/>
        </w:rPr>
        <w:t>Martha Stewart</w:t>
      </w:r>
    </w:p>
    <w:p w14:paraId="3807003D" w14:textId="77777777" w:rsidR="00F442D0" w:rsidRPr="00F442D0" w:rsidRDefault="00F442D0" w:rsidP="00F442D0">
      <w:pPr>
        <w:pStyle w:val="ListParagraph"/>
        <w:numPr>
          <w:ilvl w:val="1"/>
          <w:numId w:val="10"/>
        </w:numPr>
      </w:pPr>
      <w:r>
        <w:rPr>
          <w:sz w:val="20"/>
        </w:rPr>
        <w:t>C</w:t>
      </w:r>
      <w:r w:rsidR="00A71496" w:rsidRPr="00F442D0">
        <w:rPr>
          <w:sz w:val="20"/>
        </w:rPr>
        <w:t xml:space="preserve">ompany is </w:t>
      </w:r>
      <w:r w:rsidR="0065442D" w:rsidRPr="00F442D0">
        <w:rPr>
          <w:sz w:val="20"/>
        </w:rPr>
        <w:t>interest</w:t>
      </w:r>
      <w:r w:rsidR="00A71496" w:rsidRPr="00F442D0">
        <w:rPr>
          <w:sz w:val="20"/>
        </w:rPr>
        <w:t>ed</w:t>
      </w:r>
      <w:r w:rsidR="0065442D" w:rsidRPr="00F442D0">
        <w:rPr>
          <w:sz w:val="20"/>
        </w:rPr>
        <w:t xml:space="preserve"> or </w:t>
      </w:r>
      <w:r w:rsidR="00A71496" w:rsidRPr="00F442D0">
        <w:rPr>
          <w:sz w:val="20"/>
        </w:rPr>
        <w:t xml:space="preserve">has </w:t>
      </w:r>
      <w:r w:rsidR="0065442D" w:rsidRPr="00F442D0">
        <w:rPr>
          <w:sz w:val="20"/>
        </w:rPr>
        <w:t>reas</w:t>
      </w:r>
      <w:r w:rsidR="00A71496" w:rsidRPr="00F442D0">
        <w:rPr>
          <w:sz w:val="20"/>
        </w:rPr>
        <w:t xml:space="preserve">onable expectancy </w:t>
      </w:r>
      <w:r w:rsidR="0065442D" w:rsidRPr="00F442D0">
        <w:rPr>
          <w:sz w:val="20"/>
        </w:rPr>
        <w:t>in</w:t>
      </w:r>
      <w:r w:rsidR="00A71496" w:rsidRPr="00F442D0">
        <w:rPr>
          <w:sz w:val="20"/>
        </w:rPr>
        <w:t xml:space="preserve"> the opportunity and </w:t>
      </w:r>
    </w:p>
    <w:p w14:paraId="14B752DC" w14:textId="62924FF7" w:rsidR="0065442D" w:rsidRPr="004C12B7" w:rsidRDefault="00F442D0" w:rsidP="00F442D0">
      <w:pPr>
        <w:pStyle w:val="ListParagraph"/>
        <w:numPr>
          <w:ilvl w:val="1"/>
          <w:numId w:val="10"/>
        </w:numPr>
      </w:pPr>
      <w:r>
        <w:rPr>
          <w:sz w:val="20"/>
        </w:rPr>
        <w:t>B</w:t>
      </w:r>
      <w:r w:rsidR="00A71496" w:rsidRPr="00F442D0">
        <w:rPr>
          <w:sz w:val="20"/>
        </w:rPr>
        <w:t xml:space="preserve">y taking the opportunity, director’s self-interest will conflict with the corporation’s </w:t>
      </w:r>
    </w:p>
    <w:p w14:paraId="3E3EF6D6" w14:textId="2424F388" w:rsidR="004C12B7" w:rsidRPr="0094040E" w:rsidRDefault="00F442D0" w:rsidP="00F442D0">
      <w:pPr>
        <w:pStyle w:val="ListParagraph"/>
        <w:numPr>
          <w:ilvl w:val="2"/>
          <w:numId w:val="10"/>
        </w:numPr>
      </w:pPr>
      <w:r>
        <w:rPr>
          <w:sz w:val="20"/>
        </w:rPr>
        <w:t xml:space="preserve">Outcome might turn on </w:t>
      </w:r>
      <w:r w:rsidR="00C7784B">
        <w:rPr>
          <w:sz w:val="20"/>
        </w:rPr>
        <w:t>if director was made aware/offered opportunity only because of status as a director</w:t>
      </w:r>
    </w:p>
    <w:p w14:paraId="5ACE52BC" w14:textId="7EE02DE6" w:rsidR="0094040E" w:rsidRPr="0094040E" w:rsidRDefault="00B8294A" w:rsidP="00F442D0">
      <w:pPr>
        <w:pStyle w:val="ListParagraph"/>
        <w:numPr>
          <w:ilvl w:val="3"/>
          <w:numId w:val="10"/>
        </w:numPr>
      </w:pPr>
      <w:r>
        <w:rPr>
          <w:sz w:val="20"/>
        </w:rPr>
        <w:t xml:space="preserve">If opportunity looks </w:t>
      </w:r>
      <w:r w:rsidR="0094040E">
        <w:rPr>
          <w:sz w:val="20"/>
        </w:rPr>
        <w:t>like a bri</w:t>
      </w:r>
      <w:r>
        <w:rPr>
          <w:sz w:val="20"/>
        </w:rPr>
        <w:t>be/kickback to directors, court</w:t>
      </w:r>
      <w:r w:rsidR="0094040E">
        <w:rPr>
          <w:sz w:val="20"/>
        </w:rPr>
        <w:t xml:space="preserve"> </w:t>
      </w:r>
      <w:r>
        <w:rPr>
          <w:sz w:val="20"/>
        </w:rPr>
        <w:t>is more likely to stretch to find violation</w:t>
      </w:r>
      <w:r w:rsidR="0094040E">
        <w:rPr>
          <w:sz w:val="20"/>
        </w:rPr>
        <w:t xml:space="preserve">– </w:t>
      </w:r>
      <w:r w:rsidR="0094040E">
        <w:rPr>
          <w:i/>
          <w:sz w:val="20"/>
        </w:rPr>
        <w:t xml:space="preserve">eBay </w:t>
      </w:r>
      <w:r w:rsidR="0094040E">
        <w:rPr>
          <w:sz w:val="20"/>
        </w:rPr>
        <w:t>(access to pre-IPO securities</w:t>
      </w:r>
      <w:r>
        <w:rPr>
          <w:sz w:val="20"/>
        </w:rPr>
        <w:t xml:space="preserve"> was violation because eBay was “in business” of investing</w:t>
      </w:r>
      <w:r w:rsidR="0094040E">
        <w:rPr>
          <w:sz w:val="20"/>
        </w:rPr>
        <w:t>)</w:t>
      </w:r>
    </w:p>
    <w:p w14:paraId="5BEA7D35" w14:textId="2F3F82AC" w:rsidR="0094040E" w:rsidRPr="00C7784B" w:rsidRDefault="0094040E" w:rsidP="00F442D0">
      <w:pPr>
        <w:pStyle w:val="ListParagraph"/>
        <w:numPr>
          <w:ilvl w:val="4"/>
          <w:numId w:val="10"/>
        </w:numPr>
      </w:pPr>
      <w:r>
        <w:rPr>
          <w:sz w:val="20"/>
        </w:rPr>
        <w:t xml:space="preserve">This resembles R.2d </w:t>
      </w:r>
      <w:r w:rsidR="00684D53">
        <w:rPr>
          <w:sz w:val="20"/>
        </w:rPr>
        <w:t>§38</w:t>
      </w:r>
      <w:r>
        <w:rPr>
          <w:sz w:val="20"/>
        </w:rPr>
        <w:t xml:space="preserve">8. See also </w:t>
      </w:r>
      <w:r>
        <w:rPr>
          <w:i/>
          <w:sz w:val="20"/>
        </w:rPr>
        <w:t>Reading</w:t>
      </w:r>
    </w:p>
    <w:p w14:paraId="5AE7DF43" w14:textId="49669AAD" w:rsidR="00C7784B" w:rsidRPr="00AA5374" w:rsidRDefault="00C7784B" w:rsidP="00C97581">
      <w:pPr>
        <w:pStyle w:val="ListParagraph"/>
        <w:numPr>
          <w:ilvl w:val="2"/>
          <w:numId w:val="10"/>
        </w:numPr>
      </w:pPr>
      <w:r>
        <w:rPr>
          <w:sz w:val="20"/>
        </w:rPr>
        <w:t>Lack of formal presentation to BoD, while not determinative, is best practice (no conflict of interest if BoD declines to take advantage of opportunity)</w:t>
      </w:r>
    </w:p>
    <w:p w14:paraId="0048BC10" w14:textId="42086A85" w:rsidR="00AA5374" w:rsidRPr="00665C4F" w:rsidRDefault="00C97581" w:rsidP="00C97581">
      <w:pPr>
        <w:pStyle w:val="ListParagraph"/>
        <w:numPr>
          <w:ilvl w:val="3"/>
          <w:numId w:val="10"/>
        </w:numPr>
      </w:pPr>
      <w:r>
        <w:rPr>
          <w:sz w:val="20"/>
        </w:rPr>
        <w:t>Similar</w:t>
      </w:r>
      <w:r w:rsidR="00AA5374">
        <w:rPr>
          <w:sz w:val="20"/>
        </w:rPr>
        <w:t xml:space="preserve"> to </w:t>
      </w:r>
      <w:r w:rsidR="00AA5374">
        <w:rPr>
          <w:i/>
          <w:sz w:val="20"/>
        </w:rPr>
        <w:t xml:space="preserve">Rash v. J.V. </w:t>
      </w:r>
      <w:r w:rsidR="00AA5374">
        <w:rPr>
          <w:sz w:val="20"/>
        </w:rPr>
        <w:t>– adequate disclosure might make problems disappear</w:t>
      </w:r>
    </w:p>
    <w:p w14:paraId="4E59AE3E" w14:textId="3B72CAA7" w:rsidR="00F819DB" w:rsidRPr="00F819DB" w:rsidRDefault="00F819DB" w:rsidP="00665C4F">
      <w:pPr>
        <w:pStyle w:val="ListParagraph"/>
        <w:numPr>
          <w:ilvl w:val="0"/>
          <w:numId w:val="10"/>
        </w:numPr>
      </w:pPr>
      <w:r>
        <w:rPr>
          <w:sz w:val="20"/>
        </w:rPr>
        <w:t>Majority or “dominating” SHs can owe fiduciary duties to minority shareholders</w:t>
      </w:r>
    </w:p>
    <w:p w14:paraId="05C47139" w14:textId="0AA09AA7" w:rsidR="00665C4F" w:rsidRPr="00051BBB" w:rsidRDefault="00C50F6A" w:rsidP="00F819DB">
      <w:pPr>
        <w:pStyle w:val="ListParagraph"/>
        <w:numPr>
          <w:ilvl w:val="1"/>
          <w:numId w:val="10"/>
        </w:numPr>
      </w:pPr>
      <w:r>
        <w:rPr>
          <w:sz w:val="20"/>
        </w:rPr>
        <w:t xml:space="preserve">A parent’s actions will be analyzed under entire fairness if the parent receives a benefit to the exclusion and at the expense of a subsidiary – </w:t>
      </w:r>
      <w:r>
        <w:rPr>
          <w:i/>
          <w:sz w:val="20"/>
        </w:rPr>
        <w:t xml:space="preserve">Sinclair v. </w:t>
      </w:r>
      <w:proofErr w:type="spellStart"/>
      <w:r>
        <w:rPr>
          <w:i/>
          <w:sz w:val="20"/>
        </w:rPr>
        <w:t>Levien</w:t>
      </w:r>
      <w:proofErr w:type="spellEnd"/>
    </w:p>
    <w:p w14:paraId="4294C8BA" w14:textId="22D6FE43" w:rsidR="00051BBB" w:rsidRPr="007713BE" w:rsidRDefault="00051BBB" w:rsidP="00F819DB">
      <w:pPr>
        <w:pStyle w:val="ListParagraph"/>
        <w:numPr>
          <w:ilvl w:val="2"/>
          <w:numId w:val="10"/>
        </w:numPr>
      </w:pPr>
      <w:r>
        <w:rPr>
          <w:sz w:val="20"/>
        </w:rPr>
        <w:t xml:space="preserve">If all SHs receive an equal benefit, however, BJR continues to apply (dividend disproportionately benefits parent, </w:t>
      </w:r>
      <w:r w:rsidR="00E71A41">
        <w:rPr>
          <w:sz w:val="20"/>
        </w:rPr>
        <w:t>but because all SHs also received dividend, waste must be shown to invalidate)</w:t>
      </w:r>
    </w:p>
    <w:p w14:paraId="2CE5278F" w14:textId="7F099990" w:rsidR="007713BE" w:rsidRPr="00F819DB" w:rsidRDefault="007713BE" w:rsidP="00F819DB">
      <w:pPr>
        <w:pStyle w:val="ListParagraph"/>
        <w:numPr>
          <w:ilvl w:val="2"/>
          <w:numId w:val="10"/>
        </w:numPr>
      </w:pPr>
      <w:r>
        <w:rPr>
          <w:sz w:val="20"/>
        </w:rPr>
        <w:t>However, parent’s breach of contract (and causing sub not to pursue action against parent) is self-dealing and must be analyzed under entire fairness</w:t>
      </w:r>
    </w:p>
    <w:p w14:paraId="2E551DC1" w14:textId="377513DE" w:rsidR="00F819DB" w:rsidRPr="002B5F2B" w:rsidRDefault="00F819DB" w:rsidP="00F819DB">
      <w:pPr>
        <w:pStyle w:val="ListParagraph"/>
        <w:numPr>
          <w:ilvl w:val="1"/>
          <w:numId w:val="10"/>
        </w:numPr>
      </w:pPr>
      <w:r>
        <w:rPr>
          <w:sz w:val="20"/>
        </w:rPr>
        <w:t>Majority/controlling SHs have an affirmative duty to disclose material information to minority SHs in order to protect their interests</w:t>
      </w:r>
      <w:r w:rsidR="00F61646">
        <w:rPr>
          <w:sz w:val="20"/>
        </w:rPr>
        <w:t xml:space="preserve"> – </w:t>
      </w:r>
      <w:r w:rsidR="00F61646">
        <w:rPr>
          <w:i/>
          <w:sz w:val="20"/>
        </w:rPr>
        <w:t xml:space="preserve">Zahn v. Transamerica </w:t>
      </w:r>
      <w:r w:rsidR="00F61646">
        <w:rPr>
          <w:sz w:val="20"/>
        </w:rPr>
        <w:t>(</w:t>
      </w:r>
      <w:r w:rsidR="00DA4BF7">
        <w:rPr>
          <w:sz w:val="20"/>
        </w:rPr>
        <w:t xml:space="preserve">controlling SH </w:t>
      </w:r>
      <w:r w:rsidR="00F61646">
        <w:rPr>
          <w:sz w:val="20"/>
        </w:rPr>
        <w:t>plot</w:t>
      </w:r>
      <w:r w:rsidR="00DA4BF7">
        <w:rPr>
          <w:sz w:val="20"/>
        </w:rPr>
        <w:t>s</w:t>
      </w:r>
      <w:r w:rsidR="00F61646">
        <w:rPr>
          <w:sz w:val="20"/>
        </w:rPr>
        <w:t xml:space="preserve"> to redeem Class A shares, liquidate company to appropriat</w:t>
      </w:r>
      <w:r w:rsidR="00DA4BF7">
        <w:rPr>
          <w:sz w:val="20"/>
        </w:rPr>
        <w:t>e more of liquidation value)</w:t>
      </w:r>
    </w:p>
    <w:p w14:paraId="2188045E" w14:textId="1C128632" w:rsidR="002B5F2B" w:rsidRPr="00187363" w:rsidRDefault="002B5F2B" w:rsidP="002B5F2B">
      <w:pPr>
        <w:pStyle w:val="ListParagraph"/>
        <w:numPr>
          <w:ilvl w:val="2"/>
          <w:numId w:val="10"/>
        </w:numPr>
      </w:pPr>
      <w:r>
        <w:rPr>
          <w:sz w:val="20"/>
        </w:rPr>
        <w:t>If true intentions had been disclosed, class A SHs could have made informed decision to maximize value (</w:t>
      </w:r>
      <w:r w:rsidR="00187363">
        <w:rPr>
          <w:sz w:val="20"/>
        </w:rPr>
        <w:t>convert to class B</w:t>
      </w:r>
      <w:r>
        <w:rPr>
          <w:sz w:val="20"/>
        </w:rPr>
        <w:t xml:space="preserve"> or receive redemption value)</w:t>
      </w:r>
    </w:p>
    <w:p w14:paraId="0DB2E590" w14:textId="133F2209" w:rsidR="00187363" w:rsidRPr="00C639BC" w:rsidRDefault="00187363" w:rsidP="002B5F2B">
      <w:pPr>
        <w:pStyle w:val="ListParagraph"/>
        <w:numPr>
          <w:ilvl w:val="2"/>
          <w:numId w:val="10"/>
        </w:numPr>
      </w:pPr>
      <w:r>
        <w:rPr>
          <w:sz w:val="20"/>
        </w:rPr>
        <w:t xml:space="preserve">Controlling SHs may not benefit one class of SHs at the expense of another – fiduciary duty is owed to </w:t>
      </w:r>
      <w:r>
        <w:rPr>
          <w:i/>
          <w:sz w:val="20"/>
        </w:rPr>
        <w:t xml:space="preserve">all </w:t>
      </w:r>
      <w:r>
        <w:rPr>
          <w:sz w:val="20"/>
        </w:rPr>
        <w:t>SHs</w:t>
      </w:r>
    </w:p>
    <w:p w14:paraId="6B3BF661" w14:textId="63B567BD" w:rsidR="00C639BC" w:rsidRPr="00C639BC" w:rsidRDefault="00C639BC" w:rsidP="00C639BC">
      <w:pPr>
        <w:pStyle w:val="ListParagraph"/>
        <w:numPr>
          <w:ilvl w:val="1"/>
          <w:numId w:val="10"/>
        </w:numPr>
      </w:pPr>
      <w:r>
        <w:rPr>
          <w:sz w:val="20"/>
        </w:rPr>
        <w:t xml:space="preserve">If defendants demonstrate ratification by majority of minority (disinterested) SHs, plaintiffs must prove entire </w:t>
      </w:r>
      <w:r>
        <w:rPr>
          <w:i/>
          <w:sz w:val="20"/>
        </w:rPr>
        <w:t>un</w:t>
      </w:r>
      <w:r>
        <w:rPr>
          <w:sz w:val="20"/>
        </w:rPr>
        <w:t>fairness</w:t>
      </w:r>
      <w:r w:rsidR="00D55795">
        <w:rPr>
          <w:sz w:val="20"/>
        </w:rPr>
        <w:t xml:space="preserve"> – </w:t>
      </w:r>
      <w:proofErr w:type="spellStart"/>
      <w:r w:rsidR="00D55795">
        <w:rPr>
          <w:i/>
          <w:sz w:val="20"/>
        </w:rPr>
        <w:t>Wheelabrator</w:t>
      </w:r>
      <w:proofErr w:type="spellEnd"/>
      <w:r w:rsidR="00D55795">
        <w:rPr>
          <w:i/>
          <w:sz w:val="20"/>
        </w:rPr>
        <w:t xml:space="preserve"> </w:t>
      </w:r>
    </w:p>
    <w:p w14:paraId="59F6A007" w14:textId="2F3BFE2E" w:rsidR="00C639BC" w:rsidRPr="00521CFA" w:rsidRDefault="00C639BC" w:rsidP="00C639BC">
      <w:pPr>
        <w:pStyle w:val="ListParagraph"/>
        <w:numPr>
          <w:ilvl w:val="2"/>
          <w:numId w:val="10"/>
        </w:numPr>
      </w:pPr>
      <w:r>
        <w:rPr>
          <w:sz w:val="20"/>
        </w:rPr>
        <w:t>This is easier than getting around BJR or proving waste</w:t>
      </w:r>
      <w:r w:rsidR="0097201F">
        <w:rPr>
          <w:sz w:val="20"/>
        </w:rPr>
        <w:t>, due to concern for manipulation of minority SHs by majority</w:t>
      </w:r>
    </w:p>
    <w:p w14:paraId="2B92E83B" w14:textId="4419C4F0" w:rsidR="00521CFA" w:rsidRPr="002602AD" w:rsidRDefault="00521CFA" w:rsidP="00521CFA">
      <w:pPr>
        <w:pStyle w:val="ListParagraph"/>
        <w:numPr>
          <w:ilvl w:val="3"/>
          <w:numId w:val="10"/>
        </w:numPr>
      </w:pPr>
      <w:r>
        <w:rPr>
          <w:sz w:val="20"/>
        </w:rPr>
        <w:t>To get this lower burden (as opposed to BJR under DGCL §144(2)), plaintiffs must show defendants exercise de facto or de jure control over company</w:t>
      </w:r>
    </w:p>
    <w:p w14:paraId="03583354" w14:textId="4CF74870" w:rsidR="002602AD" w:rsidRPr="002602AD" w:rsidRDefault="002602AD" w:rsidP="002602AD">
      <w:pPr>
        <w:pStyle w:val="ListParagraph"/>
        <w:numPr>
          <w:ilvl w:val="1"/>
          <w:numId w:val="10"/>
        </w:numPr>
      </w:pPr>
      <w:r>
        <w:rPr>
          <w:sz w:val="20"/>
        </w:rPr>
        <w:lastRenderedPageBreak/>
        <w:t xml:space="preserve">If a special committee of independent directors approve a transaction, the plaintiffs will bear the burden of entire </w:t>
      </w:r>
      <w:r>
        <w:rPr>
          <w:i/>
          <w:sz w:val="20"/>
        </w:rPr>
        <w:t>un</w:t>
      </w:r>
      <w:r>
        <w:rPr>
          <w:sz w:val="20"/>
        </w:rPr>
        <w:t>fairness</w:t>
      </w:r>
      <w:r w:rsidR="000E21D0">
        <w:rPr>
          <w:sz w:val="20"/>
        </w:rPr>
        <w:t xml:space="preserve"> – </w:t>
      </w:r>
      <w:r w:rsidR="000E21D0">
        <w:rPr>
          <w:i/>
          <w:sz w:val="20"/>
        </w:rPr>
        <w:t>Kahn v. Lynch</w:t>
      </w:r>
    </w:p>
    <w:p w14:paraId="58D95A19" w14:textId="72D9A1E0" w:rsidR="002602AD" w:rsidRPr="00910B4A" w:rsidRDefault="002602AD" w:rsidP="002602AD">
      <w:pPr>
        <w:pStyle w:val="ListParagraph"/>
        <w:numPr>
          <w:ilvl w:val="2"/>
          <w:numId w:val="10"/>
        </w:numPr>
      </w:pPr>
      <w:r>
        <w:rPr>
          <w:sz w:val="20"/>
        </w:rPr>
        <w:t xml:space="preserve">If both a special committee </w:t>
      </w:r>
      <w:r>
        <w:rPr>
          <w:i/>
          <w:sz w:val="20"/>
        </w:rPr>
        <w:t xml:space="preserve">and </w:t>
      </w:r>
      <w:r>
        <w:rPr>
          <w:sz w:val="20"/>
        </w:rPr>
        <w:t xml:space="preserve">precondition of transaction approval </w:t>
      </w:r>
      <w:r w:rsidR="008F0905">
        <w:rPr>
          <w:sz w:val="20"/>
        </w:rPr>
        <w:t>by</w:t>
      </w:r>
      <w:r>
        <w:rPr>
          <w:sz w:val="20"/>
        </w:rPr>
        <w:t xml:space="preserve"> majority of disinterested SHs are present, the standard of review </w:t>
      </w:r>
      <w:r>
        <w:rPr>
          <w:i/>
          <w:sz w:val="20"/>
        </w:rPr>
        <w:t xml:space="preserve">finally </w:t>
      </w:r>
      <w:r>
        <w:rPr>
          <w:sz w:val="20"/>
        </w:rPr>
        <w:t>shifts to BJR</w:t>
      </w:r>
      <w:r w:rsidR="000E21D0">
        <w:rPr>
          <w:sz w:val="20"/>
        </w:rPr>
        <w:t xml:space="preserve"> – </w:t>
      </w:r>
      <w:r w:rsidR="000E21D0">
        <w:rPr>
          <w:i/>
          <w:sz w:val="20"/>
        </w:rPr>
        <w:t>Kahn v. MFW</w:t>
      </w:r>
    </w:p>
    <w:p w14:paraId="2B29F309" w14:textId="752B14D6" w:rsidR="000767BF" w:rsidRDefault="000767BF" w:rsidP="000767BF">
      <w:pPr>
        <w:pStyle w:val="Heading4"/>
        <w:rPr>
          <w:sz w:val="20"/>
        </w:rPr>
      </w:pPr>
      <w:r w:rsidRPr="000767BF">
        <w:rPr>
          <w:sz w:val="20"/>
        </w:rPr>
        <w:t>Duty of Good Faith</w:t>
      </w:r>
    </w:p>
    <w:p w14:paraId="4F2DC3DA" w14:textId="74AA3AB7" w:rsidR="0005215B" w:rsidRPr="0005215B" w:rsidRDefault="0005215B" w:rsidP="0005215B">
      <w:pPr>
        <w:pStyle w:val="ListParagraph"/>
        <w:numPr>
          <w:ilvl w:val="0"/>
          <w:numId w:val="11"/>
        </w:numPr>
      </w:pPr>
      <w:r>
        <w:rPr>
          <w:sz w:val="20"/>
        </w:rPr>
        <w:t>Great deal of uncertainty as to whether good faith is a freestanding duty (along with care and loyalty) or subsumed into these two inquiries</w:t>
      </w:r>
    </w:p>
    <w:p w14:paraId="419B7D69" w14:textId="671C40E2" w:rsidR="0005215B" w:rsidRPr="00806058" w:rsidRDefault="0005215B" w:rsidP="0005215B">
      <w:pPr>
        <w:pStyle w:val="ListParagraph"/>
        <w:numPr>
          <w:ilvl w:val="1"/>
          <w:numId w:val="11"/>
        </w:numPr>
      </w:pPr>
      <w:r>
        <w:rPr>
          <w:i/>
          <w:sz w:val="20"/>
        </w:rPr>
        <w:t xml:space="preserve">Cede v. Technicolor </w:t>
      </w:r>
      <w:r>
        <w:rPr>
          <w:sz w:val="20"/>
        </w:rPr>
        <w:t>states that there is a triad of fiduciary duties</w:t>
      </w:r>
    </w:p>
    <w:p w14:paraId="41F20654" w14:textId="21EC13DF" w:rsidR="00806058" w:rsidRPr="00D630CD" w:rsidRDefault="00806058" w:rsidP="0005215B">
      <w:pPr>
        <w:pStyle w:val="ListParagraph"/>
        <w:numPr>
          <w:ilvl w:val="1"/>
          <w:numId w:val="11"/>
        </w:numPr>
      </w:pPr>
      <w:r>
        <w:rPr>
          <w:i/>
          <w:sz w:val="20"/>
        </w:rPr>
        <w:t xml:space="preserve">Stone v. Ritter </w:t>
      </w:r>
      <w:r>
        <w:rPr>
          <w:sz w:val="20"/>
        </w:rPr>
        <w:t>returns to two fiduciary duties: care and loyalty (good faith is a branch of latter)</w:t>
      </w:r>
    </w:p>
    <w:p w14:paraId="7D809807" w14:textId="6DCA45D6" w:rsidR="00D630CD" w:rsidRPr="00D630CD" w:rsidRDefault="00D630CD" w:rsidP="00D630CD">
      <w:pPr>
        <w:pStyle w:val="ListParagraph"/>
        <w:numPr>
          <w:ilvl w:val="0"/>
          <w:numId w:val="11"/>
        </w:numPr>
      </w:pPr>
      <w:r>
        <w:rPr>
          <w:sz w:val="20"/>
        </w:rPr>
        <w:t>Because co</w:t>
      </w:r>
      <w:r w:rsidR="00F21CF3">
        <w:rPr>
          <w:sz w:val="20"/>
        </w:rPr>
        <w:t>mpensation decisions are protected</w:t>
      </w:r>
      <w:r>
        <w:rPr>
          <w:sz w:val="20"/>
        </w:rPr>
        <w:t xml:space="preserve"> by BJ</w:t>
      </w:r>
      <w:r w:rsidR="00F21CF3">
        <w:rPr>
          <w:sz w:val="20"/>
        </w:rPr>
        <w:t xml:space="preserve">R, plaintiffs must allege </w:t>
      </w:r>
      <w:r>
        <w:rPr>
          <w:sz w:val="20"/>
        </w:rPr>
        <w:t xml:space="preserve">breach of duty of care or bad faith – </w:t>
      </w:r>
      <w:r>
        <w:rPr>
          <w:i/>
          <w:sz w:val="20"/>
        </w:rPr>
        <w:t>Disney</w:t>
      </w:r>
    </w:p>
    <w:p w14:paraId="031694BA" w14:textId="4DCF9654" w:rsidR="00D630CD" w:rsidRPr="00402C5B" w:rsidRDefault="00402C5B" w:rsidP="00D630CD">
      <w:pPr>
        <w:pStyle w:val="ListParagraph"/>
        <w:numPr>
          <w:ilvl w:val="1"/>
          <w:numId w:val="11"/>
        </w:numPr>
      </w:pPr>
      <w:r>
        <w:rPr>
          <w:sz w:val="20"/>
        </w:rPr>
        <w:t>Bad faith is defined as either 1) conduct motivated by actual intent to harm (subjective bad faith) or 2) intentional dereliction of duty; conscious disregard of responsibilities</w:t>
      </w:r>
    </w:p>
    <w:p w14:paraId="2FC6FEFD" w14:textId="0FF85C76" w:rsidR="00402C5B" w:rsidRPr="006E2CD2" w:rsidRDefault="00402C5B" w:rsidP="00402C5B">
      <w:pPr>
        <w:pStyle w:val="ListParagraph"/>
        <w:numPr>
          <w:ilvl w:val="2"/>
          <w:numId w:val="11"/>
        </w:numPr>
      </w:pPr>
      <w:r>
        <w:rPr>
          <w:sz w:val="20"/>
        </w:rPr>
        <w:t>Gross negligence, without more, does not rise to bad faith</w:t>
      </w:r>
    </w:p>
    <w:p w14:paraId="6B2DB013" w14:textId="77777777" w:rsidR="00780A71" w:rsidRPr="00780A71" w:rsidRDefault="006E2CD2" w:rsidP="00780A71">
      <w:pPr>
        <w:pStyle w:val="ListParagraph"/>
        <w:numPr>
          <w:ilvl w:val="2"/>
          <w:numId w:val="11"/>
        </w:numPr>
      </w:pPr>
      <w:r>
        <w:rPr>
          <w:sz w:val="20"/>
        </w:rPr>
        <w:t>DGCL §102(7) can’t exculpate personal liability for breach of duty of loyalty or bad faith</w:t>
      </w:r>
    </w:p>
    <w:p w14:paraId="5CD02DD3" w14:textId="1C54EBEA" w:rsidR="00780A71" w:rsidRDefault="00780A71" w:rsidP="00780A71">
      <w:pPr>
        <w:pStyle w:val="ListParagraph"/>
        <w:numPr>
          <w:ilvl w:val="0"/>
          <w:numId w:val="11"/>
        </w:numPr>
        <w:rPr>
          <w:sz w:val="20"/>
        </w:rPr>
      </w:pPr>
      <w:r w:rsidRPr="00780A71">
        <w:rPr>
          <w:i/>
          <w:sz w:val="20"/>
        </w:rPr>
        <w:t>Caremark</w:t>
      </w:r>
      <w:r w:rsidRPr="00780A71">
        <w:rPr>
          <w:sz w:val="20"/>
        </w:rPr>
        <w:t xml:space="preserve"> </w:t>
      </w:r>
      <w:r>
        <w:rPr>
          <w:sz w:val="20"/>
        </w:rPr>
        <w:t>duties require directors to attempt in good faith to assure that an adequate corporate information/reporting system exists</w:t>
      </w:r>
    </w:p>
    <w:p w14:paraId="00EB285C" w14:textId="631387A8" w:rsidR="00780A71" w:rsidRDefault="00780A71" w:rsidP="00780A71">
      <w:pPr>
        <w:pStyle w:val="ListParagraph"/>
        <w:numPr>
          <w:ilvl w:val="1"/>
          <w:numId w:val="11"/>
        </w:numPr>
        <w:rPr>
          <w:sz w:val="20"/>
        </w:rPr>
      </w:pPr>
      <w:r>
        <w:rPr>
          <w:sz w:val="20"/>
        </w:rPr>
        <w:t>Only a sustained/systemic failure to exercise oversight will establish a lack of good faith</w:t>
      </w:r>
    </w:p>
    <w:p w14:paraId="1D4F3045" w14:textId="00A6455A" w:rsidR="005E5F38" w:rsidRDefault="005E5F38" w:rsidP="005E5F38">
      <w:pPr>
        <w:pStyle w:val="ListParagraph"/>
        <w:numPr>
          <w:ilvl w:val="2"/>
          <w:numId w:val="11"/>
        </w:numPr>
        <w:rPr>
          <w:sz w:val="20"/>
        </w:rPr>
      </w:pPr>
      <w:r>
        <w:rPr>
          <w:sz w:val="20"/>
        </w:rPr>
        <w:t xml:space="preserve">Similar to </w:t>
      </w:r>
      <w:r>
        <w:rPr>
          <w:i/>
          <w:sz w:val="20"/>
        </w:rPr>
        <w:t>Disney’</w:t>
      </w:r>
      <w:r>
        <w:rPr>
          <w:sz w:val="20"/>
        </w:rPr>
        <w:t>s articulated standard of conscious disregard of known fiduciary duties</w:t>
      </w:r>
    </w:p>
    <w:p w14:paraId="05BF424D" w14:textId="28D6974A" w:rsidR="00956C27" w:rsidRDefault="00956C27" w:rsidP="005E5F38">
      <w:pPr>
        <w:pStyle w:val="ListParagraph"/>
        <w:numPr>
          <w:ilvl w:val="2"/>
          <w:numId w:val="11"/>
        </w:numPr>
        <w:rPr>
          <w:sz w:val="20"/>
        </w:rPr>
      </w:pPr>
      <w:r>
        <w:rPr>
          <w:sz w:val="20"/>
        </w:rPr>
        <w:t>Probably elevates standard of bad faith to some kind of mal-intent</w:t>
      </w:r>
    </w:p>
    <w:p w14:paraId="3F0215A2" w14:textId="1EFBF357" w:rsidR="00806058" w:rsidRDefault="00806058" w:rsidP="00780A71">
      <w:pPr>
        <w:pStyle w:val="ListParagraph"/>
        <w:numPr>
          <w:ilvl w:val="1"/>
          <w:numId w:val="11"/>
        </w:numPr>
        <w:rPr>
          <w:sz w:val="20"/>
        </w:rPr>
      </w:pPr>
      <w:r>
        <w:rPr>
          <w:sz w:val="20"/>
        </w:rPr>
        <w:t>Oversight liability attaches if: (</w:t>
      </w:r>
      <w:r>
        <w:rPr>
          <w:i/>
          <w:sz w:val="20"/>
        </w:rPr>
        <w:t>Stone v. Ritter</w:t>
      </w:r>
      <w:r>
        <w:rPr>
          <w:sz w:val="20"/>
        </w:rPr>
        <w:t xml:space="preserve">) </w:t>
      </w:r>
    </w:p>
    <w:p w14:paraId="54DD7867" w14:textId="168D7D99" w:rsidR="00806058" w:rsidRDefault="00806058" w:rsidP="00806058">
      <w:pPr>
        <w:pStyle w:val="ListParagraph"/>
        <w:numPr>
          <w:ilvl w:val="2"/>
          <w:numId w:val="11"/>
        </w:numPr>
        <w:rPr>
          <w:sz w:val="20"/>
        </w:rPr>
      </w:pPr>
      <w:r>
        <w:rPr>
          <w:sz w:val="20"/>
        </w:rPr>
        <w:t xml:space="preserve">Directors failed to implement </w:t>
      </w:r>
      <w:r>
        <w:rPr>
          <w:i/>
          <w:sz w:val="20"/>
        </w:rPr>
        <w:t xml:space="preserve">any </w:t>
      </w:r>
      <w:r w:rsidR="00375B0E">
        <w:rPr>
          <w:sz w:val="20"/>
        </w:rPr>
        <w:t>reporting systems</w:t>
      </w:r>
    </w:p>
    <w:p w14:paraId="4D1803B0" w14:textId="3DD9013F" w:rsidR="00375B0E" w:rsidRDefault="00375B0E" w:rsidP="00375B0E">
      <w:pPr>
        <w:pStyle w:val="ListParagraph"/>
        <w:numPr>
          <w:ilvl w:val="3"/>
          <w:numId w:val="11"/>
        </w:numPr>
        <w:rPr>
          <w:sz w:val="20"/>
        </w:rPr>
      </w:pPr>
      <w:r>
        <w:rPr>
          <w:sz w:val="20"/>
        </w:rPr>
        <w:t xml:space="preserve">Liability also attaches if reporting systems were not </w:t>
      </w:r>
      <w:r>
        <w:rPr>
          <w:i/>
          <w:sz w:val="20"/>
        </w:rPr>
        <w:t xml:space="preserve">meaningful </w:t>
      </w:r>
      <w:r>
        <w:rPr>
          <w:sz w:val="20"/>
        </w:rPr>
        <w:t xml:space="preserve">– </w:t>
      </w:r>
      <w:r>
        <w:rPr>
          <w:i/>
          <w:sz w:val="20"/>
        </w:rPr>
        <w:t>Rich v. Chong</w:t>
      </w:r>
    </w:p>
    <w:p w14:paraId="472A7EDC" w14:textId="71E48FBE" w:rsidR="00806058" w:rsidRPr="00780A71" w:rsidRDefault="00806058" w:rsidP="00806058">
      <w:pPr>
        <w:pStyle w:val="ListParagraph"/>
        <w:numPr>
          <w:ilvl w:val="2"/>
          <w:numId w:val="11"/>
        </w:numPr>
        <w:rPr>
          <w:sz w:val="20"/>
        </w:rPr>
      </w:pPr>
      <w:r>
        <w:rPr>
          <w:sz w:val="20"/>
        </w:rPr>
        <w:t>Directors failed to monitor/oversee existing reporting systems</w:t>
      </w:r>
    </w:p>
    <w:p w14:paraId="44995197" w14:textId="22220A4B" w:rsidR="000767BF" w:rsidRDefault="000767BF" w:rsidP="000767BF">
      <w:pPr>
        <w:pStyle w:val="Heading4"/>
        <w:rPr>
          <w:sz w:val="20"/>
        </w:rPr>
      </w:pPr>
      <w:r w:rsidRPr="000767BF">
        <w:rPr>
          <w:sz w:val="20"/>
        </w:rPr>
        <w:t>Disclosure &amp; Fairness</w:t>
      </w:r>
    </w:p>
    <w:p w14:paraId="0EF1914D" w14:textId="4817F5BE" w:rsidR="006F5634" w:rsidRPr="001F15E7" w:rsidRDefault="00375B0E" w:rsidP="00375B0E">
      <w:pPr>
        <w:pStyle w:val="ListParagraph"/>
        <w:numPr>
          <w:ilvl w:val="0"/>
          <w:numId w:val="12"/>
        </w:numPr>
      </w:pPr>
      <w:r>
        <w:rPr>
          <w:sz w:val="20"/>
        </w:rPr>
        <w:t xml:space="preserve">Securities Act of 1933 is primarily concerned with the primary securities market. </w:t>
      </w:r>
      <w:r w:rsidR="001F15E7">
        <w:rPr>
          <w:sz w:val="20"/>
        </w:rPr>
        <w:t>Emphasis is on disclosure</w:t>
      </w:r>
    </w:p>
    <w:p w14:paraId="5A3B65EB" w14:textId="514C6655" w:rsidR="001F15E7" w:rsidRPr="001F15E7" w:rsidRDefault="001F15E7" w:rsidP="00375B0E">
      <w:pPr>
        <w:pStyle w:val="ListParagraph"/>
        <w:numPr>
          <w:ilvl w:val="0"/>
          <w:numId w:val="12"/>
        </w:numPr>
      </w:pPr>
      <w:r>
        <w:rPr>
          <w:sz w:val="20"/>
        </w:rPr>
        <w:t>Securities Exchange Act of 1934 is primarily concerned with secondary markets (insider trading, regulation of proxy contests and tender offers, etc.)</w:t>
      </w:r>
    </w:p>
    <w:p w14:paraId="7A054B74" w14:textId="77777777" w:rsidR="001F15E7" w:rsidRPr="001F15E7" w:rsidRDefault="001F15E7" w:rsidP="00375B0E">
      <w:pPr>
        <w:pStyle w:val="ListParagraph"/>
        <w:numPr>
          <w:ilvl w:val="0"/>
          <w:numId w:val="12"/>
        </w:numPr>
      </w:pPr>
      <w:r>
        <w:rPr>
          <w:sz w:val="20"/>
        </w:rPr>
        <w:t xml:space="preserve">Under §2(1) of the ’33 Act, a security is either something that falls within a list of specific instruments (stock, bonds, etc.) or a list of general, catch-all provisions. </w:t>
      </w:r>
    </w:p>
    <w:p w14:paraId="7AFEAF6E" w14:textId="189D2630" w:rsidR="001F15E7" w:rsidRPr="001F15E7" w:rsidRDefault="00681272" w:rsidP="001F15E7">
      <w:pPr>
        <w:pStyle w:val="ListParagraph"/>
        <w:numPr>
          <w:ilvl w:val="1"/>
          <w:numId w:val="12"/>
        </w:numPr>
      </w:pPr>
      <w:r>
        <w:rPr>
          <w:sz w:val="20"/>
        </w:rPr>
        <w:t xml:space="preserve">§2 </w:t>
      </w:r>
      <w:r w:rsidR="001F15E7">
        <w:rPr>
          <w:sz w:val="20"/>
        </w:rPr>
        <w:t xml:space="preserve">includes an escape hatch – definitions should be followed unless </w:t>
      </w:r>
      <w:r>
        <w:rPr>
          <w:sz w:val="20"/>
        </w:rPr>
        <w:t>“</w:t>
      </w:r>
      <w:r w:rsidR="001F15E7">
        <w:rPr>
          <w:sz w:val="20"/>
        </w:rPr>
        <w:t>context otherwise requires”</w:t>
      </w:r>
    </w:p>
    <w:p w14:paraId="7D9B5C00" w14:textId="3568AE15" w:rsidR="001F15E7" w:rsidRPr="00C44873" w:rsidRDefault="001F15E7" w:rsidP="001F15E7">
      <w:pPr>
        <w:pStyle w:val="ListParagraph"/>
        <w:numPr>
          <w:ilvl w:val="2"/>
          <w:numId w:val="12"/>
        </w:numPr>
      </w:pPr>
      <w:r>
        <w:rPr>
          <w:sz w:val="20"/>
        </w:rPr>
        <w:t xml:space="preserve">Allows courts to ask if the act </w:t>
      </w:r>
      <w:r>
        <w:rPr>
          <w:i/>
          <w:sz w:val="20"/>
        </w:rPr>
        <w:t xml:space="preserve">should </w:t>
      </w:r>
      <w:r>
        <w:rPr>
          <w:sz w:val="20"/>
        </w:rPr>
        <w:t>cover these instruments – policy analysis</w:t>
      </w:r>
    </w:p>
    <w:p w14:paraId="75D25234" w14:textId="74F96B90" w:rsidR="00C44873" w:rsidRPr="00C44873" w:rsidRDefault="00C44873" w:rsidP="00C44873">
      <w:pPr>
        <w:pStyle w:val="ListParagraph"/>
        <w:numPr>
          <w:ilvl w:val="1"/>
          <w:numId w:val="12"/>
        </w:numPr>
      </w:pPr>
      <w:r>
        <w:rPr>
          <w:sz w:val="20"/>
        </w:rPr>
        <w:t>Agreement cannot invoke securities laws simply by labeling itself “stock” or “security”</w:t>
      </w:r>
    </w:p>
    <w:p w14:paraId="6E2FAD75" w14:textId="5ED01FC6" w:rsidR="00C44873" w:rsidRPr="00C44873" w:rsidRDefault="00C44873" w:rsidP="00C44873">
      <w:pPr>
        <w:pStyle w:val="ListParagraph"/>
        <w:numPr>
          <w:ilvl w:val="2"/>
          <w:numId w:val="12"/>
        </w:numPr>
      </w:pPr>
      <w:r>
        <w:rPr>
          <w:sz w:val="20"/>
        </w:rPr>
        <w:t>Five common characteristics of stock are: 1) Right to receive dividends; 2) Negotiability; 3) Ability to be pledged; 4) Voting rights; and 5) Capacity to appreciate in value</w:t>
      </w:r>
    </w:p>
    <w:p w14:paraId="6B3EDB1C" w14:textId="74B8BCCB" w:rsidR="00C44873" w:rsidRPr="00C44873" w:rsidRDefault="00C44873" w:rsidP="00C44873">
      <w:pPr>
        <w:pStyle w:val="ListParagraph"/>
        <w:numPr>
          <w:ilvl w:val="1"/>
          <w:numId w:val="12"/>
        </w:numPr>
      </w:pPr>
      <w:r>
        <w:rPr>
          <w:sz w:val="20"/>
        </w:rPr>
        <w:t xml:space="preserve">Under </w:t>
      </w:r>
      <w:r>
        <w:rPr>
          <w:i/>
          <w:sz w:val="20"/>
        </w:rPr>
        <w:t>Howey</w:t>
      </w:r>
      <w:r>
        <w:rPr>
          <w:sz w:val="20"/>
        </w:rPr>
        <w:t>, an “investment contract” is defined as 1) an investment of money, 2) in a common enterprise, 3) with expectation of profits, 4) solely from efforts of others</w:t>
      </w:r>
    </w:p>
    <w:p w14:paraId="2EB29E9F" w14:textId="714C072D" w:rsidR="00C44873" w:rsidRPr="00C44873" w:rsidRDefault="00C44873" w:rsidP="00C44873">
      <w:pPr>
        <w:pStyle w:val="ListParagraph"/>
        <w:numPr>
          <w:ilvl w:val="2"/>
          <w:numId w:val="12"/>
        </w:numPr>
      </w:pPr>
      <w:r>
        <w:rPr>
          <w:sz w:val="20"/>
        </w:rPr>
        <w:t xml:space="preserve">“Solely” has been replaced with question of whether investor may exercise meaningful control over his investment – </w:t>
      </w:r>
      <w:r>
        <w:rPr>
          <w:i/>
          <w:sz w:val="20"/>
        </w:rPr>
        <w:t xml:space="preserve">Robinson v. Glynn </w:t>
      </w:r>
      <w:r>
        <w:rPr>
          <w:sz w:val="20"/>
        </w:rPr>
        <w:t>(owner convinced investor propriety phone technology was being used – it wasn’t)</w:t>
      </w:r>
    </w:p>
    <w:p w14:paraId="0CBC33D3" w14:textId="0D3E72CA" w:rsidR="00C44873" w:rsidRPr="005A70A5" w:rsidRDefault="00C44873" w:rsidP="00C44873">
      <w:pPr>
        <w:pStyle w:val="ListParagraph"/>
        <w:numPr>
          <w:ilvl w:val="3"/>
          <w:numId w:val="12"/>
        </w:numPr>
      </w:pPr>
      <w:r>
        <w:rPr>
          <w:sz w:val="20"/>
        </w:rPr>
        <w:t xml:space="preserve">Totality of the circumstances inquiry – </w:t>
      </w:r>
      <w:r>
        <w:rPr>
          <w:i/>
          <w:sz w:val="20"/>
        </w:rPr>
        <w:t xml:space="preserve">Robinson </w:t>
      </w:r>
      <w:r>
        <w:rPr>
          <w:sz w:val="20"/>
        </w:rPr>
        <w:t>court refuses to broadly hold that LLC interests are (or are not) securities within ’33 Act’s meaning</w:t>
      </w:r>
    </w:p>
    <w:p w14:paraId="53498526" w14:textId="45CA7698" w:rsidR="005A70A5" w:rsidRPr="005A70A5" w:rsidRDefault="005A70A5" w:rsidP="00243A92">
      <w:pPr>
        <w:pStyle w:val="ListParagraph"/>
        <w:numPr>
          <w:ilvl w:val="2"/>
          <w:numId w:val="12"/>
        </w:numPr>
      </w:pPr>
      <w:r>
        <w:rPr>
          <w:sz w:val="20"/>
        </w:rPr>
        <w:t xml:space="preserve">Close corporations’ stocks, bonds, notes, etc. </w:t>
      </w:r>
      <w:r>
        <w:rPr>
          <w:i/>
          <w:sz w:val="20"/>
        </w:rPr>
        <w:t xml:space="preserve">are </w:t>
      </w:r>
      <w:r>
        <w:rPr>
          <w:sz w:val="20"/>
        </w:rPr>
        <w:t>securities, although might not be subject to registration requirements</w:t>
      </w:r>
    </w:p>
    <w:p w14:paraId="033487FA" w14:textId="5ADBCB58" w:rsidR="005A70A5" w:rsidRPr="001F15E7" w:rsidRDefault="005A70A5" w:rsidP="00243A92">
      <w:pPr>
        <w:pStyle w:val="ListParagraph"/>
        <w:numPr>
          <w:ilvl w:val="2"/>
          <w:numId w:val="12"/>
        </w:numPr>
      </w:pPr>
      <w:r>
        <w:rPr>
          <w:sz w:val="20"/>
        </w:rPr>
        <w:t xml:space="preserve">Limited partnership interests </w:t>
      </w:r>
      <w:r>
        <w:rPr>
          <w:i/>
          <w:sz w:val="20"/>
        </w:rPr>
        <w:t xml:space="preserve">are </w:t>
      </w:r>
      <w:r>
        <w:rPr>
          <w:sz w:val="20"/>
        </w:rPr>
        <w:t>securities BUT general partnership interests are not</w:t>
      </w:r>
    </w:p>
    <w:p w14:paraId="3D54E70D" w14:textId="170AC18C" w:rsidR="001F15E7" w:rsidRPr="00243A92" w:rsidRDefault="001F15E7" w:rsidP="001F15E7">
      <w:pPr>
        <w:pStyle w:val="ListParagraph"/>
        <w:numPr>
          <w:ilvl w:val="0"/>
          <w:numId w:val="12"/>
        </w:numPr>
      </w:pPr>
      <w:r>
        <w:rPr>
          <w:sz w:val="20"/>
        </w:rPr>
        <w:t>Under §5 of the ’33 Act, a security cannot</w:t>
      </w:r>
      <w:r w:rsidR="00F21CF3">
        <w:rPr>
          <w:sz w:val="20"/>
        </w:rPr>
        <w:t xml:space="preserve"> 1) be offered for sale unless</w:t>
      </w:r>
      <w:r>
        <w:rPr>
          <w:sz w:val="20"/>
        </w:rPr>
        <w:t xml:space="preserve"> registration statement has b</w:t>
      </w:r>
      <w:r w:rsidR="00F21CF3">
        <w:rPr>
          <w:sz w:val="20"/>
        </w:rPr>
        <w:t xml:space="preserve">een filed, 2) be sold until </w:t>
      </w:r>
      <w:r>
        <w:rPr>
          <w:sz w:val="20"/>
        </w:rPr>
        <w:t>registration statement has become effectiv</w:t>
      </w:r>
      <w:r w:rsidR="00F21CF3">
        <w:rPr>
          <w:sz w:val="20"/>
        </w:rPr>
        <w:t xml:space="preserve">e, and 3) be sold until </w:t>
      </w:r>
      <w:r>
        <w:rPr>
          <w:sz w:val="20"/>
        </w:rPr>
        <w:t>prospectus has been delivered to the buyer</w:t>
      </w:r>
    </w:p>
    <w:p w14:paraId="5900F8E7" w14:textId="67A75ECC" w:rsidR="00243A92" w:rsidRPr="00E965A8" w:rsidRDefault="00592B75" w:rsidP="00243A92">
      <w:pPr>
        <w:pStyle w:val="ListParagraph"/>
        <w:numPr>
          <w:ilvl w:val="1"/>
          <w:numId w:val="12"/>
        </w:numPr>
      </w:pPr>
      <w:r>
        <w:rPr>
          <w:sz w:val="20"/>
        </w:rPr>
        <w:lastRenderedPageBreak/>
        <w:t>§</w:t>
      </w:r>
      <w:r w:rsidR="001037B0">
        <w:rPr>
          <w:sz w:val="20"/>
        </w:rPr>
        <w:t>4(2) creates an exception to §5 requirements if the offering was not a public offering</w:t>
      </w:r>
    </w:p>
    <w:p w14:paraId="1E44ED84" w14:textId="77777777" w:rsidR="00B24F41" w:rsidRPr="00B24F41" w:rsidRDefault="00E965A8" w:rsidP="00B24F41">
      <w:pPr>
        <w:pStyle w:val="ListParagraph"/>
        <w:numPr>
          <w:ilvl w:val="2"/>
          <w:numId w:val="12"/>
        </w:numPr>
      </w:pPr>
      <w:r>
        <w:rPr>
          <w:sz w:val="20"/>
        </w:rPr>
        <w:t>Regulation D (Rules 501-506) flesh out the bare provisions of §4(2)</w:t>
      </w:r>
    </w:p>
    <w:p w14:paraId="0E09A6CD" w14:textId="040C4BE7" w:rsidR="00B24F41" w:rsidRPr="00B24F41" w:rsidRDefault="00B24F41" w:rsidP="00B24F41">
      <w:pPr>
        <w:pStyle w:val="ListParagraph"/>
        <w:numPr>
          <w:ilvl w:val="3"/>
          <w:numId w:val="12"/>
        </w:numPr>
        <w:rPr>
          <w:sz w:val="20"/>
        </w:rPr>
      </w:pPr>
      <w:r>
        <w:rPr>
          <w:rFonts w:cs="Times New Roman"/>
          <w:sz w:val="20"/>
        </w:rPr>
        <w:t>If issuer raises less</w:t>
      </w:r>
      <w:r w:rsidRPr="00B24F41">
        <w:rPr>
          <w:rFonts w:cs="Times New Roman"/>
          <w:sz w:val="20"/>
        </w:rPr>
        <w:t xml:space="preserve"> than </w:t>
      </w:r>
      <w:r>
        <w:rPr>
          <w:rFonts w:cs="Times New Roman"/>
          <w:sz w:val="20"/>
        </w:rPr>
        <w:t>$1m</w:t>
      </w:r>
      <w:r w:rsidRPr="00B24F41">
        <w:rPr>
          <w:rFonts w:cs="Times New Roman"/>
          <w:sz w:val="20"/>
        </w:rPr>
        <w:t>, may sell to</w:t>
      </w:r>
      <w:r>
        <w:rPr>
          <w:rFonts w:cs="Times New Roman"/>
          <w:sz w:val="20"/>
        </w:rPr>
        <w:t xml:space="preserve"> unlimited number of buyers without</w:t>
      </w:r>
      <w:r w:rsidRPr="00B24F41">
        <w:rPr>
          <w:rFonts w:cs="Times New Roman"/>
          <w:sz w:val="20"/>
        </w:rPr>
        <w:t xml:space="preserve"> registration (Rule 504)</w:t>
      </w:r>
    </w:p>
    <w:p w14:paraId="63A8ED4D" w14:textId="4425E659" w:rsidR="00B24F41" w:rsidRPr="00B24F41" w:rsidRDefault="003A1C80" w:rsidP="00B24F41">
      <w:pPr>
        <w:pStyle w:val="ListParagraph"/>
        <w:numPr>
          <w:ilvl w:val="3"/>
          <w:numId w:val="12"/>
        </w:numPr>
        <w:rPr>
          <w:sz w:val="20"/>
        </w:rPr>
      </w:pPr>
      <w:r>
        <w:rPr>
          <w:rFonts w:cs="Times New Roman"/>
          <w:sz w:val="20"/>
        </w:rPr>
        <w:t xml:space="preserve">If less than </w:t>
      </w:r>
      <w:r w:rsidR="00B24F41" w:rsidRPr="00B24F41">
        <w:rPr>
          <w:rFonts w:cs="Times New Roman"/>
          <w:sz w:val="20"/>
        </w:rPr>
        <w:t>$5M, may sell to</w:t>
      </w:r>
      <w:r>
        <w:rPr>
          <w:rFonts w:cs="Times New Roman"/>
          <w:sz w:val="20"/>
        </w:rPr>
        <w:t xml:space="preserve"> 35 or fewer buyers</w:t>
      </w:r>
      <w:r w:rsidR="00B24F41" w:rsidRPr="00B24F41">
        <w:rPr>
          <w:rFonts w:cs="Times New Roman"/>
          <w:sz w:val="20"/>
        </w:rPr>
        <w:t xml:space="preserve"> (Rule 505)</w:t>
      </w:r>
    </w:p>
    <w:p w14:paraId="0DEE3358" w14:textId="25994D21" w:rsidR="00B24F41" w:rsidRPr="003A1C80" w:rsidRDefault="00B24F41" w:rsidP="00B24F41">
      <w:pPr>
        <w:pStyle w:val="ListParagraph"/>
        <w:numPr>
          <w:ilvl w:val="3"/>
          <w:numId w:val="12"/>
        </w:numPr>
        <w:rPr>
          <w:sz w:val="20"/>
        </w:rPr>
      </w:pPr>
      <w:r w:rsidRPr="00B24F41">
        <w:rPr>
          <w:rFonts w:cs="Times New Roman"/>
          <w:sz w:val="20"/>
        </w:rPr>
        <w:t xml:space="preserve">If </w:t>
      </w:r>
      <w:r w:rsidR="003A1C80">
        <w:rPr>
          <w:rFonts w:cs="Times New Roman"/>
          <w:sz w:val="20"/>
        </w:rPr>
        <w:t xml:space="preserve">more than </w:t>
      </w:r>
      <w:r w:rsidRPr="00B24F41">
        <w:rPr>
          <w:rFonts w:cs="Times New Roman"/>
          <w:sz w:val="20"/>
        </w:rPr>
        <w:t>$5M, may sell to 35 or fewer sophisticated buyers (Rule 506)</w:t>
      </w:r>
    </w:p>
    <w:p w14:paraId="0530A71F" w14:textId="2800A7DB" w:rsidR="003A1C80" w:rsidRPr="003A1C80" w:rsidRDefault="003A1C80" w:rsidP="003A1C80">
      <w:pPr>
        <w:pStyle w:val="ListParagraph"/>
        <w:numPr>
          <w:ilvl w:val="3"/>
          <w:numId w:val="12"/>
        </w:numPr>
        <w:rPr>
          <w:sz w:val="20"/>
        </w:rPr>
      </w:pPr>
      <w:r w:rsidRPr="00B24F41">
        <w:rPr>
          <w:rFonts w:cs="Times New Roman"/>
          <w:sz w:val="20"/>
        </w:rPr>
        <w:t>Accred</w:t>
      </w:r>
      <w:r>
        <w:rPr>
          <w:rFonts w:cs="Times New Roman"/>
          <w:sz w:val="20"/>
        </w:rPr>
        <w:t>ited investors</w:t>
      </w:r>
      <w:r w:rsidRPr="00B24F41">
        <w:rPr>
          <w:rFonts w:cs="Times New Roman"/>
          <w:sz w:val="20"/>
        </w:rPr>
        <w:t xml:space="preserve"> don’t count for buyer limits</w:t>
      </w:r>
    </w:p>
    <w:p w14:paraId="749D2285" w14:textId="2DD1D274" w:rsidR="00B24F41" w:rsidRPr="003A1C80" w:rsidRDefault="00B24F41" w:rsidP="00287455">
      <w:pPr>
        <w:pStyle w:val="ListParagraph"/>
        <w:numPr>
          <w:ilvl w:val="3"/>
          <w:numId w:val="12"/>
        </w:numPr>
        <w:rPr>
          <w:sz w:val="20"/>
        </w:rPr>
      </w:pPr>
      <w:r w:rsidRPr="003A1C80">
        <w:rPr>
          <w:rFonts w:cs="Times New Roman"/>
          <w:sz w:val="20"/>
        </w:rPr>
        <w:t>Issuer cannot widely advertise the security</w:t>
      </w:r>
      <w:r w:rsidR="003A1C80" w:rsidRPr="003A1C80">
        <w:rPr>
          <w:rFonts w:cs="Times New Roman"/>
          <w:sz w:val="20"/>
        </w:rPr>
        <w:t xml:space="preserve">, and </w:t>
      </w:r>
      <w:r w:rsidR="003A1C80">
        <w:rPr>
          <w:rFonts w:cs="Times New Roman"/>
          <w:sz w:val="20"/>
        </w:rPr>
        <w:t>must file</w:t>
      </w:r>
      <w:r w:rsidRPr="003A1C80">
        <w:rPr>
          <w:rFonts w:cs="Times New Roman"/>
          <w:sz w:val="20"/>
        </w:rPr>
        <w:t xml:space="preserve"> a notice of sale </w:t>
      </w:r>
      <w:r w:rsidR="003A1C80">
        <w:rPr>
          <w:rFonts w:cs="Times New Roman"/>
          <w:sz w:val="20"/>
        </w:rPr>
        <w:t xml:space="preserve">with the SEC soon </w:t>
      </w:r>
      <w:r w:rsidRPr="003A1C80">
        <w:rPr>
          <w:rFonts w:cs="Times New Roman"/>
          <w:sz w:val="20"/>
        </w:rPr>
        <w:t>after it issues the securities</w:t>
      </w:r>
    </w:p>
    <w:p w14:paraId="0938B178" w14:textId="019A370F" w:rsidR="003E0993" w:rsidRPr="003E0993" w:rsidRDefault="00B24F41" w:rsidP="00B24F41">
      <w:pPr>
        <w:pStyle w:val="ListParagraph"/>
        <w:numPr>
          <w:ilvl w:val="3"/>
          <w:numId w:val="12"/>
        </w:numPr>
        <w:rPr>
          <w:sz w:val="20"/>
        </w:rPr>
      </w:pPr>
      <w:r w:rsidRPr="00B24F41">
        <w:rPr>
          <w:rFonts w:cs="Times New Roman"/>
          <w:sz w:val="20"/>
        </w:rPr>
        <w:t>Reg</w:t>
      </w:r>
      <w:r w:rsidR="00F21CF3">
        <w:rPr>
          <w:rFonts w:cs="Times New Roman"/>
          <w:sz w:val="20"/>
        </w:rPr>
        <w:t>.</w:t>
      </w:r>
      <w:r w:rsidRPr="00B24F41">
        <w:rPr>
          <w:rFonts w:cs="Times New Roman"/>
          <w:sz w:val="20"/>
        </w:rPr>
        <w:t xml:space="preserve"> D exempts only</w:t>
      </w:r>
      <w:r w:rsidR="003A1C80">
        <w:rPr>
          <w:rFonts w:cs="Times New Roman"/>
          <w:sz w:val="20"/>
        </w:rPr>
        <w:t xml:space="preserve"> </w:t>
      </w:r>
      <w:r w:rsidR="00F21CF3">
        <w:rPr>
          <w:rFonts w:cs="Times New Roman"/>
          <w:sz w:val="20"/>
        </w:rPr>
        <w:t>initial sale – later sellers</w:t>
      </w:r>
      <w:r w:rsidR="003A1C80">
        <w:rPr>
          <w:rFonts w:cs="Times New Roman"/>
          <w:sz w:val="20"/>
        </w:rPr>
        <w:t xml:space="preserve"> must find another exemption </w:t>
      </w:r>
    </w:p>
    <w:p w14:paraId="3024C3C2" w14:textId="06967CB7" w:rsidR="00B24F41" w:rsidRPr="00B24F41" w:rsidRDefault="00681272" w:rsidP="003E0993">
      <w:pPr>
        <w:pStyle w:val="ListParagraph"/>
        <w:numPr>
          <w:ilvl w:val="4"/>
          <w:numId w:val="12"/>
        </w:numPr>
        <w:rPr>
          <w:sz w:val="20"/>
        </w:rPr>
      </w:pPr>
      <w:r>
        <w:rPr>
          <w:rFonts w:cs="Times New Roman"/>
          <w:sz w:val="20"/>
        </w:rPr>
        <w:t>R</w:t>
      </w:r>
      <w:r w:rsidR="003A1C80">
        <w:rPr>
          <w:rFonts w:cs="Times New Roman"/>
          <w:sz w:val="20"/>
        </w:rPr>
        <w:t>estrictions</w:t>
      </w:r>
      <w:r w:rsidR="003E0993">
        <w:rPr>
          <w:rFonts w:cs="Times New Roman"/>
          <w:sz w:val="20"/>
        </w:rPr>
        <w:t xml:space="preserve"> only apply to </w:t>
      </w:r>
      <w:r w:rsidR="003A1C80">
        <w:rPr>
          <w:rFonts w:cs="Times New Roman"/>
          <w:sz w:val="20"/>
        </w:rPr>
        <w:t xml:space="preserve">issuers, underwriters or </w:t>
      </w:r>
      <w:r w:rsidR="003E0993">
        <w:rPr>
          <w:rFonts w:cs="Times New Roman"/>
          <w:sz w:val="20"/>
        </w:rPr>
        <w:t>dealers</w:t>
      </w:r>
      <w:r>
        <w:rPr>
          <w:rFonts w:cs="Times New Roman"/>
          <w:sz w:val="20"/>
        </w:rPr>
        <w:t xml:space="preserve"> - §4(1)</w:t>
      </w:r>
    </w:p>
    <w:p w14:paraId="07D274DC" w14:textId="36F2A7FC" w:rsidR="00B24F41" w:rsidRPr="00B24F41" w:rsidRDefault="003E0993" w:rsidP="00B24F41">
      <w:pPr>
        <w:pStyle w:val="ListParagraph"/>
        <w:numPr>
          <w:ilvl w:val="4"/>
          <w:numId w:val="12"/>
        </w:numPr>
        <w:rPr>
          <w:sz w:val="20"/>
        </w:rPr>
      </w:pPr>
      <w:r>
        <w:rPr>
          <w:rFonts w:cs="Times New Roman"/>
          <w:sz w:val="20"/>
        </w:rPr>
        <w:t xml:space="preserve">Rule 144 allows buyers to resell Reg. D securities after one year, and then only in limited quantities </w:t>
      </w:r>
    </w:p>
    <w:p w14:paraId="10CFEA75" w14:textId="78BE1694" w:rsidR="001037B0" w:rsidRPr="001037B0" w:rsidRDefault="001037B0" w:rsidP="001037B0">
      <w:pPr>
        <w:pStyle w:val="ListParagraph"/>
        <w:numPr>
          <w:ilvl w:val="2"/>
          <w:numId w:val="12"/>
        </w:numPr>
      </w:pPr>
      <w:r>
        <w:rPr>
          <w:sz w:val="20"/>
        </w:rPr>
        <w:t>Four relevant factors to decide if offering is private: (</w:t>
      </w:r>
      <w:r>
        <w:rPr>
          <w:i/>
          <w:sz w:val="20"/>
        </w:rPr>
        <w:t>Doran</w:t>
      </w:r>
      <w:r>
        <w:rPr>
          <w:sz w:val="20"/>
        </w:rPr>
        <w:t xml:space="preserve"> – private oil drilling venture)</w:t>
      </w:r>
    </w:p>
    <w:p w14:paraId="2AE7A3E4" w14:textId="0F9C8B71" w:rsidR="001037B0" w:rsidRPr="001037B0" w:rsidRDefault="001037B0" w:rsidP="001037B0">
      <w:pPr>
        <w:pStyle w:val="ListParagraph"/>
        <w:numPr>
          <w:ilvl w:val="3"/>
          <w:numId w:val="12"/>
        </w:numPr>
      </w:pPr>
      <w:r>
        <w:rPr>
          <w:sz w:val="20"/>
        </w:rPr>
        <w:t>Number of offerees and their relationship to each other and the issuer</w:t>
      </w:r>
    </w:p>
    <w:p w14:paraId="039E37DC" w14:textId="63E3A363" w:rsidR="001037B0" w:rsidRPr="001037B0" w:rsidRDefault="0067376B" w:rsidP="001037B0">
      <w:pPr>
        <w:pStyle w:val="ListParagraph"/>
        <w:numPr>
          <w:ilvl w:val="4"/>
          <w:numId w:val="12"/>
        </w:numPr>
      </w:pPr>
      <w:r>
        <w:rPr>
          <w:sz w:val="20"/>
        </w:rPr>
        <w:t>N</w:t>
      </w:r>
      <w:r w:rsidR="001037B0">
        <w:rPr>
          <w:sz w:val="20"/>
        </w:rPr>
        <w:t>umber of</w:t>
      </w:r>
      <w:r>
        <w:rPr>
          <w:sz w:val="20"/>
        </w:rPr>
        <w:t xml:space="preserve"> buyers is irrelevant</w:t>
      </w:r>
      <w:r w:rsidR="00592B75">
        <w:rPr>
          <w:sz w:val="20"/>
        </w:rPr>
        <w:t xml:space="preserve"> – failure to produce</w:t>
      </w:r>
      <w:r w:rsidR="001037B0">
        <w:rPr>
          <w:sz w:val="20"/>
        </w:rPr>
        <w:t xml:space="preserve"> evidence rega</w:t>
      </w:r>
      <w:r w:rsidR="00592B75">
        <w:rPr>
          <w:sz w:val="20"/>
        </w:rPr>
        <w:t>rding number of offerees is</w:t>
      </w:r>
      <w:r w:rsidR="001037B0">
        <w:rPr>
          <w:sz w:val="20"/>
        </w:rPr>
        <w:t xml:space="preserve"> fatal </w:t>
      </w:r>
    </w:p>
    <w:p w14:paraId="6C3C0AFD" w14:textId="5B1B7377" w:rsidR="001037B0" w:rsidRPr="001037B0" w:rsidRDefault="001037B0" w:rsidP="001037B0">
      <w:pPr>
        <w:pStyle w:val="ListParagraph"/>
        <w:numPr>
          <w:ilvl w:val="3"/>
          <w:numId w:val="12"/>
        </w:numPr>
      </w:pPr>
      <w:r>
        <w:rPr>
          <w:sz w:val="20"/>
        </w:rPr>
        <w:t>Number of units offered</w:t>
      </w:r>
    </w:p>
    <w:p w14:paraId="472985E1" w14:textId="03179CE2" w:rsidR="001037B0" w:rsidRPr="001037B0" w:rsidRDefault="001037B0" w:rsidP="001037B0">
      <w:pPr>
        <w:pStyle w:val="ListParagraph"/>
        <w:numPr>
          <w:ilvl w:val="3"/>
          <w:numId w:val="12"/>
        </w:numPr>
      </w:pPr>
      <w:r>
        <w:rPr>
          <w:sz w:val="20"/>
        </w:rPr>
        <w:t>Size of the offering</w:t>
      </w:r>
    </w:p>
    <w:p w14:paraId="3BEA48D1" w14:textId="2C2A1C63" w:rsidR="001037B0" w:rsidRPr="001037B0" w:rsidRDefault="001037B0" w:rsidP="001037B0">
      <w:pPr>
        <w:pStyle w:val="ListParagraph"/>
        <w:numPr>
          <w:ilvl w:val="3"/>
          <w:numId w:val="12"/>
        </w:numPr>
      </w:pPr>
      <w:r>
        <w:rPr>
          <w:sz w:val="20"/>
        </w:rPr>
        <w:t>Manner of the offering</w:t>
      </w:r>
    </w:p>
    <w:p w14:paraId="668FBB5C" w14:textId="07823C92" w:rsidR="001037B0" w:rsidRPr="001037B0" w:rsidRDefault="001037B0" w:rsidP="001037B0">
      <w:pPr>
        <w:pStyle w:val="ListParagraph"/>
        <w:numPr>
          <w:ilvl w:val="2"/>
          <w:numId w:val="12"/>
        </w:numPr>
      </w:pPr>
      <w:r>
        <w:rPr>
          <w:sz w:val="20"/>
        </w:rPr>
        <w:t>Applicability turns on whether investors “need” the protection of the Act</w:t>
      </w:r>
    </w:p>
    <w:p w14:paraId="2A5A68FC" w14:textId="713191BA" w:rsidR="001037B0" w:rsidRPr="007A4262" w:rsidRDefault="00E965A8" w:rsidP="001037B0">
      <w:pPr>
        <w:pStyle w:val="ListParagraph"/>
        <w:numPr>
          <w:ilvl w:val="3"/>
          <w:numId w:val="12"/>
        </w:numPr>
      </w:pPr>
      <w:r>
        <w:rPr>
          <w:sz w:val="20"/>
        </w:rPr>
        <w:t>S</w:t>
      </w:r>
      <w:r w:rsidR="001037B0">
        <w:rPr>
          <w:sz w:val="20"/>
        </w:rPr>
        <w:t xml:space="preserve">ophistication cannot substitute for access to information – such access must be proven either by </w:t>
      </w:r>
      <w:r>
        <w:rPr>
          <w:sz w:val="20"/>
        </w:rPr>
        <w:t xml:space="preserve">provision of information that </w:t>
      </w:r>
      <w:r>
        <w:rPr>
          <w:i/>
          <w:sz w:val="20"/>
        </w:rPr>
        <w:t xml:space="preserve">would have been </w:t>
      </w:r>
      <w:r>
        <w:rPr>
          <w:sz w:val="20"/>
        </w:rPr>
        <w:t xml:space="preserve">included in a registration statement </w:t>
      </w:r>
      <w:r>
        <w:rPr>
          <w:i/>
          <w:sz w:val="20"/>
        </w:rPr>
        <w:t xml:space="preserve">to </w:t>
      </w:r>
      <w:r>
        <w:rPr>
          <w:b/>
          <w:i/>
          <w:sz w:val="20"/>
        </w:rPr>
        <w:t xml:space="preserve">all </w:t>
      </w:r>
      <w:r>
        <w:rPr>
          <w:sz w:val="20"/>
        </w:rPr>
        <w:t>offerees,</w:t>
      </w:r>
      <w:r w:rsidR="001037B0">
        <w:rPr>
          <w:sz w:val="20"/>
        </w:rPr>
        <w:t xml:space="preserve"> or investor access to the information</w:t>
      </w:r>
    </w:p>
    <w:p w14:paraId="2B121EA4" w14:textId="0B488654" w:rsidR="00F546BD" w:rsidRPr="00F546BD" w:rsidRDefault="00681272" w:rsidP="00F546BD">
      <w:pPr>
        <w:pStyle w:val="ListParagraph"/>
        <w:numPr>
          <w:ilvl w:val="1"/>
          <w:numId w:val="12"/>
        </w:numPr>
      </w:pPr>
      <w:r>
        <w:rPr>
          <w:sz w:val="20"/>
        </w:rPr>
        <w:t>§</w:t>
      </w:r>
      <w:r w:rsidR="00F546BD">
        <w:rPr>
          <w:sz w:val="20"/>
        </w:rPr>
        <w:t>12(a)(1) provides strict liability for sales made in violation of §5. The remedy is rescission</w:t>
      </w:r>
    </w:p>
    <w:p w14:paraId="15B08C40" w14:textId="418952CE" w:rsidR="007A4262" w:rsidRPr="0097488E" w:rsidRDefault="00681272" w:rsidP="00005E9B">
      <w:pPr>
        <w:pStyle w:val="ListParagraph"/>
        <w:numPr>
          <w:ilvl w:val="0"/>
          <w:numId w:val="12"/>
        </w:numPr>
      </w:pPr>
      <w:r>
        <w:rPr>
          <w:sz w:val="20"/>
        </w:rPr>
        <w:t>§</w:t>
      </w:r>
      <w:r w:rsidR="00167D83">
        <w:rPr>
          <w:sz w:val="20"/>
        </w:rPr>
        <w:t>11 provides a private cause of action for victims of fraud committed in connection with the sale of securities through the use of a registration statement</w:t>
      </w:r>
    </w:p>
    <w:p w14:paraId="4A207AAC" w14:textId="100788EC" w:rsidR="0097488E" w:rsidRPr="00EE5237" w:rsidRDefault="0097488E" w:rsidP="00005E9B">
      <w:pPr>
        <w:pStyle w:val="ListParagraph"/>
        <w:numPr>
          <w:ilvl w:val="1"/>
          <w:numId w:val="12"/>
        </w:numPr>
      </w:pPr>
      <w:r>
        <w:rPr>
          <w:sz w:val="20"/>
        </w:rPr>
        <w:t>May not be used in an exempt offering, since the material misstatement/omission must be made in a registration statement</w:t>
      </w:r>
    </w:p>
    <w:p w14:paraId="0C1C873A" w14:textId="7B0F2351" w:rsidR="00EE5237" w:rsidRPr="008919FD" w:rsidRDefault="00EE5237" w:rsidP="00005E9B">
      <w:pPr>
        <w:pStyle w:val="ListParagraph"/>
        <w:numPr>
          <w:ilvl w:val="1"/>
          <w:numId w:val="12"/>
        </w:numPr>
      </w:pPr>
      <w:r>
        <w:rPr>
          <w:sz w:val="20"/>
        </w:rPr>
        <w:t>Defendant has burden of proving the misconduct did not cause plaintiff’s damages</w:t>
      </w:r>
    </w:p>
    <w:p w14:paraId="0ECAE45F" w14:textId="1A7342B0" w:rsidR="008919FD" w:rsidRPr="00804799" w:rsidRDefault="008919FD" w:rsidP="00005E9B">
      <w:pPr>
        <w:pStyle w:val="ListParagraph"/>
        <w:numPr>
          <w:ilvl w:val="1"/>
          <w:numId w:val="12"/>
        </w:numPr>
      </w:pPr>
      <w:r>
        <w:rPr>
          <w:sz w:val="20"/>
        </w:rPr>
        <w:t xml:space="preserve">Because there is no privity requirement, everyone </w:t>
      </w:r>
      <w:r>
        <w:rPr>
          <w:i/>
          <w:sz w:val="20"/>
        </w:rPr>
        <w:t xml:space="preserve">remotely </w:t>
      </w:r>
      <w:r>
        <w:rPr>
          <w:sz w:val="20"/>
        </w:rPr>
        <w:t>involved in the registration statement may be named as a defendant</w:t>
      </w:r>
      <w:r w:rsidR="00016623">
        <w:rPr>
          <w:sz w:val="20"/>
        </w:rPr>
        <w:t xml:space="preserve"> – </w:t>
      </w:r>
      <w:proofErr w:type="spellStart"/>
      <w:r w:rsidR="00016623">
        <w:rPr>
          <w:i/>
          <w:sz w:val="20"/>
        </w:rPr>
        <w:t>BarChris</w:t>
      </w:r>
      <w:proofErr w:type="spellEnd"/>
      <w:r w:rsidR="00016623">
        <w:rPr>
          <w:i/>
          <w:sz w:val="20"/>
        </w:rPr>
        <w:t xml:space="preserve"> </w:t>
      </w:r>
      <w:r w:rsidR="00016623">
        <w:rPr>
          <w:sz w:val="20"/>
        </w:rPr>
        <w:t>(bowling alley financial lies)</w:t>
      </w:r>
    </w:p>
    <w:p w14:paraId="30887BC7" w14:textId="7C4E9868" w:rsidR="00804799" w:rsidRPr="000C376F" w:rsidRDefault="000C376F" w:rsidP="00005E9B">
      <w:pPr>
        <w:pStyle w:val="ListParagraph"/>
        <w:numPr>
          <w:ilvl w:val="1"/>
          <w:numId w:val="12"/>
        </w:numPr>
      </w:pPr>
      <w:r>
        <w:rPr>
          <w:sz w:val="20"/>
        </w:rPr>
        <w:t>Due diligence is</w:t>
      </w:r>
      <w:r w:rsidR="00914203">
        <w:rPr>
          <w:sz w:val="20"/>
        </w:rPr>
        <w:t xml:space="preserve"> the only</w:t>
      </w:r>
      <w:r w:rsidR="00804799">
        <w:rPr>
          <w:sz w:val="20"/>
        </w:rPr>
        <w:t xml:space="preserve"> defense to a §11 claim</w:t>
      </w:r>
      <w:r>
        <w:rPr>
          <w:sz w:val="20"/>
        </w:rPr>
        <w:t>, but is NOT available to the issuer</w:t>
      </w:r>
    </w:p>
    <w:p w14:paraId="3C8C3964" w14:textId="580BC752" w:rsidR="00B479F2" w:rsidRPr="00B479F2" w:rsidRDefault="00F67C58" w:rsidP="00005E9B">
      <w:pPr>
        <w:pStyle w:val="ListParagraph"/>
        <w:numPr>
          <w:ilvl w:val="2"/>
          <w:numId w:val="12"/>
        </w:numPr>
      </w:pPr>
      <w:r>
        <w:rPr>
          <w:sz w:val="20"/>
        </w:rPr>
        <w:t>B</w:t>
      </w:r>
      <w:r w:rsidR="00372E15">
        <w:rPr>
          <w:sz w:val="20"/>
        </w:rPr>
        <w:t xml:space="preserve">urden is met if </w:t>
      </w:r>
      <w:r>
        <w:rPr>
          <w:sz w:val="20"/>
        </w:rPr>
        <w:t xml:space="preserve">a </w:t>
      </w:r>
      <w:r w:rsidR="00372E15">
        <w:rPr>
          <w:sz w:val="20"/>
        </w:rPr>
        <w:t>prudent man managing</w:t>
      </w:r>
      <w:r>
        <w:rPr>
          <w:sz w:val="20"/>
        </w:rPr>
        <w:t xml:space="preserve"> his own property would have </w:t>
      </w:r>
    </w:p>
    <w:p w14:paraId="1096ACF8" w14:textId="43F10E72" w:rsidR="000C376F" w:rsidRPr="00B479F2" w:rsidRDefault="00B479F2" w:rsidP="00005E9B">
      <w:pPr>
        <w:pStyle w:val="ListParagraph"/>
        <w:numPr>
          <w:ilvl w:val="3"/>
          <w:numId w:val="12"/>
        </w:numPr>
        <w:spacing w:before="240"/>
      </w:pPr>
      <w:r>
        <w:rPr>
          <w:sz w:val="20"/>
        </w:rPr>
        <w:t xml:space="preserve">If a portion </w:t>
      </w:r>
      <w:proofErr w:type="spellStart"/>
      <w:r>
        <w:rPr>
          <w:sz w:val="20"/>
        </w:rPr>
        <w:t>expertised</w:t>
      </w:r>
      <w:proofErr w:type="spellEnd"/>
      <w:r>
        <w:rPr>
          <w:sz w:val="20"/>
        </w:rPr>
        <w:t xml:space="preserve"> by others, no </w:t>
      </w:r>
      <w:r w:rsidR="00F67C58">
        <w:rPr>
          <w:sz w:val="20"/>
        </w:rPr>
        <w:t xml:space="preserve">reasonable </w:t>
      </w:r>
      <w:r w:rsidR="00372E15">
        <w:rPr>
          <w:sz w:val="20"/>
        </w:rPr>
        <w:t>grounds to believe (and</w:t>
      </w:r>
      <w:r w:rsidR="00F67C58">
        <w:rPr>
          <w:sz w:val="20"/>
        </w:rPr>
        <w:t xml:space="preserve"> </w:t>
      </w:r>
      <w:r w:rsidR="00F67C58">
        <w:rPr>
          <w:i/>
          <w:sz w:val="20"/>
        </w:rPr>
        <w:t xml:space="preserve">did </w:t>
      </w:r>
      <w:r>
        <w:rPr>
          <w:i/>
          <w:sz w:val="20"/>
        </w:rPr>
        <w:t xml:space="preserve">not </w:t>
      </w:r>
      <w:r w:rsidR="00F67C58">
        <w:rPr>
          <w:sz w:val="20"/>
        </w:rPr>
        <w:t xml:space="preserve">believe) </w:t>
      </w:r>
      <w:r>
        <w:rPr>
          <w:sz w:val="20"/>
        </w:rPr>
        <w:t>that there were</w:t>
      </w:r>
      <w:r w:rsidR="00F67C58">
        <w:rPr>
          <w:sz w:val="20"/>
        </w:rPr>
        <w:t xml:space="preserve"> MMOs</w:t>
      </w:r>
    </w:p>
    <w:p w14:paraId="22B24099" w14:textId="2745ADDA" w:rsidR="00B479F2" w:rsidRPr="00A7392D" w:rsidRDefault="00B479F2" w:rsidP="00005E9B">
      <w:pPr>
        <w:pStyle w:val="ListParagraph"/>
        <w:numPr>
          <w:ilvl w:val="3"/>
          <w:numId w:val="12"/>
        </w:numPr>
        <w:spacing w:before="240"/>
      </w:pPr>
      <w:r>
        <w:rPr>
          <w:sz w:val="20"/>
        </w:rPr>
        <w:t xml:space="preserve">If any other portion, </w:t>
      </w:r>
      <w:r w:rsidR="00372E15">
        <w:rPr>
          <w:sz w:val="20"/>
        </w:rPr>
        <w:t xml:space="preserve">after reasonable investigation </w:t>
      </w:r>
      <w:r>
        <w:rPr>
          <w:sz w:val="20"/>
        </w:rPr>
        <w:t>had reasonable ground</w:t>
      </w:r>
      <w:r w:rsidR="00372E15">
        <w:rPr>
          <w:sz w:val="20"/>
        </w:rPr>
        <w:t xml:space="preserve">s to believe (and </w:t>
      </w:r>
      <w:r>
        <w:rPr>
          <w:i/>
          <w:sz w:val="20"/>
        </w:rPr>
        <w:t xml:space="preserve">did </w:t>
      </w:r>
      <w:r>
        <w:rPr>
          <w:sz w:val="20"/>
        </w:rPr>
        <w:t>believe) that there were no MMOs</w:t>
      </w:r>
    </w:p>
    <w:p w14:paraId="21A28D41" w14:textId="526BA101" w:rsidR="00A7392D" w:rsidRPr="00071BB7" w:rsidRDefault="003938DE" w:rsidP="00005E9B">
      <w:pPr>
        <w:pStyle w:val="ListParagraph"/>
        <w:numPr>
          <w:ilvl w:val="2"/>
          <w:numId w:val="12"/>
        </w:numPr>
      </w:pPr>
      <w:r>
        <w:rPr>
          <w:sz w:val="20"/>
        </w:rPr>
        <w:t>O</w:t>
      </w:r>
      <w:r w:rsidR="00193165">
        <w:rPr>
          <w:sz w:val="20"/>
        </w:rPr>
        <w:t>bjective standard</w:t>
      </w:r>
      <w:r w:rsidR="00A7392D">
        <w:rPr>
          <w:sz w:val="20"/>
        </w:rPr>
        <w:t xml:space="preserve"> – lack of education, experience, or</w:t>
      </w:r>
      <w:r w:rsidR="00193165">
        <w:rPr>
          <w:sz w:val="20"/>
        </w:rPr>
        <w:t xml:space="preserve"> time on BoD</w:t>
      </w:r>
      <w:r w:rsidR="0025463B">
        <w:rPr>
          <w:sz w:val="20"/>
        </w:rPr>
        <w:t xml:space="preserve"> are </w:t>
      </w:r>
      <w:r w:rsidR="00A7392D">
        <w:rPr>
          <w:sz w:val="20"/>
        </w:rPr>
        <w:t>invalid excuses</w:t>
      </w:r>
    </w:p>
    <w:p w14:paraId="31C4BCC7" w14:textId="17E44552" w:rsidR="00071BB7" w:rsidRPr="00CB1E3B" w:rsidRDefault="00681272" w:rsidP="00071BB7">
      <w:pPr>
        <w:pStyle w:val="ListParagraph"/>
        <w:numPr>
          <w:ilvl w:val="0"/>
          <w:numId w:val="12"/>
        </w:numPr>
      </w:pPr>
      <w:r>
        <w:rPr>
          <w:sz w:val="20"/>
        </w:rPr>
        <w:t>§</w:t>
      </w:r>
      <w:r w:rsidR="00071BB7">
        <w:rPr>
          <w:sz w:val="20"/>
        </w:rPr>
        <w:t xml:space="preserve">12(a)(2) imposes civil </w:t>
      </w:r>
      <w:r w:rsidR="003974F2">
        <w:rPr>
          <w:sz w:val="20"/>
        </w:rPr>
        <w:t xml:space="preserve">liability on anyone who offers/sells a security who makes a material misrepresentation or omission (MMO) in connection with the offer or sale. The six elements are: 1) Sale of a security; 2) </w:t>
      </w:r>
      <w:r w:rsidR="00CB1E3B">
        <w:rPr>
          <w:sz w:val="20"/>
        </w:rPr>
        <w:t>In i</w:t>
      </w:r>
      <w:r w:rsidR="003974F2">
        <w:rPr>
          <w:sz w:val="20"/>
        </w:rPr>
        <w:t>nterstate commerce; 3) B</w:t>
      </w:r>
      <w:r w:rsidR="00CB1E3B">
        <w:rPr>
          <w:sz w:val="20"/>
        </w:rPr>
        <w:t>y means of a prospectus/</w:t>
      </w:r>
      <w:r w:rsidR="003974F2">
        <w:rPr>
          <w:sz w:val="20"/>
        </w:rPr>
        <w:t xml:space="preserve">oral communication; 4) Containing an MMO; 5) </w:t>
      </w:r>
      <w:r w:rsidR="00CB1E3B">
        <w:rPr>
          <w:sz w:val="20"/>
        </w:rPr>
        <w:t>Defendant</w:t>
      </w:r>
      <w:r w:rsidR="003974F2">
        <w:rPr>
          <w:sz w:val="20"/>
        </w:rPr>
        <w:t xml:space="preserve"> offered/sold the security; 6) Defendant knew/should have known of MMO</w:t>
      </w:r>
    </w:p>
    <w:p w14:paraId="0C6B0AFE" w14:textId="46EF35CE" w:rsidR="00CB1E3B" w:rsidRPr="00484E5F" w:rsidRDefault="00CB1E3B" w:rsidP="00CB1E3B">
      <w:pPr>
        <w:pStyle w:val="ListParagraph"/>
        <w:numPr>
          <w:ilvl w:val="1"/>
          <w:numId w:val="12"/>
        </w:numPr>
      </w:pPr>
      <w:r>
        <w:rPr>
          <w:sz w:val="20"/>
        </w:rPr>
        <w:t xml:space="preserve">Only applies to communications used in connection with </w:t>
      </w:r>
      <w:r w:rsidRPr="001B0F6C">
        <w:rPr>
          <w:b/>
          <w:sz w:val="20"/>
        </w:rPr>
        <w:t>public</w:t>
      </w:r>
      <w:r>
        <w:rPr>
          <w:sz w:val="20"/>
        </w:rPr>
        <w:t xml:space="preserve"> offerings – no secondary transactions or private placements</w:t>
      </w:r>
    </w:p>
    <w:p w14:paraId="674A1913" w14:textId="77777777" w:rsidR="006C0454" w:rsidRPr="006C0454" w:rsidRDefault="002610C5" w:rsidP="006C0454">
      <w:pPr>
        <w:pStyle w:val="ListParagraph"/>
        <w:numPr>
          <w:ilvl w:val="1"/>
          <w:numId w:val="12"/>
        </w:numPr>
      </w:pPr>
      <w:r>
        <w:rPr>
          <w:sz w:val="20"/>
        </w:rPr>
        <w:t xml:space="preserve">Due diligence </w:t>
      </w:r>
      <w:r w:rsidR="00830D21">
        <w:rPr>
          <w:sz w:val="20"/>
        </w:rPr>
        <w:t>can also be a defense against</w:t>
      </w:r>
      <w:r>
        <w:rPr>
          <w:sz w:val="20"/>
        </w:rPr>
        <w:t xml:space="preserve"> §12(a)(2)</w:t>
      </w:r>
      <w:r w:rsidR="00830D21">
        <w:rPr>
          <w:sz w:val="20"/>
        </w:rPr>
        <w:t xml:space="preserve"> claims</w:t>
      </w:r>
    </w:p>
    <w:p w14:paraId="30F9436B" w14:textId="77777777" w:rsidR="00B01DF4" w:rsidRPr="00B01DF4" w:rsidRDefault="006C0454" w:rsidP="006C0454">
      <w:pPr>
        <w:pStyle w:val="ListParagraph"/>
        <w:numPr>
          <w:ilvl w:val="0"/>
          <w:numId w:val="12"/>
        </w:numPr>
        <w:rPr>
          <w:b/>
          <w:sz w:val="20"/>
        </w:rPr>
      </w:pPr>
      <w:r w:rsidRPr="00447F44">
        <w:rPr>
          <w:rFonts w:cs="Times New Roman"/>
          <w:b/>
          <w:sz w:val="20"/>
        </w:rPr>
        <w:t xml:space="preserve">A misstatement/omission is material if there is a substantial likelihood that a reasonable investor </w:t>
      </w:r>
      <w:r w:rsidRPr="00447F44">
        <w:rPr>
          <w:rFonts w:cs="Times New Roman"/>
          <w:b/>
          <w:i/>
          <w:sz w:val="20"/>
        </w:rPr>
        <w:t>would</w:t>
      </w:r>
      <w:r w:rsidRPr="00447F44">
        <w:rPr>
          <w:rFonts w:cs="Times New Roman"/>
          <w:b/>
          <w:sz w:val="20"/>
        </w:rPr>
        <w:t xml:space="preserve"> consider it </w:t>
      </w:r>
      <w:r w:rsidR="00B01DF4">
        <w:rPr>
          <w:rFonts w:cs="Times New Roman"/>
          <w:b/>
          <w:sz w:val="20"/>
        </w:rPr>
        <w:t xml:space="preserve">important in deciding how to vote – </w:t>
      </w:r>
      <w:r w:rsidR="00B01DF4" w:rsidRPr="00B01DF4">
        <w:rPr>
          <w:rFonts w:cs="Times New Roman"/>
          <w:b/>
          <w:i/>
          <w:sz w:val="20"/>
        </w:rPr>
        <w:t>TSC Industries</w:t>
      </w:r>
      <w:r w:rsidR="00B01DF4">
        <w:rPr>
          <w:rFonts w:cs="Times New Roman"/>
          <w:b/>
          <w:sz w:val="20"/>
        </w:rPr>
        <w:t xml:space="preserve"> </w:t>
      </w:r>
    </w:p>
    <w:p w14:paraId="56639673" w14:textId="58C1A890" w:rsidR="006C0454" w:rsidRPr="00447F44" w:rsidRDefault="00B01DF4" w:rsidP="00B01DF4">
      <w:pPr>
        <w:pStyle w:val="ListParagraph"/>
        <w:numPr>
          <w:ilvl w:val="1"/>
          <w:numId w:val="12"/>
        </w:numPr>
        <w:rPr>
          <w:b/>
          <w:sz w:val="20"/>
        </w:rPr>
      </w:pPr>
      <w:r>
        <w:rPr>
          <w:rFonts w:cs="Times New Roman"/>
          <w:b/>
          <w:sz w:val="20"/>
        </w:rPr>
        <w:t>S</w:t>
      </w:r>
      <w:r w:rsidR="006C0454" w:rsidRPr="00447F44">
        <w:rPr>
          <w:rFonts w:cs="Times New Roman"/>
          <w:b/>
          <w:sz w:val="20"/>
        </w:rPr>
        <w:t xml:space="preserve">ignificantly alter the total mix of info available – </w:t>
      </w:r>
      <w:r w:rsidR="006C0454" w:rsidRPr="00447F44">
        <w:rPr>
          <w:rFonts w:cs="Times New Roman"/>
          <w:b/>
          <w:i/>
          <w:sz w:val="20"/>
        </w:rPr>
        <w:t>Basic</w:t>
      </w:r>
    </w:p>
    <w:p w14:paraId="7FD8B1D7" w14:textId="36D10C1A" w:rsidR="006C0454" w:rsidRPr="00447F44" w:rsidRDefault="006C0454" w:rsidP="006C0454">
      <w:pPr>
        <w:pStyle w:val="ListParagraph"/>
        <w:numPr>
          <w:ilvl w:val="1"/>
          <w:numId w:val="12"/>
        </w:numPr>
        <w:rPr>
          <w:b/>
          <w:sz w:val="20"/>
        </w:rPr>
      </w:pPr>
      <w:r w:rsidRPr="00447F44">
        <w:rPr>
          <w:rFonts w:cs="Times New Roman"/>
          <w:b/>
          <w:sz w:val="20"/>
        </w:rPr>
        <w:lastRenderedPageBreak/>
        <w:t xml:space="preserve">“Materiality” depends on a balancing of the probability that the event will occur with the anticipated magnitude of the event in light of the totality of the company activity </w:t>
      </w:r>
      <w:r w:rsidR="000C376F" w:rsidRPr="00447F44">
        <w:rPr>
          <w:rFonts w:cs="Times New Roman"/>
          <w:b/>
          <w:sz w:val="20"/>
        </w:rPr>
        <w:t>–</w:t>
      </w:r>
      <w:r w:rsidRPr="00447F44">
        <w:rPr>
          <w:rFonts w:cs="Times New Roman"/>
          <w:b/>
          <w:sz w:val="20"/>
        </w:rPr>
        <w:t xml:space="preserve"> </w:t>
      </w:r>
      <w:r w:rsidR="00B01DF4">
        <w:rPr>
          <w:rFonts w:cs="Times New Roman"/>
          <w:b/>
          <w:i/>
          <w:sz w:val="20"/>
        </w:rPr>
        <w:t>TGS</w:t>
      </w:r>
    </w:p>
    <w:p w14:paraId="63E22511" w14:textId="023B7EDA" w:rsidR="006C0454" w:rsidRPr="00E92553" w:rsidRDefault="003716BF" w:rsidP="006C0454">
      <w:pPr>
        <w:pStyle w:val="ListParagraph"/>
        <w:numPr>
          <w:ilvl w:val="0"/>
          <w:numId w:val="12"/>
        </w:numPr>
      </w:pPr>
      <w:r>
        <w:rPr>
          <w:sz w:val="20"/>
        </w:rPr>
        <w:t>Rule 10</w:t>
      </w:r>
      <w:r w:rsidR="00E92553">
        <w:rPr>
          <w:sz w:val="20"/>
        </w:rPr>
        <w:t>b-5 prohibits a) employ</w:t>
      </w:r>
      <w:r w:rsidR="00F42ECD">
        <w:rPr>
          <w:sz w:val="20"/>
        </w:rPr>
        <w:t xml:space="preserve">ing </w:t>
      </w:r>
      <w:r w:rsidR="00E92553">
        <w:rPr>
          <w:sz w:val="20"/>
        </w:rPr>
        <w:t xml:space="preserve">any device or scheme to defraud, b) </w:t>
      </w:r>
      <w:r w:rsidR="00F42ECD">
        <w:rPr>
          <w:sz w:val="20"/>
        </w:rPr>
        <w:t xml:space="preserve">making </w:t>
      </w:r>
      <w:r w:rsidR="00E92553">
        <w:rPr>
          <w:sz w:val="20"/>
        </w:rPr>
        <w:t xml:space="preserve">any MMO, or c) </w:t>
      </w:r>
      <w:r w:rsidR="00F42ECD">
        <w:rPr>
          <w:sz w:val="20"/>
        </w:rPr>
        <w:t>engaging in fraud/</w:t>
      </w:r>
      <w:r w:rsidR="00E92553">
        <w:rPr>
          <w:sz w:val="20"/>
        </w:rPr>
        <w:t>deceit</w:t>
      </w:r>
      <w:r w:rsidR="00F42ECD">
        <w:rPr>
          <w:sz w:val="20"/>
        </w:rPr>
        <w:t>ful act</w:t>
      </w:r>
      <w:r w:rsidR="00E92553">
        <w:rPr>
          <w:sz w:val="20"/>
        </w:rPr>
        <w:t xml:space="preserve"> in connection with pu</w:t>
      </w:r>
      <w:r w:rsidR="00F42ECD">
        <w:rPr>
          <w:sz w:val="20"/>
        </w:rPr>
        <w:t>rchase/</w:t>
      </w:r>
      <w:r w:rsidR="00E92553">
        <w:rPr>
          <w:sz w:val="20"/>
        </w:rPr>
        <w:t>sale of a security</w:t>
      </w:r>
    </w:p>
    <w:p w14:paraId="03E23759" w14:textId="20081811" w:rsidR="00E92553" w:rsidRPr="00E92553" w:rsidRDefault="00E92553" w:rsidP="009629F3">
      <w:pPr>
        <w:pStyle w:val="ListParagraph"/>
        <w:numPr>
          <w:ilvl w:val="1"/>
          <w:numId w:val="12"/>
        </w:numPr>
        <w:spacing w:after="0"/>
      </w:pPr>
      <w:r>
        <w:rPr>
          <w:sz w:val="20"/>
        </w:rPr>
        <w:t>Elements of a 10</w:t>
      </w:r>
      <w:r w:rsidR="00E960DA">
        <w:rPr>
          <w:sz w:val="20"/>
        </w:rPr>
        <w:t>b-5 claim</w:t>
      </w:r>
      <w:r>
        <w:rPr>
          <w:sz w:val="20"/>
        </w:rPr>
        <w:t xml:space="preserve">: </w:t>
      </w:r>
    </w:p>
    <w:p w14:paraId="7ADB5A5B" w14:textId="5B9D32AB" w:rsidR="00E92553" w:rsidRPr="00E92553" w:rsidRDefault="00E92553" w:rsidP="009629F3">
      <w:pPr>
        <w:pStyle w:val="NoSpacing"/>
        <w:widowControl w:val="0"/>
        <w:numPr>
          <w:ilvl w:val="2"/>
          <w:numId w:val="12"/>
        </w:numPr>
        <w:spacing w:line="259" w:lineRule="auto"/>
        <w:rPr>
          <w:rFonts w:cs="Times New Roman"/>
          <w:sz w:val="20"/>
          <w:szCs w:val="22"/>
          <w:lang w:eastAsia="ja-JP"/>
        </w:rPr>
      </w:pPr>
      <w:r>
        <w:rPr>
          <w:rFonts w:cs="Times New Roman"/>
          <w:sz w:val="20"/>
          <w:szCs w:val="22"/>
          <w:lang w:eastAsia="ja-JP"/>
        </w:rPr>
        <w:t xml:space="preserve">Jurisdiction </w:t>
      </w:r>
      <w:r w:rsidRPr="00E92553">
        <w:rPr>
          <w:rFonts w:cs="Times New Roman"/>
          <w:sz w:val="20"/>
          <w:szCs w:val="22"/>
          <w:lang w:eastAsia="ja-JP"/>
        </w:rPr>
        <w:t xml:space="preserve">– </w:t>
      </w:r>
      <w:r>
        <w:rPr>
          <w:rFonts w:cs="Times New Roman"/>
          <w:sz w:val="20"/>
          <w:szCs w:val="22"/>
          <w:lang w:eastAsia="ja-JP"/>
        </w:rPr>
        <w:t>Interstate commerce</w:t>
      </w:r>
    </w:p>
    <w:p w14:paraId="4C2647B3" w14:textId="220F7016" w:rsidR="00E92553" w:rsidRPr="00E92553" w:rsidRDefault="00E92553" w:rsidP="009629F3">
      <w:pPr>
        <w:pStyle w:val="NoSpacing"/>
        <w:widowControl w:val="0"/>
        <w:numPr>
          <w:ilvl w:val="2"/>
          <w:numId w:val="12"/>
        </w:numPr>
        <w:spacing w:line="259" w:lineRule="auto"/>
        <w:rPr>
          <w:rFonts w:cs="Times New Roman"/>
          <w:sz w:val="20"/>
          <w:szCs w:val="22"/>
          <w:lang w:eastAsia="ja-JP"/>
        </w:rPr>
      </w:pPr>
      <w:r>
        <w:rPr>
          <w:rFonts w:cs="Times New Roman"/>
          <w:sz w:val="20"/>
          <w:szCs w:val="22"/>
          <w:lang w:eastAsia="ja-JP"/>
        </w:rPr>
        <w:t xml:space="preserve">Standing – </w:t>
      </w:r>
      <w:r w:rsidRPr="00E92553">
        <w:rPr>
          <w:rFonts w:cs="Times New Roman"/>
          <w:sz w:val="20"/>
          <w:szCs w:val="22"/>
          <w:lang w:eastAsia="ja-JP"/>
        </w:rPr>
        <w:t>An actual buyer/seller of a sec</w:t>
      </w:r>
      <w:r>
        <w:rPr>
          <w:rFonts w:cs="Times New Roman"/>
          <w:sz w:val="20"/>
          <w:szCs w:val="22"/>
          <w:lang w:eastAsia="ja-JP"/>
        </w:rPr>
        <w:t>urity</w:t>
      </w:r>
      <w:r w:rsidRPr="00E92553">
        <w:rPr>
          <w:rFonts w:cs="Times New Roman"/>
          <w:sz w:val="20"/>
          <w:szCs w:val="22"/>
          <w:lang w:eastAsia="ja-JP"/>
        </w:rPr>
        <w:t xml:space="preserve"> (</w:t>
      </w:r>
      <w:r w:rsidRPr="00E92553">
        <w:rPr>
          <w:rFonts w:cs="Times New Roman"/>
          <w:i/>
          <w:sz w:val="20"/>
          <w:szCs w:val="22"/>
          <w:lang w:eastAsia="ja-JP"/>
        </w:rPr>
        <w:t>Blue Chip</w:t>
      </w:r>
      <w:r w:rsidRPr="00E92553">
        <w:rPr>
          <w:rFonts w:cs="Times New Roman"/>
          <w:sz w:val="20"/>
          <w:szCs w:val="22"/>
          <w:lang w:eastAsia="ja-JP"/>
        </w:rPr>
        <w:t>) or option (</w:t>
      </w:r>
      <w:r w:rsidRPr="00E92553">
        <w:rPr>
          <w:rFonts w:cs="Times New Roman"/>
          <w:i/>
          <w:sz w:val="20"/>
          <w:szCs w:val="22"/>
          <w:lang w:eastAsia="ja-JP"/>
        </w:rPr>
        <w:t>Beneficial Corp</w:t>
      </w:r>
      <w:r w:rsidRPr="00E92553">
        <w:rPr>
          <w:rFonts w:cs="Times New Roman"/>
          <w:sz w:val="20"/>
          <w:szCs w:val="22"/>
          <w:lang w:eastAsia="ja-JP"/>
        </w:rPr>
        <w:t>)</w:t>
      </w:r>
    </w:p>
    <w:p w14:paraId="204A11AA" w14:textId="16C62BB2" w:rsidR="00E92553" w:rsidRDefault="00E92553" w:rsidP="009629F3">
      <w:pPr>
        <w:pStyle w:val="NoSpacing"/>
        <w:widowControl w:val="0"/>
        <w:numPr>
          <w:ilvl w:val="2"/>
          <w:numId w:val="12"/>
        </w:numPr>
        <w:spacing w:line="259" w:lineRule="auto"/>
        <w:rPr>
          <w:rFonts w:cs="Times New Roman"/>
          <w:sz w:val="20"/>
          <w:szCs w:val="22"/>
          <w:lang w:eastAsia="ja-JP"/>
        </w:rPr>
      </w:pPr>
      <w:r>
        <w:rPr>
          <w:rFonts w:cs="Times New Roman"/>
          <w:sz w:val="20"/>
          <w:szCs w:val="22"/>
          <w:lang w:eastAsia="ja-JP"/>
        </w:rPr>
        <w:t xml:space="preserve">Scienter – </w:t>
      </w:r>
      <w:r w:rsidRPr="00E92553">
        <w:rPr>
          <w:rFonts w:cs="Times New Roman"/>
          <w:sz w:val="20"/>
          <w:szCs w:val="22"/>
          <w:lang w:eastAsia="ja-JP"/>
        </w:rPr>
        <w:t>F</w:t>
      </w:r>
      <w:r>
        <w:rPr>
          <w:rFonts w:cs="Times New Roman"/>
          <w:sz w:val="20"/>
          <w:szCs w:val="22"/>
          <w:lang w:eastAsia="ja-JP"/>
        </w:rPr>
        <w:t>al</w:t>
      </w:r>
      <w:r w:rsidR="007E04ED">
        <w:rPr>
          <w:rFonts w:cs="Times New Roman"/>
          <w:sz w:val="20"/>
          <w:szCs w:val="22"/>
          <w:lang w:eastAsia="ja-JP"/>
        </w:rPr>
        <w:t xml:space="preserve">se statement </w:t>
      </w:r>
      <w:r>
        <w:rPr>
          <w:rFonts w:cs="Times New Roman"/>
          <w:sz w:val="20"/>
          <w:szCs w:val="22"/>
          <w:lang w:eastAsia="ja-JP"/>
        </w:rPr>
        <w:t>made with “</w:t>
      </w:r>
      <w:r w:rsidRPr="00E92553">
        <w:rPr>
          <w:rFonts w:cs="Times New Roman"/>
          <w:sz w:val="20"/>
          <w:szCs w:val="22"/>
          <w:lang w:eastAsia="ja-JP"/>
        </w:rPr>
        <w:t>int</w:t>
      </w:r>
      <w:r w:rsidR="007E04ED">
        <w:rPr>
          <w:rFonts w:cs="Times New Roman"/>
          <w:sz w:val="20"/>
          <w:szCs w:val="22"/>
          <w:lang w:eastAsia="ja-JP"/>
        </w:rPr>
        <w:t>ent to deceive, manipulate</w:t>
      </w:r>
      <w:r w:rsidRPr="00E92553">
        <w:rPr>
          <w:rFonts w:cs="Times New Roman"/>
          <w:sz w:val="20"/>
          <w:szCs w:val="22"/>
          <w:lang w:eastAsia="ja-JP"/>
        </w:rPr>
        <w:t xml:space="preserve"> or de</w:t>
      </w:r>
      <w:r>
        <w:rPr>
          <w:rFonts w:cs="Times New Roman"/>
          <w:sz w:val="20"/>
          <w:szCs w:val="22"/>
          <w:lang w:eastAsia="ja-JP"/>
        </w:rPr>
        <w:t xml:space="preserve">fraud” </w:t>
      </w:r>
      <w:r w:rsidRPr="00E92553">
        <w:rPr>
          <w:rFonts w:cs="Times New Roman"/>
          <w:sz w:val="20"/>
          <w:szCs w:val="22"/>
          <w:lang w:eastAsia="ja-JP"/>
        </w:rPr>
        <w:t>(</w:t>
      </w:r>
      <w:r w:rsidRPr="00E92553">
        <w:rPr>
          <w:rFonts w:cs="Times New Roman"/>
          <w:i/>
          <w:sz w:val="20"/>
          <w:szCs w:val="22"/>
          <w:lang w:eastAsia="ja-JP"/>
        </w:rPr>
        <w:t>Ernst</w:t>
      </w:r>
      <w:r w:rsidRPr="00E92553">
        <w:rPr>
          <w:rFonts w:cs="Times New Roman"/>
          <w:sz w:val="20"/>
          <w:szCs w:val="22"/>
          <w:lang w:eastAsia="ja-JP"/>
        </w:rPr>
        <w:t xml:space="preserve">) </w:t>
      </w:r>
    </w:p>
    <w:p w14:paraId="73997491" w14:textId="40CAA4E5" w:rsidR="00E92553" w:rsidRPr="00E92553" w:rsidRDefault="00E92553" w:rsidP="009629F3">
      <w:pPr>
        <w:pStyle w:val="NoSpacing"/>
        <w:widowControl w:val="0"/>
        <w:numPr>
          <w:ilvl w:val="3"/>
          <w:numId w:val="12"/>
        </w:numPr>
        <w:spacing w:line="259" w:lineRule="auto"/>
        <w:rPr>
          <w:rFonts w:cs="Times New Roman"/>
          <w:sz w:val="20"/>
          <w:szCs w:val="22"/>
          <w:lang w:eastAsia="ja-JP"/>
        </w:rPr>
      </w:pPr>
      <w:r>
        <w:rPr>
          <w:rFonts w:cs="Times New Roman"/>
          <w:sz w:val="20"/>
          <w:szCs w:val="22"/>
          <w:lang w:eastAsia="ja-JP"/>
        </w:rPr>
        <w:t>I</w:t>
      </w:r>
      <w:r w:rsidRPr="00E92553">
        <w:rPr>
          <w:rFonts w:cs="Times New Roman"/>
          <w:sz w:val="20"/>
          <w:szCs w:val="22"/>
          <w:lang w:eastAsia="ja-JP"/>
        </w:rPr>
        <w:t>ncludes recklessness but not or</w:t>
      </w:r>
      <w:r>
        <w:rPr>
          <w:rFonts w:cs="Times New Roman"/>
          <w:sz w:val="20"/>
          <w:szCs w:val="22"/>
          <w:lang w:eastAsia="ja-JP"/>
        </w:rPr>
        <w:t>dinary negligence</w:t>
      </w:r>
    </w:p>
    <w:p w14:paraId="21F92FD6" w14:textId="77777777" w:rsidR="00E92553" w:rsidRDefault="00E92553" w:rsidP="009629F3">
      <w:pPr>
        <w:pStyle w:val="NoSpacing"/>
        <w:widowControl w:val="0"/>
        <w:numPr>
          <w:ilvl w:val="2"/>
          <w:numId w:val="12"/>
        </w:numPr>
        <w:spacing w:line="259" w:lineRule="auto"/>
        <w:rPr>
          <w:rFonts w:cs="Times New Roman"/>
          <w:sz w:val="20"/>
          <w:szCs w:val="22"/>
          <w:lang w:eastAsia="ja-JP"/>
        </w:rPr>
      </w:pPr>
      <w:r w:rsidRPr="00E92553">
        <w:rPr>
          <w:rFonts w:cs="Times New Roman"/>
          <w:sz w:val="20"/>
          <w:szCs w:val="22"/>
          <w:lang w:eastAsia="ja-JP"/>
        </w:rPr>
        <w:t xml:space="preserve">MMO in connection with the sale of a </w:t>
      </w:r>
      <w:r>
        <w:rPr>
          <w:rFonts w:cs="Times New Roman"/>
          <w:sz w:val="20"/>
          <w:szCs w:val="22"/>
          <w:lang w:eastAsia="ja-JP"/>
        </w:rPr>
        <w:t>s</w:t>
      </w:r>
      <w:r w:rsidRPr="00E92553">
        <w:rPr>
          <w:rFonts w:cs="Times New Roman"/>
          <w:sz w:val="20"/>
          <w:szCs w:val="22"/>
          <w:lang w:eastAsia="ja-JP"/>
        </w:rPr>
        <w:t>ecurity</w:t>
      </w:r>
    </w:p>
    <w:p w14:paraId="6119D702" w14:textId="5245CE18" w:rsidR="00E92553" w:rsidRPr="00404061" w:rsidRDefault="00E92553" w:rsidP="009629F3">
      <w:pPr>
        <w:pStyle w:val="NoSpacing"/>
        <w:widowControl w:val="0"/>
        <w:numPr>
          <w:ilvl w:val="3"/>
          <w:numId w:val="12"/>
        </w:numPr>
        <w:spacing w:line="259" w:lineRule="auto"/>
        <w:rPr>
          <w:rFonts w:cs="Times New Roman"/>
          <w:sz w:val="20"/>
          <w:szCs w:val="22"/>
          <w:lang w:eastAsia="ja-JP"/>
        </w:rPr>
      </w:pPr>
      <w:r>
        <w:rPr>
          <w:rFonts w:cs="Times New Roman"/>
          <w:sz w:val="20"/>
          <w:szCs w:val="22"/>
          <w:lang w:eastAsia="ja-JP"/>
        </w:rPr>
        <w:t>Plaintiff</w:t>
      </w:r>
      <w:r w:rsidRPr="00E92553">
        <w:rPr>
          <w:rFonts w:cs="Times New Roman"/>
          <w:sz w:val="20"/>
          <w:szCs w:val="22"/>
          <w:lang w:eastAsia="ja-JP"/>
        </w:rPr>
        <w:t xml:space="preserve"> must show MMO </w:t>
      </w:r>
      <w:r>
        <w:rPr>
          <w:rFonts w:cs="Times New Roman"/>
          <w:sz w:val="20"/>
          <w:szCs w:val="22"/>
          <w:lang w:eastAsia="ja-JP"/>
        </w:rPr>
        <w:t>deceive</w:t>
      </w:r>
      <w:r w:rsidR="004E42FB">
        <w:rPr>
          <w:rFonts w:cs="Times New Roman"/>
          <w:sz w:val="20"/>
          <w:szCs w:val="22"/>
          <w:lang w:eastAsia="ja-JP"/>
        </w:rPr>
        <w:t>d/</w:t>
      </w:r>
      <w:r w:rsidRPr="00E92553">
        <w:rPr>
          <w:rFonts w:cs="Times New Roman"/>
          <w:sz w:val="20"/>
          <w:szCs w:val="22"/>
          <w:lang w:eastAsia="ja-JP"/>
        </w:rPr>
        <w:t xml:space="preserve">manipulated and was connected </w:t>
      </w:r>
      <w:r>
        <w:rPr>
          <w:rFonts w:cs="Times New Roman"/>
          <w:sz w:val="20"/>
          <w:szCs w:val="22"/>
          <w:lang w:eastAsia="ja-JP"/>
        </w:rPr>
        <w:t xml:space="preserve">to </w:t>
      </w:r>
      <w:r w:rsidRPr="00E92553">
        <w:rPr>
          <w:rFonts w:cs="Times New Roman"/>
          <w:sz w:val="20"/>
          <w:szCs w:val="22"/>
          <w:lang w:eastAsia="ja-JP"/>
        </w:rPr>
        <w:t>the</w:t>
      </w:r>
      <w:r>
        <w:rPr>
          <w:rFonts w:cs="Times New Roman"/>
          <w:sz w:val="20"/>
          <w:szCs w:val="22"/>
          <w:lang w:eastAsia="ja-JP"/>
        </w:rPr>
        <w:t xml:space="preserve"> sale</w:t>
      </w:r>
      <w:r w:rsidR="00A2572D">
        <w:rPr>
          <w:rFonts w:cs="Times New Roman"/>
          <w:sz w:val="20"/>
          <w:szCs w:val="22"/>
          <w:lang w:eastAsia="ja-JP"/>
        </w:rPr>
        <w:t xml:space="preserve"> – </w:t>
      </w:r>
      <w:r w:rsidR="00D0308A">
        <w:rPr>
          <w:rFonts w:cs="Times New Roman"/>
          <w:sz w:val="20"/>
          <w:szCs w:val="22"/>
          <w:lang w:eastAsia="ja-JP"/>
        </w:rPr>
        <w:t xml:space="preserve">breach of fiduciary duty does </w:t>
      </w:r>
      <w:r w:rsidR="00D0308A">
        <w:rPr>
          <w:rFonts w:cs="Times New Roman"/>
          <w:i/>
          <w:sz w:val="20"/>
          <w:szCs w:val="22"/>
          <w:lang w:eastAsia="ja-JP"/>
        </w:rPr>
        <w:t xml:space="preserve">not </w:t>
      </w:r>
      <w:r w:rsidR="00D0308A">
        <w:rPr>
          <w:rFonts w:cs="Times New Roman"/>
          <w:sz w:val="20"/>
          <w:szCs w:val="22"/>
          <w:lang w:eastAsia="ja-JP"/>
        </w:rPr>
        <w:t xml:space="preserve">violate the Rule – </w:t>
      </w:r>
      <w:r w:rsidR="00A2572D">
        <w:rPr>
          <w:rFonts w:cs="Times New Roman"/>
          <w:i/>
          <w:sz w:val="20"/>
          <w:szCs w:val="22"/>
          <w:lang w:eastAsia="ja-JP"/>
        </w:rPr>
        <w:t>Santa Fe Industries</w:t>
      </w:r>
    </w:p>
    <w:p w14:paraId="5B00464F" w14:textId="1EB1C5AF" w:rsidR="00404061" w:rsidRPr="00E92553" w:rsidRDefault="00404061" w:rsidP="009629F3">
      <w:pPr>
        <w:pStyle w:val="NoSpacing"/>
        <w:widowControl w:val="0"/>
        <w:numPr>
          <w:ilvl w:val="4"/>
          <w:numId w:val="12"/>
        </w:numPr>
        <w:spacing w:line="259" w:lineRule="auto"/>
        <w:rPr>
          <w:rFonts w:cs="Times New Roman"/>
          <w:sz w:val="20"/>
          <w:szCs w:val="22"/>
          <w:lang w:eastAsia="ja-JP"/>
        </w:rPr>
      </w:pPr>
      <w:r>
        <w:rPr>
          <w:rFonts w:cs="Times New Roman"/>
          <w:sz w:val="20"/>
          <w:szCs w:val="22"/>
          <w:lang w:eastAsia="ja-JP"/>
        </w:rPr>
        <w:t xml:space="preserve">Without manipulation (deceit by behavior), </w:t>
      </w:r>
      <w:r w:rsidR="003817C6">
        <w:rPr>
          <w:rFonts w:cs="Times New Roman"/>
          <w:sz w:val="20"/>
          <w:szCs w:val="22"/>
          <w:lang w:eastAsia="ja-JP"/>
        </w:rPr>
        <w:t>only state statutory remedies (i.e., appraisal) are available</w:t>
      </w:r>
    </w:p>
    <w:p w14:paraId="62B6B581" w14:textId="78D684D9" w:rsidR="00E92553" w:rsidRPr="004E42FB" w:rsidRDefault="00152CD0" w:rsidP="009629F3">
      <w:pPr>
        <w:pStyle w:val="NoSpacing"/>
        <w:widowControl w:val="0"/>
        <w:numPr>
          <w:ilvl w:val="2"/>
          <w:numId w:val="12"/>
        </w:numPr>
        <w:spacing w:line="259" w:lineRule="auto"/>
        <w:rPr>
          <w:rFonts w:cs="Times New Roman"/>
          <w:sz w:val="20"/>
          <w:szCs w:val="22"/>
          <w:lang w:eastAsia="ja-JP"/>
        </w:rPr>
      </w:pPr>
      <w:r>
        <w:rPr>
          <w:rFonts w:cs="Times New Roman"/>
          <w:sz w:val="20"/>
          <w:szCs w:val="22"/>
          <w:lang w:eastAsia="ja-JP"/>
        </w:rPr>
        <w:t>Reliance must be proven, or implied throu</w:t>
      </w:r>
      <w:r w:rsidR="00F34217">
        <w:rPr>
          <w:rFonts w:cs="Times New Roman"/>
          <w:sz w:val="20"/>
          <w:szCs w:val="22"/>
          <w:lang w:eastAsia="ja-JP"/>
        </w:rPr>
        <w:t xml:space="preserve">gh </w:t>
      </w:r>
      <w:r w:rsidR="00E92553">
        <w:rPr>
          <w:rFonts w:cs="Times New Roman"/>
          <w:sz w:val="20"/>
          <w:szCs w:val="22"/>
          <w:lang w:eastAsia="ja-JP"/>
        </w:rPr>
        <w:t xml:space="preserve">fraud on the market </w:t>
      </w:r>
      <w:r w:rsidR="003938DE">
        <w:rPr>
          <w:rFonts w:cs="Times New Roman"/>
          <w:sz w:val="20"/>
          <w:szCs w:val="22"/>
          <w:lang w:eastAsia="ja-JP"/>
        </w:rPr>
        <w:t>(</w:t>
      </w:r>
      <w:proofErr w:type="spellStart"/>
      <w:r w:rsidR="003938DE">
        <w:rPr>
          <w:rFonts w:cs="Times New Roman"/>
          <w:sz w:val="20"/>
          <w:szCs w:val="22"/>
          <w:lang w:eastAsia="ja-JP"/>
        </w:rPr>
        <w:t>FotM</w:t>
      </w:r>
      <w:proofErr w:type="spellEnd"/>
      <w:r w:rsidR="003938DE">
        <w:rPr>
          <w:rFonts w:cs="Times New Roman"/>
          <w:sz w:val="20"/>
          <w:szCs w:val="22"/>
          <w:lang w:eastAsia="ja-JP"/>
        </w:rPr>
        <w:t>)</w:t>
      </w:r>
      <w:r w:rsidR="00F34217">
        <w:rPr>
          <w:rFonts w:cs="Times New Roman"/>
          <w:sz w:val="20"/>
          <w:szCs w:val="22"/>
          <w:lang w:eastAsia="ja-JP"/>
        </w:rPr>
        <w:t xml:space="preserve"> theory</w:t>
      </w:r>
      <w:r w:rsidR="003938DE">
        <w:rPr>
          <w:rFonts w:cs="Times New Roman"/>
          <w:sz w:val="20"/>
          <w:szCs w:val="22"/>
          <w:lang w:eastAsia="ja-JP"/>
        </w:rPr>
        <w:t xml:space="preserve"> </w:t>
      </w:r>
      <w:r w:rsidR="00E92553">
        <w:rPr>
          <w:rFonts w:cs="Times New Roman"/>
          <w:i/>
          <w:sz w:val="20"/>
          <w:szCs w:val="22"/>
          <w:lang w:eastAsia="ja-JP"/>
        </w:rPr>
        <w:t xml:space="preserve">– </w:t>
      </w:r>
      <w:r w:rsidR="004E42FB">
        <w:rPr>
          <w:rFonts w:cs="Times New Roman"/>
          <w:i/>
          <w:sz w:val="20"/>
          <w:szCs w:val="22"/>
          <w:lang w:eastAsia="ja-JP"/>
        </w:rPr>
        <w:t>Basic</w:t>
      </w:r>
    </w:p>
    <w:p w14:paraId="5E595794" w14:textId="72B8F09F" w:rsidR="004E42FB" w:rsidRDefault="004E42FB" w:rsidP="009629F3">
      <w:pPr>
        <w:pStyle w:val="NoSpacing"/>
        <w:widowControl w:val="0"/>
        <w:numPr>
          <w:ilvl w:val="3"/>
          <w:numId w:val="12"/>
        </w:numPr>
        <w:spacing w:line="259" w:lineRule="auto"/>
        <w:rPr>
          <w:rFonts w:cs="Times New Roman"/>
          <w:sz w:val="20"/>
          <w:szCs w:val="22"/>
          <w:lang w:eastAsia="ja-JP"/>
        </w:rPr>
      </w:pPr>
      <w:r>
        <w:rPr>
          <w:rFonts w:cs="Times New Roman"/>
          <w:i/>
          <w:sz w:val="20"/>
          <w:szCs w:val="22"/>
          <w:lang w:eastAsia="ja-JP"/>
        </w:rPr>
        <w:t xml:space="preserve">Basic </w:t>
      </w:r>
      <w:r>
        <w:rPr>
          <w:rFonts w:cs="Times New Roman"/>
          <w:sz w:val="20"/>
          <w:szCs w:val="22"/>
          <w:lang w:eastAsia="ja-JP"/>
        </w:rPr>
        <w:t>presumes reliance if 1) misrepresentations are publicly known, 2) material, 3) stock was traded in an efficient market, and 4) timing is correct</w:t>
      </w:r>
    </w:p>
    <w:p w14:paraId="3BF3FFC5" w14:textId="5DE1C1A7" w:rsidR="004E42FB" w:rsidRDefault="004E42FB" w:rsidP="009629F3">
      <w:pPr>
        <w:pStyle w:val="NoSpacing"/>
        <w:widowControl w:val="0"/>
        <w:numPr>
          <w:ilvl w:val="3"/>
          <w:numId w:val="12"/>
        </w:numPr>
        <w:spacing w:line="259" w:lineRule="auto"/>
        <w:rPr>
          <w:rFonts w:cs="Times New Roman"/>
          <w:sz w:val="20"/>
          <w:szCs w:val="22"/>
          <w:lang w:eastAsia="ja-JP"/>
        </w:rPr>
      </w:pPr>
      <w:r>
        <w:rPr>
          <w:rFonts w:cs="Times New Roman"/>
          <w:i/>
          <w:sz w:val="20"/>
          <w:szCs w:val="22"/>
          <w:lang w:eastAsia="ja-JP"/>
        </w:rPr>
        <w:t xml:space="preserve">Basic </w:t>
      </w:r>
      <w:r>
        <w:rPr>
          <w:rFonts w:cs="Times New Roman"/>
          <w:sz w:val="20"/>
          <w:szCs w:val="22"/>
          <w:lang w:eastAsia="ja-JP"/>
        </w:rPr>
        <w:t>is thus actually two presumptions – if 1, 2, and 3, then we presume that the MMO affected the stock price. If 4, there was reliance on the MMO</w:t>
      </w:r>
    </w:p>
    <w:p w14:paraId="38CF0659" w14:textId="734D0A9D" w:rsidR="005F0555" w:rsidRDefault="005F0555" w:rsidP="009629F3">
      <w:pPr>
        <w:pStyle w:val="NoSpacing"/>
        <w:widowControl w:val="0"/>
        <w:numPr>
          <w:ilvl w:val="3"/>
          <w:numId w:val="12"/>
        </w:numPr>
        <w:spacing w:line="259" w:lineRule="auto"/>
        <w:rPr>
          <w:rFonts w:cs="Times New Roman"/>
          <w:sz w:val="20"/>
          <w:szCs w:val="22"/>
          <w:lang w:eastAsia="ja-JP"/>
        </w:rPr>
      </w:pPr>
      <w:r>
        <w:rPr>
          <w:rFonts w:cs="Times New Roman"/>
          <w:i/>
          <w:sz w:val="20"/>
          <w:szCs w:val="22"/>
          <w:lang w:eastAsia="ja-JP"/>
        </w:rPr>
        <w:t xml:space="preserve">Halliburton </w:t>
      </w:r>
      <w:r>
        <w:rPr>
          <w:rFonts w:cs="Times New Roman"/>
          <w:sz w:val="20"/>
          <w:szCs w:val="22"/>
          <w:lang w:eastAsia="ja-JP"/>
        </w:rPr>
        <w:t xml:space="preserve">tried to overturn </w:t>
      </w:r>
      <w:r>
        <w:rPr>
          <w:rFonts w:cs="Times New Roman"/>
          <w:i/>
          <w:sz w:val="20"/>
          <w:szCs w:val="22"/>
          <w:lang w:eastAsia="ja-JP"/>
        </w:rPr>
        <w:t>Basic</w:t>
      </w:r>
      <w:r>
        <w:rPr>
          <w:rFonts w:cs="Times New Roman"/>
          <w:sz w:val="20"/>
          <w:szCs w:val="22"/>
          <w:lang w:eastAsia="ja-JP"/>
        </w:rPr>
        <w:t xml:space="preserve">’s </w:t>
      </w:r>
      <w:proofErr w:type="spellStart"/>
      <w:r>
        <w:rPr>
          <w:rFonts w:cs="Times New Roman"/>
          <w:sz w:val="20"/>
          <w:szCs w:val="22"/>
          <w:lang w:eastAsia="ja-JP"/>
        </w:rPr>
        <w:t>FotM</w:t>
      </w:r>
      <w:proofErr w:type="spellEnd"/>
      <w:r>
        <w:rPr>
          <w:rFonts w:cs="Times New Roman"/>
          <w:sz w:val="20"/>
          <w:szCs w:val="22"/>
          <w:lang w:eastAsia="ja-JP"/>
        </w:rPr>
        <w:t xml:space="preserve"> theory, but failed</w:t>
      </w:r>
    </w:p>
    <w:p w14:paraId="6D9D0FAF" w14:textId="641EDE1B" w:rsidR="005F0555" w:rsidRDefault="005F0555" w:rsidP="009629F3">
      <w:pPr>
        <w:pStyle w:val="NoSpacing"/>
        <w:widowControl w:val="0"/>
        <w:numPr>
          <w:ilvl w:val="4"/>
          <w:numId w:val="12"/>
        </w:numPr>
        <w:spacing w:line="259" w:lineRule="auto"/>
        <w:rPr>
          <w:rFonts w:cs="Times New Roman"/>
          <w:sz w:val="20"/>
          <w:szCs w:val="22"/>
          <w:lang w:eastAsia="ja-JP"/>
        </w:rPr>
      </w:pPr>
      <w:r>
        <w:rPr>
          <w:rFonts w:cs="Times New Roman"/>
          <w:sz w:val="20"/>
          <w:szCs w:val="22"/>
          <w:lang w:eastAsia="ja-JP"/>
        </w:rPr>
        <w:t>Court emphasized rebut</w:t>
      </w:r>
      <w:r w:rsidR="00DE3F15">
        <w:rPr>
          <w:rFonts w:cs="Times New Roman"/>
          <w:sz w:val="20"/>
          <w:szCs w:val="22"/>
          <w:lang w:eastAsia="ja-JP"/>
        </w:rPr>
        <w:t>t</w:t>
      </w:r>
      <w:r>
        <w:rPr>
          <w:rFonts w:cs="Times New Roman"/>
          <w:sz w:val="20"/>
          <w:szCs w:val="22"/>
          <w:lang w:eastAsia="ja-JP"/>
        </w:rPr>
        <w:t>able-ness of presumption of reliance</w:t>
      </w:r>
    </w:p>
    <w:p w14:paraId="0F3BA341" w14:textId="31CA1435" w:rsidR="003625E1" w:rsidRDefault="003625E1" w:rsidP="009629F3">
      <w:pPr>
        <w:pStyle w:val="NoSpacing"/>
        <w:widowControl w:val="0"/>
        <w:numPr>
          <w:ilvl w:val="4"/>
          <w:numId w:val="12"/>
        </w:numPr>
        <w:spacing w:line="259" w:lineRule="auto"/>
        <w:rPr>
          <w:rFonts w:cs="Times New Roman"/>
          <w:sz w:val="20"/>
          <w:szCs w:val="22"/>
          <w:lang w:eastAsia="ja-JP"/>
        </w:rPr>
      </w:pPr>
      <w:r>
        <w:rPr>
          <w:rFonts w:cs="Times New Roman"/>
          <w:sz w:val="20"/>
          <w:szCs w:val="22"/>
          <w:lang w:eastAsia="ja-JP"/>
        </w:rPr>
        <w:t>Defendant can rebut “price impact” (presumptions 1, 2, and 3) at class certification stage</w:t>
      </w:r>
    </w:p>
    <w:p w14:paraId="3076037B" w14:textId="2EE25613" w:rsidR="000764CE" w:rsidRPr="00116428" w:rsidRDefault="000764CE" w:rsidP="009629F3">
      <w:pPr>
        <w:pStyle w:val="NoSpacing"/>
        <w:widowControl w:val="0"/>
        <w:numPr>
          <w:ilvl w:val="3"/>
          <w:numId w:val="12"/>
        </w:numPr>
        <w:spacing w:line="259" w:lineRule="auto"/>
        <w:rPr>
          <w:rFonts w:cs="Times New Roman"/>
          <w:sz w:val="20"/>
          <w:szCs w:val="22"/>
          <w:lang w:eastAsia="ja-JP"/>
        </w:rPr>
      </w:pPr>
      <w:r>
        <w:rPr>
          <w:rFonts w:cs="Times New Roman"/>
          <w:sz w:val="20"/>
          <w:szCs w:val="22"/>
          <w:lang w:eastAsia="ja-JP"/>
        </w:rPr>
        <w:t xml:space="preserve">Non-public information is presumed not priced into a security, and so cannot be the basis for a </w:t>
      </w:r>
      <w:proofErr w:type="spellStart"/>
      <w:r>
        <w:rPr>
          <w:rFonts w:cs="Times New Roman"/>
          <w:sz w:val="20"/>
          <w:szCs w:val="22"/>
          <w:lang w:eastAsia="ja-JP"/>
        </w:rPr>
        <w:t>FotM</w:t>
      </w:r>
      <w:proofErr w:type="spellEnd"/>
      <w:r>
        <w:rPr>
          <w:rFonts w:cs="Times New Roman"/>
          <w:sz w:val="20"/>
          <w:szCs w:val="22"/>
          <w:lang w:eastAsia="ja-JP"/>
        </w:rPr>
        <w:t xml:space="preserve"> theory of Rule 10b-5 – </w:t>
      </w:r>
      <w:r>
        <w:rPr>
          <w:rFonts w:cs="Times New Roman"/>
          <w:i/>
          <w:sz w:val="20"/>
          <w:szCs w:val="22"/>
          <w:lang w:eastAsia="ja-JP"/>
        </w:rPr>
        <w:t>West v. Prudential Securities</w:t>
      </w:r>
    </w:p>
    <w:p w14:paraId="3C0CD1A6" w14:textId="6AEF5EA5" w:rsidR="00116428" w:rsidRPr="00E92553" w:rsidRDefault="00116428" w:rsidP="009629F3">
      <w:pPr>
        <w:pStyle w:val="NoSpacing"/>
        <w:widowControl w:val="0"/>
        <w:numPr>
          <w:ilvl w:val="4"/>
          <w:numId w:val="12"/>
        </w:numPr>
        <w:spacing w:line="259" w:lineRule="auto"/>
        <w:rPr>
          <w:rFonts w:cs="Times New Roman"/>
          <w:sz w:val="20"/>
          <w:szCs w:val="22"/>
          <w:lang w:eastAsia="ja-JP"/>
        </w:rPr>
      </w:pPr>
      <w:r>
        <w:rPr>
          <w:rFonts w:cs="Times New Roman"/>
          <w:sz w:val="20"/>
          <w:szCs w:val="22"/>
          <w:lang w:eastAsia="ja-JP"/>
        </w:rPr>
        <w:t xml:space="preserve">Nor can </w:t>
      </w:r>
      <w:proofErr w:type="spellStart"/>
      <w:r>
        <w:rPr>
          <w:rFonts w:cs="Times New Roman"/>
          <w:sz w:val="20"/>
          <w:szCs w:val="22"/>
          <w:lang w:eastAsia="ja-JP"/>
        </w:rPr>
        <w:t>FotM</w:t>
      </w:r>
      <w:proofErr w:type="spellEnd"/>
      <w:r>
        <w:rPr>
          <w:rFonts w:cs="Times New Roman"/>
          <w:sz w:val="20"/>
          <w:szCs w:val="22"/>
          <w:lang w:eastAsia="ja-JP"/>
        </w:rPr>
        <w:t xml:space="preserve"> be based on securities that don’t trade in an efficient market (no opportunity for false information to impact price)</w:t>
      </w:r>
    </w:p>
    <w:p w14:paraId="33814C7D" w14:textId="266C46EF" w:rsidR="00E92553" w:rsidRPr="00E92553" w:rsidRDefault="00E92553" w:rsidP="009629F3">
      <w:pPr>
        <w:pStyle w:val="NoSpacing"/>
        <w:widowControl w:val="0"/>
        <w:numPr>
          <w:ilvl w:val="2"/>
          <w:numId w:val="12"/>
        </w:numPr>
        <w:spacing w:line="259" w:lineRule="auto"/>
        <w:rPr>
          <w:rFonts w:cs="Times New Roman"/>
          <w:sz w:val="20"/>
          <w:szCs w:val="22"/>
          <w:lang w:eastAsia="ja-JP"/>
        </w:rPr>
      </w:pPr>
      <w:r w:rsidRPr="00E92553">
        <w:rPr>
          <w:rFonts w:cs="Times New Roman"/>
          <w:sz w:val="20"/>
          <w:szCs w:val="22"/>
          <w:lang w:eastAsia="ja-JP"/>
        </w:rPr>
        <w:t>Economic loss</w:t>
      </w:r>
    </w:p>
    <w:p w14:paraId="5620C318" w14:textId="250896D8" w:rsidR="00E92553" w:rsidRDefault="00E92553" w:rsidP="009629F3">
      <w:pPr>
        <w:pStyle w:val="NoSpacing"/>
        <w:widowControl w:val="0"/>
        <w:numPr>
          <w:ilvl w:val="2"/>
          <w:numId w:val="12"/>
        </w:numPr>
        <w:spacing w:line="259" w:lineRule="auto"/>
        <w:rPr>
          <w:rFonts w:cs="Times New Roman"/>
          <w:sz w:val="20"/>
          <w:szCs w:val="22"/>
          <w:lang w:eastAsia="ja-JP"/>
        </w:rPr>
      </w:pPr>
      <w:r w:rsidRPr="00E92553">
        <w:rPr>
          <w:rFonts w:cs="Times New Roman"/>
          <w:sz w:val="20"/>
          <w:szCs w:val="22"/>
          <w:lang w:eastAsia="ja-JP"/>
        </w:rPr>
        <w:t>Causation: Causal co</w:t>
      </w:r>
      <w:r>
        <w:rPr>
          <w:rFonts w:cs="Times New Roman"/>
          <w:sz w:val="20"/>
          <w:szCs w:val="22"/>
          <w:lang w:eastAsia="ja-JP"/>
        </w:rPr>
        <w:t>nnection between MMO and loss</w:t>
      </w:r>
    </w:p>
    <w:p w14:paraId="4AD978E3" w14:textId="3F81B574" w:rsidR="003716BF" w:rsidRPr="00BD13B7" w:rsidRDefault="003938DE" w:rsidP="00BD13B7">
      <w:pPr>
        <w:pStyle w:val="NoSpacing"/>
        <w:widowControl w:val="0"/>
        <w:numPr>
          <w:ilvl w:val="1"/>
          <w:numId w:val="12"/>
        </w:numPr>
        <w:rPr>
          <w:rFonts w:cs="Times New Roman"/>
          <w:sz w:val="20"/>
          <w:szCs w:val="22"/>
          <w:lang w:eastAsia="ja-JP"/>
        </w:rPr>
      </w:pPr>
      <w:r>
        <w:rPr>
          <w:rFonts w:cs="Times New Roman"/>
          <w:sz w:val="20"/>
          <w:szCs w:val="22"/>
          <w:lang w:eastAsia="ja-JP"/>
        </w:rPr>
        <w:t xml:space="preserve">There is no liability for </w:t>
      </w:r>
      <w:r w:rsidR="00037682">
        <w:rPr>
          <w:rFonts w:cs="Times New Roman"/>
          <w:sz w:val="20"/>
          <w:szCs w:val="22"/>
          <w:lang w:eastAsia="ja-JP"/>
        </w:rPr>
        <w:t>aid</w:t>
      </w:r>
      <w:r>
        <w:rPr>
          <w:rFonts w:cs="Times New Roman"/>
          <w:sz w:val="20"/>
          <w:szCs w:val="22"/>
          <w:lang w:eastAsia="ja-JP"/>
        </w:rPr>
        <w:t>ing</w:t>
      </w:r>
      <w:r w:rsidR="00037682">
        <w:rPr>
          <w:rFonts w:cs="Times New Roman"/>
          <w:sz w:val="20"/>
          <w:szCs w:val="22"/>
          <w:lang w:eastAsia="ja-JP"/>
        </w:rPr>
        <w:t>/abet</w:t>
      </w:r>
      <w:r>
        <w:rPr>
          <w:rFonts w:cs="Times New Roman"/>
          <w:sz w:val="20"/>
          <w:szCs w:val="22"/>
          <w:lang w:eastAsia="ja-JP"/>
        </w:rPr>
        <w:t>ting</w:t>
      </w:r>
      <w:r w:rsidR="00037682">
        <w:rPr>
          <w:rFonts w:cs="Times New Roman"/>
          <w:sz w:val="20"/>
          <w:szCs w:val="22"/>
          <w:lang w:eastAsia="ja-JP"/>
        </w:rPr>
        <w:t xml:space="preserve"> Rule 10b-5 violations – </w:t>
      </w:r>
      <w:r w:rsidR="00037682">
        <w:rPr>
          <w:rFonts w:cs="Times New Roman"/>
          <w:i/>
          <w:sz w:val="20"/>
          <w:szCs w:val="22"/>
          <w:lang w:eastAsia="ja-JP"/>
        </w:rPr>
        <w:t>Central Bank</w:t>
      </w:r>
    </w:p>
    <w:p w14:paraId="362B95DF" w14:textId="6435F835" w:rsidR="000767BF" w:rsidRDefault="000767BF" w:rsidP="000767BF">
      <w:pPr>
        <w:pStyle w:val="Heading4"/>
        <w:rPr>
          <w:sz w:val="20"/>
        </w:rPr>
      </w:pPr>
      <w:r>
        <w:rPr>
          <w:sz w:val="20"/>
        </w:rPr>
        <w:t>Insider Transactions</w:t>
      </w:r>
      <w:r w:rsidR="00BB1004">
        <w:rPr>
          <w:sz w:val="20"/>
        </w:rPr>
        <w:br/>
      </w:r>
    </w:p>
    <w:tbl>
      <w:tblPr>
        <w:tblStyle w:val="GridTable4"/>
        <w:tblW w:w="0" w:type="auto"/>
        <w:tblLook w:val="0420" w:firstRow="1" w:lastRow="0" w:firstColumn="0" w:lastColumn="0" w:noHBand="0" w:noVBand="1"/>
      </w:tblPr>
      <w:tblGrid>
        <w:gridCol w:w="4225"/>
        <w:gridCol w:w="5125"/>
      </w:tblGrid>
      <w:tr w:rsidR="00265A50" w14:paraId="3411492B" w14:textId="77777777" w:rsidTr="00287455">
        <w:trPr>
          <w:cnfStyle w:val="100000000000" w:firstRow="1" w:lastRow="0" w:firstColumn="0" w:lastColumn="0" w:oddVBand="0" w:evenVBand="0" w:oddHBand="0" w:evenHBand="0" w:firstRowFirstColumn="0" w:firstRowLastColumn="0" w:lastRowFirstColumn="0" w:lastRowLastColumn="0"/>
        </w:trPr>
        <w:tc>
          <w:tcPr>
            <w:tcW w:w="4225" w:type="dxa"/>
          </w:tcPr>
          <w:p w14:paraId="270413F7" w14:textId="77777777" w:rsidR="00265A50" w:rsidRPr="00157B7F" w:rsidRDefault="00265A50" w:rsidP="00287455">
            <w:pPr>
              <w:jc w:val="center"/>
              <w:rPr>
                <w:sz w:val="20"/>
              </w:rPr>
            </w:pPr>
            <w:r w:rsidRPr="00157B7F">
              <w:rPr>
                <w:sz w:val="20"/>
              </w:rPr>
              <w:t>Insider Trading SHOULD NOT be illegal:</w:t>
            </w:r>
          </w:p>
        </w:tc>
        <w:tc>
          <w:tcPr>
            <w:tcW w:w="5125" w:type="dxa"/>
          </w:tcPr>
          <w:p w14:paraId="627EC325" w14:textId="77777777" w:rsidR="00265A50" w:rsidRPr="00157B7F" w:rsidRDefault="00265A50" w:rsidP="00287455">
            <w:pPr>
              <w:jc w:val="center"/>
              <w:rPr>
                <w:sz w:val="20"/>
              </w:rPr>
            </w:pPr>
            <w:r w:rsidRPr="00157B7F">
              <w:rPr>
                <w:sz w:val="20"/>
              </w:rPr>
              <w:t>Insider Trading SHOULD be illegal:</w:t>
            </w:r>
          </w:p>
        </w:tc>
      </w:tr>
      <w:tr w:rsidR="00265A50" w14:paraId="18398BE3" w14:textId="77777777" w:rsidTr="003E164A">
        <w:trPr>
          <w:cnfStyle w:val="000000100000" w:firstRow="0" w:lastRow="0" w:firstColumn="0" w:lastColumn="0" w:oddVBand="0" w:evenVBand="0" w:oddHBand="1" w:evenHBand="0" w:firstRowFirstColumn="0" w:firstRowLastColumn="0" w:lastRowFirstColumn="0" w:lastRowLastColumn="0"/>
        </w:trPr>
        <w:tc>
          <w:tcPr>
            <w:tcW w:w="4225" w:type="dxa"/>
            <w:vAlign w:val="center"/>
          </w:tcPr>
          <w:p w14:paraId="1630D196" w14:textId="77777777" w:rsidR="00265A50" w:rsidRDefault="00265A50" w:rsidP="003E164A">
            <w:pPr>
              <w:jc w:val="center"/>
              <w:rPr>
                <w:sz w:val="20"/>
              </w:rPr>
            </w:pPr>
            <w:r>
              <w:rPr>
                <w:sz w:val="20"/>
              </w:rPr>
              <w:t>Compensates entrepreneurs</w:t>
            </w:r>
          </w:p>
        </w:tc>
        <w:tc>
          <w:tcPr>
            <w:tcW w:w="5125" w:type="dxa"/>
            <w:vAlign w:val="center"/>
          </w:tcPr>
          <w:p w14:paraId="69E52E99" w14:textId="77777777" w:rsidR="00265A50" w:rsidRPr="0081201A" w:rsidRDefault="00265A50" w:rsidP="003E164A">
            <w:pPr>
              <w:jc w:val="center"/>
              <w:rPr>
                <w:sz w:val="20"/>
              </w:rPr>
            </w:pPr>
            <w:r>
              <w:rPr>
                <w:sz w:val="20"/>
              </w:rPr>
              <w:t>Secret profits should be disallowed; harms market integrity</w:t>
            </w:r>
          </w:p>
        </w:tc>
      </w:tr>
      <w:tr w:rsidR="00265A50" w14:paraId="25D585FF" w14:textId="77777777" w:rsidTr="003E164A">
        <w:tc>
          <w:tcPr>
            <w:tcW w:w="4225" w:type="dxa"/>
            <w:vAlign w:val="center"/>
          </w:tcPr>
          <w:p w14:paraId="72B830F2" w14:textId="77777777" w:rsidR="00265A50" w:rsidRDefault="00265A50" w:rsidP="003E164A">
            <w:pPr>
              <w:jc w:val="center"/>
              <w:rPr>
                <w:sz w:val="20"/>
              </w:rPr>
            </w:pPr>
            <w:r>
              <w:rPr>
                <w:sz w:val="20"/>
              </w:rPr>
              <w:t>Helps accurately price securities</w:t>
            </w:r>
          </w:p>
        </w:tc>
        <w:tc>
          <w:tcPr>
            <w:tcW w:w="5125" w:type="dxa"/>
            <w:vAlign w:val="center"/>
          </w:tcPr>
          <w:p w14:paraId="1F3A9792" w14:textId="77777777" w:rsidR="00265A50" w:rsidRPr="0081201A" w:rsidRDefault="00265A50" w:rsidP="003E164A">
            <w:pPr>
              <w:jc w:val="center"/>
              <w:rPr>
                <w:sz w:val="20"/>
              </w:rPr>
            </w:pPr>
            <w:r>
              <w:rPr>
                <w:sz w:val="20"/>
              </w:rPr>
              <w:t>Slows the release of info (Insiders keep it quiet)</w:t>
            </w:r>
          </w:p>
        </w:tc>
      </w:tr>
      <w:tr w:rsidR="00265A50" w14:paraId="49B18602" w14:textId="77777777" w:rsidTr="003E164A">
        <w:trPr>
          <w:cnfStyle w:val="000000100000" w:firstRow="0" w:lastRow="0" w:firstColumn="0" w:lastColumn="0" w:oddVBand="0" w:evenVBand="0" w:oddHBand="1" w:evenHBand="0" w:firstRowFirstColumn="0" w:firstRowLastColumn="0" w:lastRowFirstColumn="0" w:lastRowLastColumn="0"/>
        </w:trPr>
        <w:tc>
          <w:tcPr>
            <w:tcW w:w="4225" w:type="dxa"/>
            <w:vAlign w:val="center"/>
          </w:tcPr>
          <w:p w14:paraId="0B8245D5" w14:textId="77777777" w:rsidR="00265A50" w:rsidRDefault="00265A50" w:rsidP="003E164A">
            <w:pPr>
              <w:jc w:val="center"/>
              <w:rPr>
                <w:sz w:val="20"/>
              </w:rPr>
            </w:pPr>
            <w:r>
              <w:rPr>
                <w:sz w:val="20"/>
              </w:rPr>
              <w:t>Can’t be stopped, and wasteful to try</w:t>
            </w:r>
          </w:p>
        </w:tc>
        <w:tc>
          <w:tcPr>
            <w:tcW w:w="5125" w:type="dxa"/>
            <w:vAlign w:val="center"/>
          </w:tcPr>
          <w:p w14:paraId="1FBDA6B7" w14:textId="77777777" w:rsidR="00265A50" w:rsidRPr="0081201A" w:rsidRDefault="00265A50" w:rsidP="003E164A">
            <w:pPr>
              <w:jc w:val="center"/>
              <w:rPr>
                <w:sz w:val="20"/>
              </w:rPr>
            </w:pPr>
            <w:r>
              <w:rPr>
                <w:sz w:val="20"/>
              </w:rPr>
              <w:t>Deters a significant amount of insider trading</w:t>
            </w:r>
          </w:p>
        </w:tc>
      </w:tr>
      <w:tr w:rsidR="00265A50" w14:paraId="2E3AB42B" w14:textId="77777777" w:rsidTr="003E164A">
        <w:trPr>
          <w:trHeight w:val="498"/>
        </w:trPr>
        <w:tc>
          <w:tcPr>
            <w:tcW w:w="4225" w:type="dxa"/>
            <w:vAlign w:val="center"/>
          </w:tcPr>
          <w:p w14:paraId="3A6ED82A" w14:textId="3A248D77" w:rsidR="00265A50" w:rsidRDefault="00265A50" w:rsidP="003E164A">
            <w:pPr>
              <w:jc w:val="center"/>
              <w:rPr>
                <w:sz w:val="20"/>
              </w:rPr>
            </w:pPr>
            <w:r>
              <w:rPr>
                <w:sz w:val="20"/>
              </w:rPr>
              <w:t>States should be able to decide</w:t>
            </w:r>
            <w:r w:rsidR="003E164A">
              <w:rPr>
                <w:sz w:val="20"/>
              </w:rPr>
              <w:t>;</w:t>
            </w:r>
          </w:p>
          <w:p w14:paraId="49678A24" w14:textId="77777777" w:rsidR="00265A50" w:rsidRDefault="00265A50" w:rsidP="003E164A">
            <w:pPr>
              <w:jc w:val="center"/>
              <w:rPr>
                <w:sz w:val="20"/>
              </w:rPr>
            </w:pPr>
            <w:r>
              <w:rPr>
                <w:sz w:val="20"/>
              </w:rPr>
              <w:t>Corps may just move to most favorable states</w:t>
            </w:r>
          </w:p>
        </w:tc>
        <w:tc>
          <w:tcPr>
            <w:tcW w:w="5125" w:type="dxa"/>
            <w:vAlign w:val="center"/>
          </w:tcPr>
          <w:p w14:paraId="242B5A7A" w14:textId="328CB052" w:rsidR="00265A50" w:rsidRPr="0081201A" w:rsidRDefault="00265A50" w:rsidP="003E164A">
            <w:pPr>
              <w:jc w:val="center"/>
              <w:rPr>
                <w:sz w:val="20"/>
              </w:rPr>
            </w:pPr>
            <w:r>
              <w:rPr>
                <w:sz w:val="20"/>
              </w:rPr>
              <w:t xml:space="preserve">Markets are nationally based; </w:t>
            </w:r>
            <w:r w:rsidR="003E164A">
              <w:rPr>
                <w:sz w:val="20"/>
              </w:rPr>
              <w:t>F</w:t>
            </w:r>
            <w:r>
              <w:rPr>
                <w:sz w:val="20"/>
              </w:rPr>
              <w:t>eds have advantage</w:t>
            </w:r>
          </w:p>
        </w:tc>
      </w:tr>
      <w:tr w:rsidR="00265A50" w14:paraId="7C94A1D1" w14:textId="77777777" w:rsidTr="003E164A">
        <w:trPr>
          <w:cnfStyle w:val="000000100000" w:firstRow="0" w:lastRow="0" w:firstColumn="0" w:lastColumn="0" w:oddVBand="0" w:evenVBand="0" w:oddHBand="1" w:evenHBand="0" w:firstRowFirstColumn="0" w:firstRowLastColumn="0" w:lastRowFirstColumn="0" w:lastRowLastColumn="0"/>
        </w:trPr>
        <w:tc>
          <w:tcPr>
            <w:tcW w:w="4225" w:type="dxa"/>
            <w:vAlign w:val="center"/>
          </w:tcPr>
          <w:p w14:paraId="1D1E91CA" w14:textId="77777777" w:rsidR="00265A50" w:rsidRDefault="00265A50" w:rsidP="003E164A">
            <w:pPr>
              <w:jc w:val="center"/>
              <w:rPr>
                <w:sz w:val="20"/>
              </w:rPr>
            </w:pPr>
            <w:r>
              <w:rPr>
                <w:sz w:val="20"/>
              </w:rPr>
              <w:t>Individual corporations and their investors should be able to contract about it</w:t>
            </w:r>
          </w:p>
        </w:tc>
        <w:tc>
          <w:tcPr>
            <w:tcW w:w="5125" w:type="dxa"/>
            <w:vAlign w:val="center"/>
          </w:tcPr>
          <w:p w14:paraId="38CBC6C1" w14:textId="3F401128" w:rsidR="00265A50" w:rsidRPr="0081201A" w:rsidRDefault="00265A50" w:rsidP="003E164A">
            <w:pPr>
              <w:jc w:val="center"/>
              <w:rPr>
                <w:sz w:val="20"/>
              </w:rPr>
            </w:pPr>
            <w:r>
              <w:rPr>
                <w:sz w:val="20"/>
              </w:rPr>
              <w:t>There is a need for a legal default rule</w:t>
            </w:r>
            <w:r w:rsidR="00361B46">
              <w:rPr>
                <w:sz w:val="20"/>
              </w:rPr>
              <w:t>;</w:t>
            </w:r>
          </w:p>
        </w:tc>
      </w:tr>
      <w:tr w:rsidR="00265A50" w14:paraId="15A38E60" w14:textId="77777777" w:rsidTr="003E164A">
        <w:tc>
          <w:tcPr>
            <w:tcW w:w="4225" w:type="dxa"/>
            <w:vAlign w:val="center"/>
          </w:tcPr>
          <w:p w14:paraId="6D10C89B" w14:textId="77777777" w:rsidR="00265A50" w:rsidRDefault="00265A50" w:rsidP="003E164A">
            <w:pPr>
              <w:jc w:val="center"/>
              <w:rPr>
                <w:sz w:val="20"/>
              </w:rPr>
            </w:pPr>
            <w:r>
              <w:rPr>
                <w:sz w:val="20"/>
              </w:rPr>
              <w:t xml:space="preserve">At </w:t>
            </w:r>
            <w:r>
              <w:rPr>
                <w:i/>
                <w:sz w:val="20"/>
              </w:rPr>
              <w:t xml:space="preserve">least </w:t>
            </w:r>
            <w:r>
              <w:rPr>
                <w:sz w:val="20"/>
              </w:rPr>
              <w:t>let corporations opt out</w:t>
            </w:r>
          </w:p>
        </w:tc>
        <w:tc>
          <w:tcPr>
            <w:tcW w:w="5125" w:type="dxa"/>
            <w:vAlign w:val="center"/>
          </w:tcPr>
          <w:p w14:paraId="37ECE1EA" w14:textId="77777777" w:rsidR="00265A50" w:rsidRPr="0081201A" w:rsidRDefault="00265A50" w:rsidP="003E164A">
            <w:pPr>
              <w:jc w:val="center"/>
              <w:rPr>
                <w:sz w:val="20"/>
              </w:rPr>
            </w:pPr>
            <w:r>
              <w:rPr>
                <w:sz w:val="20"/>
              </w:rPr>
              <w:t>Investors would never vote to allow that!</w:t>
            </w:r>
          </w:p>
        </w:tc>
      </w:tr>
    </w:tbl>
    <w:p w14:paraId="5A99068B" w14:textId="77777777" w:rsidR="00265A50" w:rsidRPr="00265A50" w:rsidRDefault="00265A50" w:rsidP="00265A50">
      <w:pPr>
        <w:pStyle w:val="ListParagraph"/>
      </w:pPr>
    </w:p>
    <w:p w14:paraId="797ED13C" w14:textId="353D10A9" w:rsidR="00FE6831" w:rsidRPr="00D453FB" w:rsidRDefault="00D453FB" w:rsidP="00FE6831">
      <w:pPr>
        <w:pStyle w:val="ListParagraph"/>
        <w:numPr>
          <w:ilvl w:val="0"/>
          <w:numId w:val="15"/>
        </w:numPr>
      </w:pPr>
      <w:r>
        <w:rPr>
          <w:sz w:val="20"/>
        </w:rPr>
        <w:t xml:space="preserve">Under state law, proving fraud is necessary to state a claim for illegal insider trading – </w:t>
      </w:r>
      <w:r>
        <w:rPr>
          <w:i/>
          <w:sz w:val="20"/>
        </w:rPr>
        <w:t xml:space="preserve">Goodwin v. </w:t>
      </w:r>
      <w:r w:rsidR="003C65B5">
        <w:rPr>
          <w:i/>
          <w:sz w:val="20"/>
        </w:rPr>
        <w:t>Agassiz</w:t>
      </w:r>
    </w:p>
    <w:p w14:paraId="094FBB0A" w14:textId="2D3FF483" w:rsidR="00D453FB" w:rsidRPr="0094549C" w:rsidRDefault="00D453FB" w:rsidP="00D453FB">
      <w:pPr>
        <w:pStyle w:val="ListParagraph"/>
        <w:numPr>
          <w:ilvl w:val="1"/>
          <w:numId w:val="15"/>
        </w:numPr>
      </w:pPr>
      <w:r>
        <w:rPr>
          <w:sz w:val="20"/>
        </w:rPr>
        <w:t>Relief might be granted if a director personally seeks out a SH to buy shares without disclosing material, non-public information</w:t>
      </w:r>
    </w:p>
    <w:p w14:paraId="1E93A719" w14:textId="2B1944DB" w:rsidR="00630502" w:rsidRPr="00212050" w:rsidRDefault="00630502" w:rsidP="0094549C">
      <w:pPr>
        <w:pStyle w:val="ListParagraph"/>
        <w:numPr>
          <w:ilvl w:val="0"/>
          <w:numId w:val="15"/>
        </w:numPr>
      </w:pPr>
      <w:r>
        <w:rPr>
          <w:sz w:val="20"/>
        </w:rPr>
        <w:t>For purposes of Rule 10b-5, trades are made “on the basis of” material nonpublic information if the person making the trade was aware of the information when making the trade</w:t>
      </w:r>
      <w:r w:rsidR="004912E3">
        <w:rPr>
          <w:sz w:val="20"/>
        </w:rPr>
        <w:t xml:space="preserve"> – Rule 10b5-1</w:t>
      </w:r>
    </w:p>
    <w:p w14:paraId="037353B6" w14:textId="7909660E" w:rsidR="00212050" w:rsidRPr="00243694" w:rsidRDefault="00212050" w:rsidP="00212050">
      <w:pPr>
        <w:pStyle w:val="ListParagraph"/>
        <w:numPr>
          <w:ilvl w:val="1"/>
          <w:numId w:val="15"/>
        </w:numPr>
      </w:pPr>
      <w:r>
        <w:rPr>
          <w:sz w:val="20"/>
        </w:rPr>
        <w:t>Requires 1) fiduciary relationship, 2) possession of material nonpublic inform</w:t>
      </w:r>
      <w:r w:rsidR="00C154CD">
        <w:rPr>
          <w:sz w:val="20"/>
        </w:rPr>
        <w:t>ation, 3) trade of securities</w:t>
      </w:r>
      <w:r>
        <w:rPr>
          <w:sz w:val="20"/>
        </w:rPr>
        <w:t xml:space="preserve"> 4) “on the basis of” (scienter)</w:t>
      </w:r>
      <w:r w:rsidR="00C154CD">
        <w:rPr>
          <w:sz w:val="20"/>
        </w:rPr>
        <w:t xml:space="preserve"> the information,</w:t>
      </w:r>
      <w:r>
        <w:rPr>
          <w:sz w:val="20"/>
        </w:rPr>
        <w:t xml:space="preserve"> 5) resulting in profit (or loss avoidance)</w:t>
      </w:r>
    </w:p>
    <w:p w14:paraId="789D12D4" w14:textId="45DBA8A0" w:rsidR="00243694" w:rsidRPr="00E46812" w:rsidRDefault="00243694" w:rsidP="00212050">
      <w:pPr>
        <w:pStyle w:val="ListParagraph"/>
        <w:numPr>
          <w:ilvl w:val="1"/>
          <w:numId w:val="15"/>
        </w:numPr>
      </w:pPr>
      <w:r>
        <w:rPr>
          <w:sz w:val="20"/>
        </w:rPr>
        <w:lastRenderedPageBreak/>
        <w:t>Directors, officers, and 10+% owners of an issuer’s s</w:t>
      </w:r>
      <w:r w:rsidR="000E24E4">
        <w:rPr>
          <w:sz w:val="20"/>
        </w:rPr>
        <w:t xml:space="preserve">ecurities must make </w:t>
      </w:r>
      <w:r>
        <w:rPr>
          <w:sz w:val="20"/>
        </w:rPr>
        <w:t>filings within 10 business days of gaining that status</w:t>
      </w:r>
      <w:r w:rsidR="00FA3898">
        <w:rPr>
          <w:sz w:val="20"/>
        </w:rPr>
        <w:t xml:space="preserve"> </w:t>
      </w:r>
      <w:r w:rsidR="00912516">
        <w:rPr>
          <w:sz w:val="20"/>
        </w:rPr>
        <w:t>(2 busin</w:t>
      </w:r>
      <w:r w:rsidR="0043004F">
        <w:rPr>
          <w:sz w:val="20"/>
        </w:rPr>
        <w:t>ess days for any subsequent change</w:t>
      </w:r>
      <w:r w:rsidR="00912516">
        <w:rPr>
          <w:sz w:val="20"/>
        </w:rPr>
        <w:t>)</w:t>
      </w:r>
      <w:r w:rsidR="00FA3898">
        <w:rPr>
          <w:sz w:val="20"/>
        </w:rPr>
        <w:t>– ’34 Act §16(a)</w:t>
      </w:r>
    </w:p>
    <w:p w14:paraId="0994170A" w14:textId="28995D0E" w:rsidR="0094549C" w:rsidRPr="00536F63" w:rsidRDefault="0094549C" w:rsidP="0094549C">
      <w:pPr>
        <w:pStyle w:val="ListParagraph"/>
        <w:numPr>
          <w:ilvl w:val="0"/>
          <w:numId w:val="15"/>
        </w:numPr>
      </w:pPr>
      <w:r>
        <w:rPr>
          <w:sz w:val="20"/>
        </w:rPr>
        <w:t>Insiders are not foreclosed from trading securities of his own company; he must only abstain in extraordinary situations which are reasonably certain to have a substantial effect on the market price if the situation were disclosed</w:t>
      </w:r>
      <w:r w:rsidR="00447F44">
        <w:rPr>
          <w:sz w:val="20"/>
        </w:rPr>
        <w:t xml:space="preserve"> (in other words, if information is “material”</w:t>
      </w:r>
      <w:r w:rsidR="00536F63">
        <w:rPr>
          <w:sz w:val="20"/>
        </w:rPr>
        <w:t>)</w:t>
      </w:r>
      <w:r>
        <w:rPr>
          <w:sz w:val="20"/>
        </w:rPr>
        <w:t xml:space="preserve"> – </w:t>
      </w:r>
      <w:r>
        <w:rPr>
          <w:i/>
          <w:sz w:val="20"/>
        </w:rPr>
        <w:t>SEC v. TGS</w:t>
      </w:r>
    </w:p>
    <w:p w14:paraId="0D3A4907" w14:textId="1FD1E1F4" w:rsidR="00536F63" w:rsidRPr="00F9275F" w:rsidRDefault="00536F63" w:rsidP="00536F63">
      <w:pPr>
        <w:pStyle w:val="ListParagraph"/>
        <w:numPr>
          <w:ilvl w:val="1"/>
          <w:numId w:val="15"/>
        </w:numPr>
      </w:pPr>
      <w:r>
        <w:rPr>
          <w:sz w:val="20"/>
        </w:rPr>
        <w:t>Basic statement of rule is “disclose or abstain”!</w:t>
      </w:r>
    </w:p>
    <w:p w14:paraId="7F52FF68" w14:textId="4B2D078D" w:rsidR="00F9275F" w:rsidRPr="00F9275F" w:rsidRDefault="00F9275F" w:rsidP="00F9275F">
      <w:pPr>
        <w:pStyle w:val="ListParagraph"/>
        <w:numPr>
          <w:ilvl w:val="1"/>
          <w:numId w:val="15"/>
        </w:numPr>
      </w:pPr>
      <w:r>
        <w:rPr>
          <w:sz w:val="20"/>
        </w:rPr>
        <w:t xml:space="preserve">Cf. </w:t>
      </w:r>
      <w:r>
        <w:rPr>
          <w:i/>
          <w:sz w:val="20"/>
        </w:rPr>
        <w:t xml:space="preserve">Reading </w:t>
      </w:r>
      <w:r>
        <w:rPr>
          <w:sz w:val="20"/>
        </w:rPr>
        <w:t>– no secret profits due solely to insights given you by reason of your status as insider!</w:t>
      </w:r>
    </w:p>
    <w:p w14:paraId="19879773" w14:textId="5D4877B1" w:rsidR="00F9275F" w:rsidRPr="00B42576" w:rsidRDefault="00F9275F" w:rsidP="00F9275F">
      <w:pPr>
        <w:pStyle w:val="ListParagraph"/>
        <w:numPr>
          <w:ilvl w:val="1"/>
          <w:numId w:val="15"/>
        </w:numPr>
      </w:pPr>
      <w:r>
        <w:rPr>
          <w:sz w:val="20"/>
        </w:rPr>
        <w:t xml:space="preserve">The duty to abstain arises </w:t>
      </w:r>
      <w:r>
        <w:rPr>
          <w:i/>
          <w:sz w:val="20"/>
        </w:rPr>
        <w:t xml:space="preserve">only </w:t>
      </w:r>
      <w:r>
        <w:rPr>
          <w:sz w:val="20"/>
        </w:rPr>
        <w:t xml:space="preserve">in the context of a relationship of trust between a corporation’s SHs and its employees – </w:t>
      </w:r>
      <w:proofErr w:type="spellStart"/>
      <w:r>
        <w:rPr>
          <w:i/>
          <w:sz w:val="20"/>
        </w:rPr>
        <w:t>Chiarella</w:t>
      </w:r>
      <w:proofErr w:type="spellEnd"/>
      <w:r>
        <w:rPr>
          <w:i/>
          <w:sz w:val="20"/>
        </w:rPr>
        <w:t xml:space="preserve"> v. U.S. </w:t>
      </w:r>
      <w:r>
        <w:rPr>
          <w:sz w:val="20"/>
        </w:rPr>
        <w:t xml:space="preserve">(ingenious individual who correctly identified target of tender offer </w:t>
      </w:r>
      <w:r w:rsidR="00484F63">
        <w:rPr>
          <w:sz w:val="20"/>
        </w:rPr>
        <w:t>not</w:t>
      </w:r>
      <w:r>
        <w:rPr>
          <w:sz w:val="20"/>
        </w:rPr>
        <w:t xml:space="preserve"> liable under Rule 10b-5)</w:t>
      </w:r>
    </w:p>
    <w:p w14:paraId="332A0F2E" w14:textId="03B39410" w:rsidR="00D34FCB" w:rsidRPr="00D34FCB" w:rsidRDefault="00B42576" w:rsidP="00D34FCB">
      <w:pPr>
        <w:pStyle w:val="ListParagraph"/>
        <w:numPr>
          <w:ilvl w:val="0"/>
          <w:numId w:val="15"/>
        </w:numPr>
        <w:spacing w:after="0"/>
      </w:pPr>
      <w:r>
        <w:rPr>
          <w:sz w:val="20"/>
        </w:rPr>
        <w:t>A</w:t>
      </w:r>
      <w:r w:rsidR="008006BF">
        <w:rPr>
          <w:sz w:val="20"/>
        </w:rPr>
        <w:t xml:space="preserve"> </w:t>
      </w:r>
      <w:proofErr w:type="spellStart"/>
      <w:r w:rsidR="008006BF">
        <w:rPr>
          <w:sz w:val="20"/>
        </w:rPr>
        <w:t>tippee</w:t>
      </w:r>
      <w:proofErr w:type="spellEnd"/>
      <w:r w:rsidR="008006BF">
        <w:rPr>
          <w:sz w:val="20"/>
        </w:rPr>
        <w:t xml:space="preserve"> assumes insider’s fiduciary duty</w:t>
      </w:r>
      <w:r>
        <w:rPr>
          <w:sz w:val="20"/>
        </w:rPr>
        <w:t xml:space="preserve"> when an insider breaches </w:t>
      </w:r>
      <w:r w:rsidR="008006BF">
        <w:rPr>
          <w:sz w:val="20"/>
        </w:rPr>
        <w:t xml:space="preserve">it </w:t>
      </w:r>
      <w:r>
        <w:rPr>
          <w:sz w:val="20"/>
        </w:rPr>
        <w:t>by disclosing in</w:t>
      </w:r>
      <w:r w:rsidR="008006BF">
        <w:rPr>
          <w:sz w:val="20"/>
        </w:rPr>
        <w:t xml:space="preserve">formation to the </w:t>
      </w:r>
      <w:proofErr w:type="spellStart"/>
      <w:r w:rsidR="008006BF">
        <w:rPr>
          <w:sz w:val="20"/>
        </w:rPr>
        <w:t>tippee</w:t>
      </w:r>
      <w:proofErr w:type="spellEnd"/>
      <w:r w:rsidR="008006BF">
        <w:rPr>
          <w:sz w:val="20"/>
        </w:rPr>
        <w:t xml:space="preserve">, and </w:t>
      </w:r>
      <w:proofErr w:type="spellStart"/>
      <w:r>
        <w:rPr>
          <w:sz w:val="20"/>
        </w:rPr>
        <w:t>tippee</w:t>
      </w:r>
      <w:proofErr w:type="spellEnd"/>
      <w:r>
        <w:rPr>
          <w:sz w:val="20"/>
        </w:rPr>
        <w:t xml:space="preserve"> knows/should know </w:t>
      </w:r>
      <w:r w:rsidR="00E509C5">
        <w:rPr>
          <w:sz w:val="20"/>
        </w:rPr>
        <w:t xml:space="preserve">of the breach (“inheritance theory” of disclose-or-abstain) </w:t>
      </w:r>
      <w:r>
        <w:rPr>
          <w:sz w:val="20"/>
        </w:rPr>
        <w:t xml:space="preserve">– </w:t>
      </w:r>
      <w:r>
        <w:rPr>
          <w:i/>
          <w:sz w:val="20"/>
        </w:rPr>
        <w:t>Dirks</w:t>
      </w:r>
      <w:r w:rsidR="003823C3">
        <w:rPr>
          <w:i/>
          <w:sz w:val="20"/>
        </w:rPr>
        <w:t xml:space="preserve"> </w:t>
      </w:r>
      <w:r w:rsidR="003823C3">
        <w:rPr>
          <w:sz w:val="20"/>
        </w:rPr>
        <w:t>(reporter not guilty of insider trading because insider received no benefit by disclosing information)</w:t>
      </w:r>
    </w:p>
    <w:p w14:paraId="4024B9A3" w14:textId="733E0CC5" w:rsidR="00B42576" w:rsidRPr="008006BF" w:rsidRDefault="00D34FCB" w:rsidP="00D34FCB">
      <w:pPr>
        <w:pStyle w:val="ListParagraph"/>
        <w:numPr>
          <w:ilvl w:val="1"/>
          <w:numId w:val="15"/>
        </w:numPr>
      </w:pPr>
      <w:r>
        <w:rPr>
          <w:sz w:val="20"/>
        </w:rPr>
        <w:t>If the insider will benefit, directly or indirectly, from the disclosure, there has been a breach</w:t>
      </w:r>
    </w:p>
    <w:p w14:paraId="2C036629" w14:textId="56B4A777" w:rsidR="008006BF" w:rsidRPr="009A367F" w:rsidRDefault="008006BF" w:rsidP="00D34FCB">
      <w:pPr>
        <w:pStyle w:val="ListParagraph"/>
        <w:numPr>
          <w:ilvl w:val="1"/>
          <w:numId w:val="15"/>
        </w:numPr>
      </w:pPr>
      <w:r>
        <w:rPr>
          <w:sz w:val="20"/>
        </w:rPr>
        <w:t>Clark thinks the rule should be broader – an “improper purpose” test to determine breach</w:t>
      </w:r>
    </w:p>
    <w:p w14:paraId="6B8953A0" w14:textId="448D6C59" w:rsidR="009A367F" w:rsidRPr="006F366D" w:rsidRDefault="007D36AF" w:rsidP="009629F3">
      <w:pPr>
        <w:pStyle w:val="ListParagraph"/>
        <w:numPr>
          <w:ilvl w:val="0"/>
          <w:numId w:val="15"/>
        </w:numPr>
      </w:pPr>
      <w:r>
        <w:rPr>
          <w:sz w:val="20"/>
        </w:rPr>
        <w:t xml:space="preserve">Traders also violate insider trading laws by breaching fiduciary duty owed to </w:t>
      </w:r>
      <w:r>
        <w:rPr>
          <w:i/>
          <w:sz w:val="20"/>
        </w:rPr>
        <w:t xml:space="preserve">source </w:t>
      </w:r>
      <w:r>
        <w:rPr>
          <w:sz w:val="20"/>
        </w:rPr>
        <w:t>of in</w:t>
      </w:r>
      <w:r w:rsidR="00BD088B">
        <w:rPr>
          <w:sz w:val="20"/>
        </w:rPr>
        <w:t xml:space="preserve">side information </w:t>
      </w:r>
      <w:r w:rsidR="00514C6C">
        <w:rPr>
          <w:sz w:val="20"/>
        </w:rPr>
        <w:t xml:space="preserve">(“misappropriation theory”) </w:t>
      </w:r>
      <w:r w:rsidR="00BD088B">
        <w:rPr>
          <w:sz w:val="20"/>
        </w:rPr>
        <w:t xml:space="preserve">– </w:t>
      </w:r>
      <w:r w:rsidR="00BD088B">
        <w:rPr>
          <w:i/>
          <w:sz w:val="20"/>
        </w:rPr>
        <w:t>U.S. v. O’Hagan</w:t>
      </w:r>
      <w:r w:rsidR="003823C3">
        <w:rPr>
          <w:i/>
          <w:sz w:val="20"/>
        </w:rPr>
        <w:t xml:space="preserve"> </w:t>
      </w:r>
      <w:r w:rsidR="003823C3">
        <w:rPr>
          <w:sz w:val="20"/>
        </w:rPr>
        <w:t>(external lawyer’s knowledge of forthcoming tender offer was obligated not to trade based on the information)</w:t>
      </w:r>
    </w:p>
    <w:p w14:paraId="102574F8" w14:textId="66D224E6" w:rsidR="006F366D" w:rsidRPr="00501CA6" w:rsidRDefault="003810BE" w:rsidP="006F366D">
      <w:pPr>
        <w:pStyle w:val="ListParagraph"/>
        <w:numPr>
          <w:ilvl w:val="1"/>
          <w:numId w:val="15"/>
        </w:numPr>
      </w:pPr>
      <w:r>
        <w:rPr>
          <w:sz w:val="20"/>
        </w:rPr>
        <w:t>Targets individuals who trade on inside information without fiduciary duty to SHs</w:t>
      </w:r>
    </w:p>
    <w:p w14:paraId="26DE6745" w14:textId="2E6CF03F" w:rsidR="00501CA6" w:rsidRPr="00A92867" w:rsidRDefault="00501CA6" w:rsidP="006F366D">
      <w:pPr>
        <w:pStyle w:val="ListParagraph"/>
        <w:numPr>
          <w:ilvl w:val="1"/>
          <w:numId w:val="15"/>
        </w:numPr>
      </w:pPr>
      <w:r>
        <w:rPr>
          <w:sz w:val="20"/>
        </w:rPr>
        <w:t>Disclosure of intent to trade by trader to insider removes insider trading (but liability for state law violation of duty of loyalty might still remain)</w:t>
      </w:r>
    </w:p>
    <w:p w14:paraId="24497E79" w14:textId="441DFBCC" w:rsidR="00A92867" w:rsidRPr="00617B02" w:rsidRDefault="007971B4" w:rsidP="009629F3">
      <w:pPr>
        <w:pStyle w:val="ListParagraph"/>
        <w:numPr>
          <w:ilvl w:val="1"/>
          <w:numId w:val="15"/>
        </w:numPr>
        <w:spacing w:after="0"/>
        <w:rPr>
          <w:sz w:val="20"/>
        </w:rPr>
      </w:pPr>
      <w:r>
        <w:rPr>
          <w:sz w:val="20"/>
        </w:rPr>
        <w:t xml:space="preserve">Similarly, </w:t>
      </w:r>
      <w:r w:rsidR="00A92867">
        <w:rPr>
          <w:sz w:val="20"/>
        </w:rPr>
        <w:t xml:space="preserve">Rule 14e-3(a) </w:t>
      </w:r>
      <w:r w:rsidR="00A92867" w:rsidRPr="00617B02">
        <w:rPr>
          <w:sz w:val="20"/>
        </w:rPr>
        <w:t xml:space="preserve">also </w:t>
      </w:r>
      <w:r w:rsidR="00A92867">
        <w:rPr>
          <w:sz w:val="20"/>
        </w:rPr>
        <w:t xml:space="preserve">does not </w:t>
      </w:r>
      <w:r>
        <w:rPr>
          <w:sz w:val="20"/>
        </w:rPr>
        <w:t xml:space="preserve">require </w:t>
      </w:r>
      <w:r w:rsidRPr="00617B02">
        <w:rPr>
          <w:sz w:val="20"/>
        </w:rPr>
        <w:t xml:space="preserve">any </w:t>
      </w:r>
      <w:r>
        <w:rPr>
          <w:sz w:val="20"/>
        </w:rPr>
        <w:t>fiduciary duty in finding a violation of §14(e)</w:t>
      </w:r>
      <w:r w:rsidR="00ED4C24">
        <w:rPr>
          <w:sz w:val="20"/>
        </w:rPr>
        <w:t xml:space="preserve"> </w:t>
      </w:r>
      <w:r>
        <w:rPr>
          <w:sz w:val="20"/>
        </w:rPr>
        <w:t>(</w:t>
      </w:r>
      <w:r w:rsidR="00ED4C24">
        <w:rPr>
          <w:sz w:val="20"/>
        </w:rPr>
        <w:t xml:space="preserve">relating </w:t>
      </w:r>
      <w:r>
        <w:rPr>
          <w:sz w:val="20"/>
        </w:rPr>
        <w:t>to fraud connected with a</w:t>
      </w:r>
      <w:r w:rsidR="00ED4C24">
        <w:rPr>
          <w:sz w:val="20"/>
        </w:rPr>
        <w:t xml:space="preserve"> tender offer</w:t>
      </w:r>
      <w:r>
        <w:rPr>
          <w:sz w:val="20"/>
        </w:rPr>
        <w:t>)</w:t>
      </w:r>
      <w:r w:rsidR="00ED4C24">
        <w:rPr>
          <w:sz w:val="20"/>
        </w:rPr>
        <w:t>:</w:t>
      </w:r>
    </w:p>
    <w:p w14:paraId="39AE58C9" w14:textId="1778474C" w:rsidR="00ED4C24" w:rsidRPr="00617B02" w:rsidRDefault="00ED4C24" w:rsidP="009629F3">
      <w:pPr>
        <w:pStyle w:val="NoSpacing"/>
        <w:widowControl w:val="0"/>
        <w:numPr>
          <w:ilvl w:val="2"/>
          <w:numId w:val="12"/>
        </w:numPr>
        <w:spacing w:line="259" w:lineRule="auto"/>
        <w:ind w:left="2174" w:hanging="187"/>
        <w:contextualSpacing/>
        <w:rPr>
          <w:sz w:val="20"/>
          <w:szCs w:val="22"/>
          <w:lang w:eastAsia="ja-JP"/>
        </w:rPr>
      </w:pPr>
      <w:r w:rsidRPr="00617B02">
        <w:rPr>
          <w:sz w:val="20"/>
          <w:szCs w:val="22"/>
          <w:lang w:eastAsia="ja-JP"/>
        </w:rPr>
        <w:t>Once substantial steps have been taken to launch a tender offer, anyone who possesses material info</w:t>
      </w:r>
      <w:r w:rsidR="00782619">
        <w:rPr>
          <w:sz w:val="20"/>
          <w:szCs w:val="22"/>
          <w:lang w:eastAsia="ja-JP"/>
        </w:rPr>
        <w:t xml:space="preserve">rmation with </w:t>
      </w:r>
      <w:r w:rsidRPr="00617B02">
        <w:rPr>
          <w:sz w:val="20"/>
          <w:szCs w:val="22"/>
          <w:lang w:eastAsia="ja-JP"/>
        </w:rPr>
        <w:t>reason to know that the info</w:t>
      </w:r>
      <w:r w:rsidR="00782619">
        <w:rPr>
          <w:sz w:val="20"/>
          <w:szCs w:val="22"/>
          <w:lang w:eastAsia="ja-JP"/>
        </w:rPr>
        <w:t>rmation</w:t>
      </w:r>
      <w:r w:rsidRPr="00617B02">
        <w:rPr>
          <w:sz w:val="20"/>
          <w:szCs w:val="22"/>
          <w:lang w:eastAsia="ja-JP"/>
        </w:rPr>
        <w:t xml:space="preserve"> is non-public &amp; that it was acquired directly/ind</w:t>
      </w:r>
      <w:r w:rsidR="00782619">
        <w:rPr>
          <w:sz w:val="20"/>
          <w:szCs w:val="22"/>
          <w:lang w:eastAsia="ja-JP"/>
        </w:rPr>
        <w:t>irectly from someone</w:t>
      </w:r>
      <w:r w:rsidRPr="00617B02">
        <w:rPr>
          <w:sz w:val="20"/>
          <w:szCs w:val="22"/>
          <w:lang w:eastAsia="ja-JP"/>
        </w:rPr>
        <w:t xml:space="preserve"> related to either </w:t>
      </w:r>
      <w:r w:rsidR="00782619">
        <w:rPr>
          <w:sz w:val="20"/>
          <w:szCs w:val="22"/>
          <w:lang w:eastAsia="ja-JP"/>
        </w:rPr>
        <w:t xml:space="preserve">offeror or </w:t>
      </w:r>
      <w:r w:rsidRPr="00617B02">
        <w:rPr>
          <w:sz w:val="20"/>
          <w:szCs w:val="22"/>
          <w:lang w:eastAsia="ja-JP"/>
        </w:rPr>
        <w:t xml:space="preserve">target </w:t>
      </w:r>
      <w:r w:rsidR="00782619">
        <w:rPr>
          <w:sz w:val="20"/>
          <w:szCs w:val="22"/>
          <w:lang w:eastAsia="ja-JP"/>
        </w:rPr>
        <w:t>may not buy/sell</w:t>
      </w:r>
      <w:r w:rsidRPr="00617B02">
        <w:rPr>
          <w:sz w:val="20"/>
          <w:szCs w:val="22"/>
          <w:lang w:eastAsia="ja-JP"/>
        </w:rPr>
        <w:t xml:space="preserve"> related securities until info</w:t>
      </w:r>
      <w:r w:rsidR="00782619">
        <w:rPr>
          <w:sz w:val="20"/>
          <w:szCs w:val="22"/>
          <w:lang w:eastAsia="ja-JP"/>
        </w:rPr>
        <w:t>rmation</w:t>
      </w:r>
      <w:r w:rsidRPr="00617B02">
        <w:rPr>
          <w:sz w:val="20"/>
          <w:szCs w:val="22"/>
          <w:lang w:eastAsia="ja-JP"/>
        </w:rPr>
        <w:t xml:space="preserve"> is publicly disclosed</w:t>
      </w:r>
    </w:p>
    <w:p w14:paraId="793349FD" w14:textId="5CFE13A0" w:rsidR="00403041" w:rsidRPr="00617B02" w:rsidRDefault="00403041" w:rsidP="009629F3">
      <w:pPr>
        <w:pStyle w:val="NoSpacing"/>
        <w:widowControl w:val="0"/>
        <w:numPr>
          <w:ilvl w:val="1"/>
          <w:numId w:val="15"/>
        </w:numPr>
        <w:spacing w:line="259" w:lineRule="auto"/>
        <w:contextualSpacing/>
        <w:rPr>
          <w:sz w:val="20"/>
          <w:szCs w:val="22"/>
          <w:lang w:eastAsia="ja-JP"/>
        </w:rPr>
      </w:pPr>
      <w:r w:rsidRPr="00617B02">
        <w:rPr>
          <w:sz w:val="20"/>
          <w:szCs w:val="22"/>
          <w:lang w:eastAsia="ja-JP"/>
        </w:rPr>
        <w:t>Rule 10b5-2 lists three situations in which a duty of trust/confidence for purposes of the “misappropriation theory” should be presumed:</w:t>
      </w:r>
    </w:p>
    <w:p w14:paraId="1A43D4BE" w14:textId="65ED61CD" w:rsidR="00403041" w:rsidRPr="009629F3" w:rsidRDefault="00403041" w:rsidP="009629F3">
      <w:pPr>
        <w:pStyle w:val="NoSpacing"/>
        <w:widowControl w:val="0"/>
        <w:numPr>
          <w:ilvl w:val="2"/>
          <w:numId w:val="15"/>
        </w:numPr>
        <w:spacing w:line="259" w:lineRule="auto"/>
        <w:contextualSpacing/>
        <w:rPr>
          <w:sz w:val="20"/>
          <w:szCs w:val="22"/>
          <w:lang w:eastAsia="ja-JP"/>
        </w:rPr>
      </w:pPr>
      <w:r w:rsidRPr="009629F3">
        <w:rPr>
          <w:sz w:val="20"/>
          <w:szCs w:val="22"/>
          <w:lang w:eastAsia="ja-JP"/>
        </w:rPr>
        <w:t>Trader agrees to keep information confidential</w:t>
      </w:r>
    </w:p>
    <w:p w14:paraId="5ECDE231" w14:textId="3D1C36EE" w:rsidR="00403041" w:rsidRPr="009629F3" w:rsidRDefault="00403041" w:rsidP="009629F3">
      <w:pPr>
        <w:pStyle w:val="NoSpacing"/>
        <w:widowControl w:val="0"/>
        <w:numPr>
          <w:ilvl w:val="2"/>
          <w:numId w:val="15"/>
        </w:numPr>
        <w:spacing w:line="259" w:lineRule="auto"/>
        <w:contextualSpacing/>
        <w:rPr>
          <w:sz w:val="20"/>
          <w:szCs w:val="22"/>
          <w:lang w:eastAsia="ja-JP"/>
        </w:rPr>
      </w:pPr>
      <w:r w:rsidRPr="009629F3">
        <w:rPr>
          <w:sz w:val="20"/>
          <w:szCs w:val="22"/>
          <w:lang w:eastAsia="ja-JP"/>
        </w:rPr>
        <w:t>A pattern/practice of sharing confidences such that trader knows/reasonably should know that the insider expects the trader to maintain confidentiality</w:t>
      </w:r>
    </w:p>
    <w:p w14:paraId="051AFF43" w14:textId="0680DC25" w:rsidR="00B95C8D" w:rsidRPr="009629F3" w:rsidRDefault="00403041" w:rsidP="009629F3">
      <w:pPr>
        <w:pStyle w:val="NoSpacing"/>
        <w:widowControl w:val="0"/>
        <w:numPr>
          <w:ilvl w:val="2"/>
          <w:numId w:val="15"/>
        </w:numPr>
        <w:spacing w:line="259" w:lineRule="auto"/>
        <w:contextualSpacing/>
        <w:rPr>
          <w:sz w:val="20"/>
          <w:szCs w:val="22"/>
          <w:lang w:eastAsia="ja-JP"/>
        </w:rPr>
      </w:pPr>
      <w:r w:rsidRPr="009629F3">
        <w:rPr>
          <w:sz w:val="20"/>
          <w:szCs w:val="22"/>
          <w:lang w:eastAsia="ja-JP"/>
        </w:rPr>
        <w:t>Trader is a spouse, parent, child or sibling of the insider</w:t>
      </w:r>
    </w:p>
    <w:p w14:paraId="188A2FF1" w14:textId="0BA5FBF0" w:rsidR="00AA7824" w:rsidRPr="009629F3" w:rsidRDefault="00AA7824" w:rsidP="00782619">
      <w:pPr>
        <w:pStyle w:val="NoSpacing"/>
        <w:widowControl w:val="0"/>
        <w:numPr>
          <w:ilvl w:val="3"/>
          <w:numId w:val="15"/>
        </w:numPr>
        <w:spacing w:line="259" w:lineRule="auto"/>
        <w:contextualSpacing/>
        <w:rPr>
          <w:sz w:val="20"/>
          <w:szCs w:val="22"/>
          <w:lang w:eastAsia="ja-JP"/>
        </w:rPr>
      </w:pPr>
      <w:r w:rsidRPr="009629F3">
        <w:rPr>
          <w:sz w:val="20"/>
          <w:szCs w:val="22"/>
          <w:lang w:eastAsia="ja-JP"/>
        </w:rPr>
        <w:t xml:space="preserve">These situations also create presumption of personal benefit for </w:t>
      </w:r>
      <w:proofErr w:type="spellStart"/>
      <w:r w:rsidRPr="009629F3">
        <w:rPr>
          <w:sz w:val="20"/>
          <w:szCs w:val="22"/>
          <w:lang w:eastAsia="ja-JP"/>
        </w:rPr>
        <w:t>tippee</w:t>
      </w:r>
      <w:proofErr w:type="spellEnd"/>
      <w:r w:rsidRPr="009629F3">
        <w:rPr>
          <w:sz w:val="20"/>
          <w:szCs w:val="22"/>
          <w:lang w:eastAsia="ja-JP"/>
        </w:rPr>
        <w:t xml:space="preserve"> liability</w:t>
      </w:r>
    </w:p>
    <w:p w14:paraId="022FB7E9" w14:textId="1DEDB1B5" w:rsidR="0034427A" w:rsidRPr="00630502" w:rsidRDefault="0034427A" w:rsidP="00041086">
      <w:pPr>
        <w:pStyle w:val="ListParagraph"/>
        <w:numPr>
          <w:ilvl w:val="0"/>
          <w:numId w:val="15"/>
        </w:numPr>
      </w:pPr>
      <w:r>
        <w:rPr>
          <w:sz w:val="20"/>
        </w:rPr>
        <w:t>’34 Act’s §21(d) allows the SEC to seek a civil penalty of treble damages for insider trading</w:t>
      </w:r>
    </w:p>
    <w:p w14:paraId="77C2CA91" w14:textId="55B5E60E" w:rsidR="002661F2" w:rsidRPr="002661F2" w:rsidRDefault="00681272" w:rsidP="00041086">
      <w:pPr>
        <w:pStyle w:val="ListParagraph"/>
        <w:numPr>
          <w:ilvl w:val="1"/>
          <w:numId w:val="15"/>
        </w:numPr>
      </w:pPr>
      <w:r>
        <w:rPr>
          <w:sz w:val="20"/>
        </w:rPr>
        <w:t>§</w:t>
      </w:r>
      <w:r w:rsidR="00630502">
        <w:rPr>
          <w:sz w:val="20"/>
        </w:rPr>
        <w:t xml:space="preserve">20A gives an additional private right of action for individuals who </w:t>
      </w:r>
      <w:r w:rsidR="005E7ADF">
        <w:rPr>
          <w:sz w:val="20"/>
        </w:rPr>
        <w:t>traded securities in opposite direction of the violation “contemporaneously”</w:t>
      </w:r>
    </w:p>
    <w:p w14:paraId="4EB48164" w14:textId="299D1AF7" w:rsidR="0081201A" w:rsidRPr="0081201A" w:rsidRDefault="00041086" w:rsidP="00265A50">
      <w:pPr>
        <w:pStyle w:val="ListParagraph"/>
        <w:numPr>
          <w:ilvl w:val="2"/>
          <w:numId w:val="15"/>
        </w:numPr>
      </w:pPr>
      <w:r>
        <w:rPr>
          <w:sz w:val="20"/>
        </w:rPr>
        <w:t xml:space="preserve">Remedy </w:t>
      </w:r>
      <w:r w:rsidR="002661F2">
        <w:rPr>
          <w:sz w:val="20"/>
        </w:rPr>
        <w:t>limited to insider’s p</w:t>
      </w:r>
      <w:r>
        <w:rPr>
          <w:sz w:val="20"/>
        </w:rPr>
        <w:t xml:space="preserve">rofits, minus </w:t>
      </w:r>
      <w:r w:rsidR="002661F2">
        <w:rPr>
          <w:sz w:val="20"/>
        </w:rPr>
        <w:t>SEC disgorgement, distributed pro rata among plaintiffs</w:t>
      </w:r>
      <w:r w:rsidR="005E7ADF">
        <w:rPr>
          <w:sz w:val="20"/>
        </w:rPr>
        <w:t xml:space="preserve"> </w:t>
      </w:r>
    </w:p>
    <w:p w14:paraId="340421B2" w14:textId="0FBCF6AD" w:rsidR="00C63858" w:rsidRPr="00510B7F" w:rsidRDefault="00510B7F" w:rsidP="00C63858">
      <w:pPr>
        <w:pStyle w:val="ListParagraph"/>
        <w:numPr>
          <w:ilvl w:val="0"/>
          <w:numId w:val="15"/>
        </w:numPr>
      </w:pPr>
      <w:r>
        <w:rPr>
          <w:sz w:val="20"/>
        </w:rPr>
        <w:t>Regulation FD prohibits selective disclosure of material nonpublic information</w:t>
      </w:r>
    </w:p>
    <w:p w14:paraId="5F501506" w14:textId="3A46AF8B" w:rsidR="00510B7F" w:rsidRPr="00510B7F" w:rsidRDefault="00510B7F" w:rsidP="00510B7F">
      <w:pPr>
        <w:pStyle w:val="ListParagraph"/>
        <w:numPr>
          <w:ilvl w:val="1"/>
          <w:numId w:val="15"/>
        </w:numPr>
      </w:pPr>
      <w:r>
        <w:rPr>
          <w:sz w:val="20"/>
        </w:rPr>
        <w:t>If disclosure was intentional (knows or reckless to not know that info was material and nonpublic), public disclosure must be immediate</w:t>
      </w:r>
    </w:p>
    <w:p w14:paraId="44C940BC" w14:textId="2277F713" w:rsidR="00510B7F" w:rsidRPr="003347B9" w:rsidRDefault="00510B7F" w:rsidP="00510B7F">
      <w:pPr>
        <w:pStyle w:val="ListParagraph"/>
        <w:numPr>
          <w:ilvl w:val="1"/>
          <w:numId w:val="15"/>
        </w:numPr>
      </w:pPr>
      <w:r>
        <w:rPr>
          <w:sz w:val="20"/>
        </w:rPr>
        <w:t>If disclosure was unintentional, public disclosure must be made promptly (as soon as reasonably practicable after director, executive officers, etc. discovers disclosure)</w:t>
      </w:r>
    </w:p>
    <w:p w14:paraId="6F4E651F" w14:textId="5F754707" w:rsidR="003347B9" w:rsidRPr="00DC31BF" w:rsidRDefault="003347B9" w:rsidP="003347B9">
      <w:pPr>
        <w:pStyle w:val="ListParagraph"/>
        <w:numPr>
          <w:ilvl w:val="2"/>
          <w:numId w:val="15"/>
        </w:numPr>
      </w:pPr>
      <w:r>
        <w:rPr>
          <w:sz w:val="20"/>
        </w:rPr>
        <w:t>Exceptions for disclosures to confidential disclosures, disclosures to credit rating agencies or persons with a duty of trust/confidence</w:t>
      </w:r>
      <w:r w:rsidR="0056179F">
        <w:rPr>
          <w:sz w:val="20"/>
        </w:rPr>
        <w:t xml:space="preserve"> </w:t>
      </w:r>
    </w:p>
    <w:p w14:paraId="3132CD2E" w14:textId="353E84C0" w:rsidR="00DC31BF" w:rsidRPr="00E7492D" w:rsidRDefault="00AD226E" w:rsidP="00DC31BF">
      <w:pPr>
        <w:pStyle w:val="ListParagraph"/>
        <w:numPr>
          <w:ilvl w:val="0"/>
          <w:numId w:val="15"/>
        </w:numPr>
      </w:pPr>
      <w:r>
        <w:rPr>
          <w:sz w:val="20"/>
        </w:rPr>
        <w:t>Officers, directors and 10</w:t>
      </w:r>
      <w:r w:rsidR="00FE13D5">
        <w:rPr>
          <w:sz w:val="20"/>
        </w:rPr>
        <w:t>+% owners must repay</w:t>
      </w:r>
      <w:r>
        <w:rPr>
          <w:sz w:val="20"/>
        </w:rPr>
        <w:t xml:space="preserve"> corporation any profits made buy a purchase an</w:t>
      </w:r>
      <w:r w:rsidR="00FE13D5">
        <w:rPr>
          <w:sz w:val="20"/>
        </w:rPr>
        <w:t>d sale (in any order) of a</w:t>
      </w:r>
      <w:r>
        <w:rPr>
          <w:sz w:val="20"/>
        </w:rPr>
        <w:t xml:space="preserve"> company’s </w:t>
      </w:r>
      <w:r w:rsidR="00FE13D5">
        <w:rPr>
          <w:sz w:val="20"/>
        </w:rPr>
        <w:t xml:space="preserve">(subject to ’34 Act) equity </w:t>
      </w:r>
      <w:r>
        <w:rPr>
          <w:sz w:val="20"/>
        </w:rPr>
        <w:t xml:space="preserve">security within a 6-month window </w:t>
      </w:r>
      <w:r w:rsidR="00CB5464">
        <w:rPr>
          <w:sz w:val="20"/>
        </w:rPr>
        <w:t>–</w:t>
      </w:r>
      <w:r>
        <w:rPr>
          <w:sz w:val="20"/>
        </w:rPr>
        <w:t xml:space="preserve"> </w:t>
      </w:r>
      <w:r w:rsidR="00CB5464">
        <w:rPr>
          <w:sz w:val="20"/>
        </w:rPr>
        <w:t xml:space="preserve">’34 Act </w:t>
      </w:r>
      <w:r>
        <w:rPr>
          <w:sz w:val="20"/>
        </w:rPr>
        <w:t>§16(b)</w:t>
      </w:r>
    </w:p>
    <w:p w14:paraId="51CDCCB7" w14:textId="4A866A7C" w:rsidR="00E7492D" w:rsidRPr="00BF236C" w:rsidRDefault="00BF236C" w:rsidP="00E7492D">
      <w:pPr>
        <w:pStyle w:val="ListParagraph"/>
        <w:numPr>
          <w:ilvl w:val="1"/>
          <w:numId w:val="15"/>
        </w:numPr>
      </w:pPr>
      <w:r>
        <w:rPr>
          <w:sz w:val="20"/>
        </w:rPr>
        <w:lastRenderedPageBreak/>
        <w:t xml:space="preserve">Once insider reduces holdings below 10% threshold, short-swing profits are not covered by §16 (owner must be 10+% owner at time of </w:t>
      </w:r>
      <w:r>
        <w:rPr>
          <w:i/>
          <w:sz w:val="20"/>
        </w:rPr>
        <w:t xml:space="preserve">both </w:t>
      </w:r>
      <w:r>
        <w:rPr>
          <w:sz w:val="20"/>
        </w:rPr>
        <w:t xml:space="preserve">purchase </w:t>
      </w:r>
      <w:r>
        <w:rPr>
          <w:i/>
          <w:sz w:val="20"/>
        </w:rPr>
        <w:t xml:space="preserve">and </w:t>
      </w:r>
      <w:r>
        <w:rPr>
          <w:sz w:val="20"/>
        </w:rPr>
        <w:t xml:space="preserve">sale) – </w:t>
      </w:r>
      <w:r>
        <w:rPr>
          <w:i/>
          <w:sz w:val="20"/>
        </w:rPr>
        <w:t>Reliance Electric</w:t>
      </w:r>
    </w:p>
    <w:p w14:paraId="18D955BB" w14:textId="77777777" w:rsidR="00FE13D5" w:rsidRPr="00FE13D5" w:rsidRDefault="00544B2B" w:rsidP="00544B2B">
      <w:pPr>
        <w:pStyle w:val="ListParagraph"/>
        <w:numPr>
          <w:ilvl w:val="2"/>
          <w:numId w:val="15"/>
        </w:numPr>
      </w:pPr>
      <w:r>
        <w:rPr>
          <w:sz w:val="20"/>
        </w:rPr>
        <w:t xml:space="preserve">Similarly, short-swing profits are not covered under §16 on purchases </w:t>
      </w:r>
      <w:r>
        <w:rPr>
          <w:i/>
          <w:sz w:val="20"/>
        </w:rPr>
        <w:t xml:space="preserve">before </w:t>
      </w:r>
      <w:r>
        <w:rPr>
          <w:sz w:val="20"/>
        </w:rPr>
        <w:t xml:space="preserve">10% threshold has been crossed – </w:t>
      </w:r>
      <w:r>
        <w:rPr>
          <w:i/>
          <w:sz w:val="20"/>
        </w:rPr>
        <w:t>Foremost-McKesson v. Provident Securities</w:t>
      </w:r>
    </w:p>
    <w:p w14:paraId="21AFFB74" w14:textId="27398CA4" w:rsidR="00BF236C" w:rsidRPr="00717DF1" w:rsidRDefault="00FE13D5" w:rsidP="00FE13D5">
      <w:pPr>
        <w:pStyle w:val="ListParagraph"/>
        <w:numPr>
          <w:ilvl w:val="1"/>
          <w:numId w:val="15"/>
        </w:numPr>
      </w:pPr>
      <w:r>
        <w:rPr>
          <w:sz w:val="20"/>
        </w:rPr>
        <w:t>Courts match stocks in such a way as to maximize company recovery (</w:t>
      </w:r>
      <w:r>
        <w:rPr>
          <w:i/>
          <w:sz w:val="20"/>
        </w:rPr>
        <w:t xml:space="preserve">not </w:t>
      </w:r>
      <w:r>
        <w:rPr>
          <w:sz w:val="20"/>
        </w:rPr>
        <w:t>FIFO or strict matching)</w:t>
      </w:r>
    </w:p>
    <w:p w14:paraId="06A43908" w14:textId="6263E88E" w:rsidR="00313C5A" w:rsidRPr="00313C5A" w:rsidRDefault="00717DF1" w:rsidP="00313C5A">
      <w:pPr>
        <w:pStyle w:val="ListParagraph"/>
        <w:numPr>
          <w:ilvl w:val="1"/>
          <w:numId w:val="15"/>
        </w:numPr>
      </w:pPr>
      <w:r>
        <w:rPr>
          <w:sz w:val="20"/>
        </w:rPr>
        <w:t>Unconventional transactions do not fall within §16(b)</w:t>
      </w:r>
      <w:r w:rsidR="002D6392">
        <w:rPr>
          <w:sz w:val="20"/>
        </w:rPr>
        <w:t xml:space="preserve"> (exception to gener</w:t>
      </w:r>
      <w:r w:rsidR="00313C5A">
        <w:rPr>
          <w:sz w:val="20"/>
        </w:rPr>
        <w:t>al rule of substance over form</w:t>
      </w:r>
      <w:r w:rsidR="00F546BD">
        <w:rPr>
          <w:sz w:val="20"/>
        </w:rPr>
        <w:t>)</w:t>
      </w:r>
      <w:r>
        <w:rPr>
          <w:sz w:val="20"/>
        </w:rPr>
        <w:t>. T</w:t>
      </w:r>
      <w:r w:rsidRPr="00313C5A">
        <w:rPr>
          <w:sz w:val="20"/>
        </w:rPr>
        <w:t xml:space="preserve">hree factors determine unconventionality: </w:t>
      </w:r>
    </w:p>
    <w:p w14:paraId="7B6D0D49" w14:textId="77777777" w:rsidR="00313C5A" w:rsidRPr="00313C5A" w:rsidRDefault="00717DF1" w:rsidP="00313C5A">
      <w:pPr>
        <w:pStyle w:val="ListParagraph"/>
        <w:numPr>
          <w:ilvl w:val="2"/>
          <w:numId w:val="15"/>
        </w:numPr>
      </w:pPr>
      <w:r w:rsidRPr="00313C5A">
        <w:rPr>
          <w:sz w:val="20"/>
        </w:rPr>
        <w:t>Was transaction volitional?</w:t>
      </w:r>
    </w:p>
    <w:p w14:paraId="165A2CC4" w14:textId="77777777" w:rsidR="00313C5A" w:rsidRPr="00313C5A" w:rsidRDefault="00313C5A" w:rsidP="00313C5A">
      <w:pPr>
        <w:pStyle w:val="ListParagraph"/>
        <w:numPr>
          <w:ilvl w:val="2"/>
          <w:numId w:val="15"/>
        </w:numPr>
      </w:pPr>
      <w:r>
        <w:rPr>
          <w:sz w:val="20"/>
        </w:rPr>
        <w:t>Did owner have</w:t>
      </w:r>
      <w:r w:rsidR="00717DF1" w:rsidRPr="00313C5A">
        <w:rPr>
          <w:sz w:val="20"/>
        </w:rPr>
        <w:t xml:space="preserve"> influence over transaction? </w:t>
      </w:r>
    </w:p>
    <w:p w14:paraId="65D548D1" w14:textId="2F6224EA" w:rsidR="00717DF1" w:rsidRPr="00FE6831" w:rsidRDefault="00313C5A" w:rsidP="00313C5A">
      <w:pPr>
        <w:pStyle w:val="ListParagraph"/>
        <w:numPr>
          <w:ilvl w:val="2"/>
          <w:numId w:val="15"/>
        </w:numPr>
      </w:pPr>
      <w:r>
        <w:rPr>
          <w:sz w:val="20"/>
        </w:rPr>
        <w:t>Did owner have</w:t>
      </w:r>
      <w:r w:rsidR="00717DF1" w:rsidRPr="00313C5A">
        <w:rPr>
          <w:sz w:val="20"/>
        </w:rPr>
        <w:t xml:space="preserve"> access to confidential information about transaction/issuer?</w:t>
      </w:r>
    </w:p>
    <w:p w14:paraId="11708017" w14:textId="34C851B1" w:rsidR="000767BF" w:rsidRDefault="000767BF" w:rsidP="000767BF">
      <w:pPr>
        <w:pStyle w:val="Heading4"/>
        <w:rPr>
          <w:sz w:val="20"/>
        </w:rPr>
      </w:pPr>
      <w:r w:rsidRPr="000767BF">
        <w:rPr>
          <w:sz w:val="20"/>
        </w:rPr>
        <w:t>Indemnification &amp; Insurance</w:t>
      </w:r>
    </w:p>
    <w:p w14:paraId="03F2CD25" w14:textId="5196166C" w:rsidR="00287455" w:rsidRPr="00617B02" w:rsidRDefault="00287455" w:rsidP="00617B02">
      <w:pPr>
        <w:pStyle w:val="ListParagraph"/>
        <w:numPr>
          <w:ilvl w:val="0"/>
          <w:numId w:val="17"/>
        </w:numPr>
        <w:rPr>
          <w:sz w:val="20"/>
        </w:rPr>
      </w:pPr>
      <w:r>
        <w:rPr>
          <w:sz w:val="20"/>
        </w:rPr>
        <w:t>DGCL §145 allows corporations to indemnify directors, officers, employees or agents</w:t>
      </w:r>
    </w:p>
    <w:p w14:paraId="347ACFEE" w14:textId="0281885E" w:rsidR="00287455" w:rsidRPr="00617B02" w:rsidRDefault="00287455" w:rsidP="00617B02">
      <w:pPr>
        <w:pStyle w:val="ListParagraph"/>
        <w:numPr>
          <w:ilvl w:val="1"/>
          <w:numId w:val="17"/>
        </w:numPr>
        <w:rPr>
          <w:sz w:val="20"/>
        </w:rPr>
      </w:pPr>
      <w:r w:rsidRPr="00617B02">
        <w:rPr>
          <w:sz w:val="20"/>
        </w:rPr>
        <w:t xml:space="preserve">May indemnify expenses (legal fees, </w:t>
      </w:r>
      <w:r w:rsidR="000D31F6" w:rsidRPr="00617B02">
        <w:rPr>
          <w:sz w:val="20"/>
        </w:rPr>
        <w:t xml:space="preserve">judgments, settlements, </w:t>
      </w:r>
      <w:r w:rsidRPr="00617B02">
        <w:rPr>
          <w:sz w:val="20"/>
        </w:rPr>
        <w:t>etc.) in third party suits</w:t>
      </w:r>
      <w:r w:rsidR="00A6239B" w:rsidRPr="00617B02">
        <w:rPr>
          <w:sz w:val="20"/>
        </w:rPr>
        <w:t>, i</w:t>
      </w:r>
      <w:r w:rsidRPr="00617B02">
        <w:rPr>
          <w:sz w:val="20"/>
        </w:rPr>
        <w:t xml:space="preserve">f officer had good faith reasonable belief that actions were not </w:t>
      </w:r>
      <w:r w:rsidR="00A6239B" w:rsidRPr="00617B02">
        <w:rPr>
          <w:sz w:val="20"/>
        </w:rPr>
        <w:t xml:space="preserve">opposed to company’s best interest and </w:t>
      </w:r>
      <w:r w:rsidRPr="00617B02">
        <w:rPr>
          <w:sz w:val="20"/>
        </w:rPr>
        <w:t>had no reasonable cause to believ</w:t>
      </w:r>
      <w:r w:rsidR="00A6239B" w:rsidRPr="00617B02">
        <w:rPr>
          <w:sz w:val="20"/>
        </w:rPr>
        <w:t>e that conduct was illegal</w:t>
      </w:r>
    </w:p>
    <w:p w14:paraId="18BDBDE8" w14:textId="42C395A7" w:rsidR="000D31F6" w:rsidRPr="00617B02" w:rsidRDefault="000D31F6" w:rsidP="00617B02">
      <w:pPr>
        <w:pStyle w:val="ListParagraph"/>
        <w:numPr>
          <w:ilvl w:val="1"/>
          <w:numId w:val="17"/>
        </w:numPr>
        <w:rPr>
          <w:sz w:val="20"/>
        </w:rPr>
      </w:pPr>
      <w:r w:rsidRPr="00617B02">
        <w:rPr>
          <w:sz w:val="20"/>
        </w:rPr>
        <w:t>May indemnify expense</w:t>
      </w:r>
      <w:r w:rsidR="00782619">
        <w:rPr>
          <w:sz w:val="20"/>
        </w:rPr>
        <w:t>s in derivative suit</w:t>
      </w:r>
      <w:r w:rsidRPr="00617B02">
        <w:rPr>
          <w:sz w:val="20"/>
        </w:rPr>
        <w:t xml:space="preserve"> if as above and officer not </w:t>
      </w:r>
      <w:r w:rsidR="00782619">
        <w:rPr>
          <w:sz w:val="20"/>
        </w:rPr>
        <w:t>held</w:t>
      </w:r>
      <w:r w:rsidRPr="00617B02">
        <w:rPr>
          <w:sz w:val="20"/>
        </w:rPr>
        <w:t xml:space="preserve"> liable to corporation</w:t>
      </w:r>
    </w:p>
    <w:p w14:paraId="4FF500D3" w14:textId="068C8578" w:rsidR="00DB5E85" w:rsidRPr="00617B02" w:rsidRDefault="00DB5E85" w:rsidP="00617B02">
      <w:pPr>
        <w:pStyle w:val="ListParagraph"/>
        <w:numPr>
          <w:ilvl w:val="2"/>
          <w:numId w:val="17"/>
        </w:numPr>
        <w:rPr>
          <w:sz w:val="20"/>
        </w:rPr>
      </w:pPr>
      <w:r w:rsidRPr="00617B02">
        <w:rPr>
          <w:sz w:val="20"/>
        </w:rPr>
        <w:t xml:space="preserve">If the suit is settled, corporation </w:t>
      </w:r>
      <w:r w:rsidRPr="00292727">
        <w:rPr>
          <w:b/>
          <w:sz w:val="20"/>
        </w:rPr>
        <w:t>may not</w:t>
      </w:r>
      <w:r w:rsidRPr="00617B02">
        <w:rPr>
          <w:sz w:val="20"/>
        </w:rPr>
        <w:t xml:space="preserve"> indemnify officer for settlement amount</w:t>
      </w:r>
    </w:p>
    <w:p w14:paraId="6687A8FD" w14:textId="05EECE41" w:rsidR="00287455" w:rsidRPr="00617B02" w:rsidRDefault="000D31F6" w:rsidP="00617B02">
      <w:pPr>
        <w:pStyle w:val="ListParagraph"/>
        <w:numPr>
          <w:ilvl w:val="2"/>
          <w:numId w:val="17"/>
        </w:numPr>
        <w:rPr>
          <w:sz w:val="20"/>
        </w:rPr>
      </w:pPr>
      <w:r w:rsidRPr="00617B02">
        <w:rPr>
          <w:sz w:val="20"/>
        </w:rPr>
        <w:t xml:space="preserve">Court can allow indemnification if officer is “fairly and reasonably entitled to indemnity” </w:t>
      </w:r>
      <w:r w:rsidR="00DB5E85" w:rsidRPr="00617B02">
        <w:rPr>
          <w:sz w:val="20"/>
        </w:rPr>
        <w:t xml:space="preserve">despite being adjudged liable or </w:t>
      </w:r>
      <w:r w:rsidR="00EA6650" w:rsidRPr="00617B02">
        <w:rPr>
          <w:sz w:val="20"/>
        </w:rPr>
        <w:t xml:space="preserve">if </w:t>
      </w:r>
      <w:r w:rsidR="00DB5E85" w:rsidRPr="00617B02">
        <w:rPr>
          <w:sz w:val="20"/>
        </w:rPr>
        <w:t>case is settled</w:t>
      </w:r>
    </w:p>
    <w:p w14:paraId="7D6ACF58" w14:textId="2231A369" w:rsidR="00287455" w:rsidRPr="00617B02" w:rsidRDefault="002E46A8" w:rsidP="00617B02">
      <w:pPr>
        <w:pStyle w:val="ListParagraph"/>
        <w:numPr>
          <w:ilvl w:val="1"/>
          <w:numId w:val="17"/>
        </w:numPr>
        <w:rPr>
          <w:sz w:val="20"/>
        </w:rPr>
      </w:pPr>
      <w:r w:rsidRPr="00617B02">
        <w:rPr>
          <w:sz w:val="20"/>
        </w:rPr>
        <w:t xml:space="preserve">Must indemnify expenses if officer </w:t>
      </w:r>
      <w:r w:rsidR="00287455" w:rsidRPr="00617B02">
        <w:rPr>
          <w:sz w:val="20"/>
        </w:rPr>
        <w:t>is successful on the merits</w:t>
      </w:r>
      <w:r w:rsidR="00353548" w:rsidRPr="00617B02">
        <w:rPr>
          <w:sz w:val="20"/>
        </w:rPr>
        <w:t xml:space="preserve"> or </w:t>
      </w:r>
      <w:r w:rsidR="00287455" w:rsidRPr="00617B02">
        <w:rPr>
          <w:sz w:val="20"/>
        </w:rPr>
        <w:t>otherwise</w:t>
      </w:r>
    </w:p>
    <w:p w14:paraId="05A15038" w14:textId="4BF51C8B" w:rsidR="00287455" w:rsidRPr="00617B02" w:rsidRDefault="002E46A8" w:rsidP="00617B02">
      <w:pPr>
        <w:pStyle w:val="ListParagraph"/>
        <w:numPr>
          <w:ilvl w:val="2"/>
          <w:numId w:val="17"/>
        </w:numPr>
        <w:rPr>
          <w:sz w:val="20"/>
        </w:rPr>
      </w:pPr>
      <w:r w:rsidRPr="00617B02">
        <w:rPr>
          <w:sz w:val="20"/>
        </w:rPr>
        <w:t>If officer didn’t pay anything</w:t>
      </w:r>
      <w:r w:rsidR="004426F8" w:rsidRPr="00617B02">
        <w:rPr>
          <w:sz w:val="20"/>
        </w:rPr>
        <w:t xml:space="preserve"> (even if corporation paid settlement amounts “on officer’s behalf”</w:t>
      </w:r>
      <w:r w:rsidR="007526C2">
        <w:rPr>
          <w:sz w:val="20"/>
        </w:rPr>
        <w:t>)</w:t>
      </w:r>
      <w:r w:rsidRPr="00617B02">
        <w:rPr>
          <w:sz w:val="20"/>
        </w:rPr>
        <w:t>, the suit was successful</w:t>
      </w:r>
      <w:r w:rsidR="004426F8" w:rsidRPr="00617B02">
        <w:rPr>
          <w:sz w:val="20"/>
        </w:rPr>
        <w:t xml:space="preserve"> and must be indemnified</w:t>
      </w:r>
      <w:r w:rsidRPr="00617B02">
        <w:rPr>
          <w:sz w:val="20"/>
        </w:rPr>
        <w:t xml:space="preserve"> </w:t>
      </w:r>
      <w:r w:rsidR="00406FD0" w:rsidRPr="00617B02">
        <w:rPr>
          <w:sz w:val="20"/>
        </w:rPr>
        <w:t xml:space="preserve">– </w:t>
      </w:r>
      <w:proofErr w:type="spellStart"/>
      <w:r w:rsidR="00406FD0" w:rsidRPr="006233B1">
        <w:rPr>
          <w:i/>
          <w:sz w:val="20"/>
        </w:rPr>
        <w:t>Waltuch</w:t>
      </w:r>
      <w:proofErr w:type="spellEnd"/>
      <w:r w:rsidR="00406FD0" w:rsidRPr="006233B1">
        <w:rPr>
          <w:i/>
          <w:sz w:val="20"/>
        </w:rPr>
        <w:t xml:space="preserve"> v. </w:t>
      </w:r>
      <w:proofErr w:type="spellStart"/>
      <w:r w:rsidR="00406FD0" w:rsidRPr="006233B1">
        <w:rPr>
          <w:i/>
          <w:sz w:val="20"/>
        </w:rPr>
        <w:t>Conticommodity</w:t>
      </w:r>
      <w:proofErr w:type="spellEnd"/>
    </w:p>
    <w:p w14:paraId="188F2187" w14:textId="227826FA" w:rsidR="00287455" w:rsidRPr="00617B02" w:rsidRDefault="00AC0C66" w:rsidP="00617B02">
      <w:pPr>
        <w:pStyle w:val="ListParagraph"/>
        <w:numPr>
          <w:ilvl w:val="1"/>
          <w:numId w:val="17"/>
        </w:numPr>
        <w:rPr>
          <w:sz w:val="20"/>
        </w:rPr>
      </w:pPr>
      <w:r w:rsidRPr="00617B02">
        <w:rPr>
          <w:sz w:val="20"/>
        </w:rPr>
        <w:t xml:space="preserve">Indemnification </w:t>
      </w:r>
      <w:r w:rsidR="00E361C4" w:rsidRPr="00617B02">
        <w:rPr>
          <w:sz w:val="20"/>
        </w:rPr>
        <w:t xml:space="preserve">under (a) or (b) </w:t>
      </w:r>
      <w:r w:rsidRPr="00617B02">
        <w:rPr>
          <w:sz w:val="20"/>
        </w:rPr>
        <w:t xml:space="preserve">premised on approval </w:t>
      </w:r>
      <w:r w:rsidR="00E361C4" w:rsidRPr="00617B02">
        <w:rPr>
          <w:sz w:val="20"/>
        </w:rPr>
        <w:t xml:space="preserve">by </w:t>
      </w:r>
      <w:r w:rsidR="00292727">
        <w:rPr>
          <w:sz w:val="20"/>
        </w:rPr>
        <w:t>majority vote of independent</w:t>
      </w:r>
      <w:r w:rsidRPr="00617B02">
        <w:rPr>
          <w:sz w:val="20"/>
        </w:rPr>
        <w:t xml:space="preserve"> directors (or independent committee of directors), independent legal counsel in a written opinion, or SHs</w:t>
      </w:r>
    </w:p>
    <w:p w14:paraId="3E993474" w14:textId="606652E0" w:rsidR="00C97CC6" w:rsidRPr="00617B02" w:rsidRDefault="00E361C4" w:rsidP="00617B02">
      <w:pPr>
        <w:pStyle w:val="ListParagraph"/>
        <w:numPr>
          <w:ilvl w:val="1"/>
          <w:numId w:val="17"/>
        </w:numPr>
        <w:rPr>
          <w:sz w:val="20"/>
        </w:rPr>
      </w:pPr>
      <w:r w:rsidRPr="00617B02">
        <w:rPr>
          <w:sz w:val="20"/>
        </w:rPr>
        <w:t>May advance expenses even if officer</w:t>
      </w:r>
      <w:r w:rsidR="00287455" w:rsidRPr="00617B02">
        <w:rPr>
          <w:sz w:val="20"/>
        </w:rPr>
        <w:t xml:space="preserve"> later found no</w:t>
      </w:r>
      <w:r w:rsidR="0065673F" w:rsidRPr="00617B02">
        <w:rPr>
          <w:sz w:val="20"/>
        </w:rPr>
        <w:t>t to be entitled to expenses</w:t>
      </w:r>
      <w:r w:rsidR="00287455" w:rsidRPr="00617B02">
        <w:rPr>
          <w:sz w:val="20"/>
        </w:rPr>
        <w:t xml:space="preserve"> by signing a letter promising to re</w:t>
      </w:r>
      <w:r w:rsidR="0065673F" w:rsidRPr="00617B02">
        <w:rPr>
          <w:sz w:val="20"/>
        </w:rPr>
        <w:t>pay them if not so entitled</w:t>
      </w:r>
    </w:p>
    <w:p w14:paraId="36FD1995" w14:textId="74D8B111" w:rsidR="006503DB" w:rsidRPr="00617B02" w:rsidRDefault="006503DB" w:rsidP="00617B02">
      <w:pPr>
        <w:pStyle w:val="ListParagraph"/>
        <w:numPr>
          <w:ilvl w:val="2"/>
          <w:numId w:val="17"/>
        </w:numPr>
        <w:rPr>
          <w:sz w:val="20"/>
        </w:rPr>
      </w:pPr>
      <w:r w:rsidRPr="00617B02">
        <w:rPr>
          <w:sz w:val="20"/>
        </w:rPr>
        <w:t>C</w:t>
      </w:r>
      <w:r w:rsidR="00E4154C" w:rsidRPr="00617B02">
        <w:rPr>
          <w:sz w:val="20"/>
        </w:rPr>
        <w:t xml:space="preserve">orporation may </w:t>
      </w:r>
      <w:r w:rsidRPr="00617B02">
        <w:rPr>
          <w:sz w:val="20"/>
        </w:rPr>
        <w:t>pre-commit to advance expen</w:t>
      </w:r>
      <w:r w:rsidR="00DE20B9">
        <w:rPr>
          <w:sz w:val="20"/>
        </w:rPr>
        <w:t>ses, even if officer wouldn’t</w:t>
      </w:r>
      <w:r w:rsidRPr="00617B02">
        <w:rPr>
          <w:sz w:val="20"/>
        </w:rPr>
        <w:t xml:space="preserve"> be entitled to indemnification if unsuccessful on the merits – </w:t>
      </w:r>
      <w:r w:rsidRPr="006233B1">
        <w:rPr>
          <w:i/>
          <w:sz w:val="20"/>
        </w:rPr>
        <w:t xml:space="preserve">Citadel v. </w:t>
      </w:r>
      <w:proofErr w:type="spellStart"/>
      <w:r w:rsidRPr="006233B1">
        <w:rPr>
          <w:i/>
          <w:sz w:val="20"/>
        </w:rPr>
        <w:t>Roven</w:t>
      </w:r>
      <w:proofErr w:type="spellEnd"/>
      <w:r w:rsidRPr="00617B02">
        <w:rPr>
          <w:sz w:val="20"/>
        </w:rPr>
        <w:t xml:space="preserve"> (§16(b) dispute) </w:t>
      </w:r>
    </w:p>
    <w:p w14:paraId="6F341BF0" w14:textId="3A26DDD5" w:rsidR="00287455" w:rsidRPr="00617B02" w:rsidRDefault="00C97CC6" w:rsidP="00617B02">
      <w:pPr>
        <w:pStyle w:val="ListParagraph"/>
        <w:numPr>
          <w:ilvl w:val="1"/>
          <w:numId w:val="17"/>
        </w:numPr>
        <w:rPr>
          <w:sz w:val="20"/>
        </w:rPr>
      </w:pPr>
      <w:r w:rsidRPr="00617B02">
        <w:rPr>
          <w:sz w:val="20"/>
        </w:rPr>
        <w:t>Corporation can add more indemnification protections beyond those given in §145</w:t>
      </w:r>
    </w:p>
    <w:p w14:paraId="6E77CAA0" w14:textId="0E6FB27F" w:rsidR="0076506E" w:rsidRPr="00617B02" w:rsidRDefault="004426F8" w:rsidP="00617B02">
      <w:pPr>
        <w:pStyle w:val="ListParagraph"/>
        <w:numPr>
          <w:ilvl w:val="2"/>
          <w:numId w:val="17"/>
        </w:numPr>
        <w:rPr>
          <w:sz w:val="20"/>
        </w:rPr>
      </w:pPr>
      <w:r w:rsidRPr="00617B02">
        <w:rPr>
          <w:sz w:val="20"/>
        </w:rPr>
        <w:t>I</w:t>
      </w:r>
      <w:r w:rsidR="0076506E" w:rsidRPr="00617B02">
        <w:rPr>
          <w:sz w:val="20"/>
        </w:rPr>
        <w:t>ndemnification cannot be inconsistent with DGCL limits (such as §145(a)’s “good faith” requirement)</w:t>
      </w:r>
      <w:r w:rsidR="00A51121" w:rsidRPr="00617B02">
        <w:rPr>
          <w:sz w:val="20"/>
        </w:rPr>
        <w:t xml:space="preserve"> – </w:t>
      </w:r>
      <w:proofErr w:type="spellStart"/>
      <w:r w:rsidR="00A51121" w:rsidRPr="006233B1">
        <w:rPr>
          <w:i/>
          <w:sz w:val="20"/>
        </w:rPr>
        <w:t>Waltuch</w:t>
      </w:r>
      <w:proofErr w:type="spellEnd"/>
      <w:r w:rsidR="00A51121" w:rsidRPr="006233B1">
        <w:rPr>
          <w:i/>
          <w:sz w:val="20"/>
        </w:rPr>
        <w:t xml:space="preserve"> v. </w:t>
      </w:r>
      <w:proofErr w:type="spellStart"/>
      <w:r w:rsidR="00A51121" w:rsidRPr="006233B1">
        <w:rPr>
          <w:i/>
          <w:sz w:val="20"/>
        </w:rPr>
        <w:t>Conticommodity</w:t>
      </w:r>
      <w:proofErr w:type="spellEnd"/>
      <w:r w:rsidR="00A51121" w:rsidRPr="00617B02">
        <w:rPr>
          <w:sz w:val="20"/>
        </w:rPr>
        <w:t xml:space="preserve"> (no indemnification for bad faith conduct, despite contract that indemnifies all conduct)</w:t>
      </w:r>
    </w:p>
    <w:p w14:paraId="619F9F44" w14:textId="6D7BF6C4" w:rsidR="00287455" w:rsidRDefault="00726C57" w:rsidP="001316A5">
      <w:pPr>
        <w:pStyle w:val="ListParagraph"/>
        <w:numPr>
          <w:ilvl w:val="1"/>
          <w:numId w:val="17"/>
        </w:numPr>
        <w:spacing w:after="0"/>
        <w:rPr>
          <w:sz w:val="20"/>
        </w:rPr>
      </w:pPr>
      <w:r>
        <w:rPr>
          <w:sz w:val="20"/>
        </w:rPr>
        <w:t>May buy insurance to pay for officer legal fees regardless of indemnification’s availability</w:t>
      </w:r>
    </w:p>
    <w:p w14:paraId="64E43969" w14:textId="741B0243" w:rsidR="001316A5" w:rsidRPr="001316A5" w:rsidRDefault="001316A5" w:rsidP="001316A5">
      <w:pPr>
        <w:pStyle w:val="Heading4"/>
        <w:rPr>
          <w:sz w:val="20"/>
        </w:rPr>
      </w:pPr>
      <w:r w:rsidRPr="001316A5">
        <w:rPr>
          <w:sz w:val="20"/>
        </w:rPr>
        <w:t>Post-SOX Governance Changes</w:t>
      </w:r>
    </w:p>
    <w:p w14:paraId="3AFDAD58" w14:textId="4883D16C" w:rsidR="00617B02" w:rsidRDefault="006B20D0" w:rsidP="006B20D0">
      <w:pPr>
        <w:pStyle w:val="NoSpacing"/>
        <w:widowControl w:val="0"/>
        <w:numPr>
          <w:ilvl w:val="0"/>
          <w:numId w:val="18"/>
        </w:numPr>
        <w:spacing w:line="259" w:lineRule="auto"/>
        <w:rPr>
          <w:sz w:val="20"/>
          <w:szCs w:val="22"/>
          <w:lang w:eastAsia="ja-JP"/>
        </w:rPr>
      </w:pPr>
      <w:r>
        <w:rPr>
          <w:sz w:val="20"/>
          <w:szCs w:val="22"/>
          <w:lang w:eastAsia="ja-JP"/>
        </w:rPr>
        <w:t>F</w:t>
      </w:r>
      <w:r w:rsidRPr="006B20D0">
        <w:rPr>
          <w:sz w:val="20"/>
          <w:szCs w:val="22"/>
          <w:lang w:eastAsia="ja-JP"/>
        </w:rPr>
        <w:t>our major sources</w:t>
      </w:r>
      <w:r>
        <w:rPr>
          <w:sz w:val="20"/>
          <w:szCs w:val="22"/>
          <w:lang w:eastAsia="ja-JP"/>
        </w:rPr>
        <w:t xml:space="preserve"> of corporate governance change</w:t>
      </w:r>
      <w:r w:rsidR="00580473">
        <w:rPr>
          <w:sz w:val="20"/>
          <w:szCs w:val="22"/>
          <w:lang w:eastAsia="ja-JP"/>
        </w:rPr>
        <w:t xml:space="preserve"> followed</w:t>
      </w:r>
      <w:r w:rsidRPr="006B20D0">
        <w:rPr>
          <w:sz w:val="20"/>
          <w:szCs w:val="22"/>
          <w:lang w:eastAsia="ja-JP"/>
        </w:rPr>
        <w:t xml:space="preserve"> early 2000’s</w:t>
      </w:r>
      <w:r w:rsidR="00580473">
        <w:rPr>
          <w:sz w:val="20"/>
          <w:szCs w:val="22"/>
          <w:lang w:eastAsia="ja-JP"/>
        </w:rPr>
        <w:t xml:space="preserve"> accounting scandals:</w:t>
      </w:r>
      <w:r>
        <w:rPr>
          <w:sz w:val="20"/>
          <w:szCs w:val="22"/>
          <w:lang w:eastAsia="ja-JP"/>
        </w:rPr>
        <w:t xml:space="preserve"> </w:t>
      </w:r>
      <w:r w:rsidR="00580473">
        <w:rPr>
          <w:sz w:val="20"/>
          <w:szCs w:val="22"/>
          <w:lang w:eastAsia="ja-JP"/>
        </w:rPr>
        <w:t>SOX</w:t>
      </w:r>
      <w:r>
        <w:rPr>
          <w:sz w:val="20"/>
          <w:szCs w:val="22"/>
          <w:lang w:eastAsia="ja-JP"/>
        </w:rPr>
        <w:t xml:space="preserve">, NYSE listing requirements, governance rating agencies, and a stricter tone in state case law (e.g., </w:t>
      </w:r>
      <w:r>
        <w:rPr>
          <w:i/>
          <w:sz w:val="20"/>
          <w:szCs w:val="22"/>
          <w:lang w:eastAsia="ja-JP"/>
        </w:rPr>
        <w:t>Oracle</w:t>
      </w:r>
      <w:r>
        <w:rPr>
          <w:sz w:val="20"/>
          <w:szCs w:val="22"/>
          <w:lang w:eastAsia="ja-JP"/>
        </w:rPr>
        <w:t xml:space="preserve">, </w:t>
      </w:r>
      <w:r>
        <w:rPr>
          <w:i/>
          <w:sz w:val="20"/>
          <w:szCs w:val="22"/>
          <w:lang w:eastAsia="ja-JP"/>
        </w:rPr>
        <w:t>Disney</w:t>
      </w:r>
      <w:r>
        <w:rPr>
          <w:sz w:val="20"/>
          <w:szCs w:val="22"/>
          <w:lang w:eastAsia="ja-JP"/>
        </w:rPr>
        <w:t>)</w:t>
      </w:r>
    </w:p>
    <w:p w14:paraId="592B77B4" w14:textId="4A73A83F" w:rsidR="006B20D0" w:rsidRPr="006B20D0" w:rsidRDefault="00C96C42" w:rsidP="006B20D0">
      <w:pPr>
        <w:pStyle w:val="NoSpacing"/>
        <w:widowControl w:val="0"/>
        <w:numPr>
          <w:ilvl w:val="1"/>
          <w:numId w:val="18"/>
        </w:numPr>
        <w:spacing w:line="259" w:lineRule="auto"/>
        <w:rPr>
          <w:sz w:val="20"/>
          <w:szCs w:val="22"/>
          <w:lang w:eastAsia="ja-JP"/>
        </w:rPr>
      </w:pPr>
      <w:r>
        <w:rPr>
          <w:sz w:val="20"/>
          <w:szCs w:val="22"/>
          <w:lang w:eastAsia="ja-JP"/>
        </w:rPr>
        <w:t>C</w:t>
      </w:r>
      <w:r w:rsidR="006B20D0">
        <w:rPr>
          <w:sz w:val="20"/>
          <w:szCs w:val="22"/>
          <w:lang w:eastAsia="ja-JP"/>
        </w:rPr>
        <w:t xml:space="preserve">hanges fall into two </w:t>
      </w:r>
      <w:r>
        <w:rPr>
          <w:sz w:val="20"/>
          <w:szCs w:val="22"/>
          <w:lang w:eastAsia="ja-JP"/>
        </w:rPr>
        <w:t xml:space="preserve">rough </w:t>
      </w:r>
      <w:r w:rsidR="006B20D0">
        <w:rPr>
          <w:sz w:val="20"/>
          <w:szCs w:val="22"/>
          <w:lang w:eastAsia="ja-JP"/>
        </w:rPr>
        <w:t>categories: Audit-related and Board-related</w:t>
      </w:r>
    </w:p>
    <w:p w14:paraId="773FB75F" w14:textId="1FC64F10" w:rsidR="006B20D0" w:rsidRDefault="006B20D0" w:rsidP="006B20D0">
      <w:pPr>
        <w:pStyle w:val="NoSpacing"/>
        <w:widowControl w:val="0"/>
        <w:numPr>
          <w:ilvl w:val="2"/>
          <w:numId w:val="18"/>
        </w:numPr>
        <w:spacing w:line="259" w:lineRule="auto"/>
        <w:rPr>
          <w:sz w:val="20"/>
          <w:szCs w:val="22"/>
          <w:lang w:eastAsia="ja-JP"/>
        </w:rPr>
      </w:pPr>
      <w:r>
        <w:rPr>
          <w:sz w:val="20"/>
          <w:szCs w:val="22"/>
          <w:lang w:eastAsia="ja-JP"/>
        </w:rPr>
        <w:t>Audit-related changes are further divided into conflict-reducing and action-forcing</w:t>
      </w:r>
    </w:p>
    <w:p w14:paraId="044AC981" w14:textId="06A91DC7" w:rsidR="004B7FC8" w:rsidRDefault="004B7FC8" w:rsidP="006B20D0">
      <w:pPr>
        <w:pStyle w:val="NoSpacing"/>
        <w:widowControl w:val="0"/>
        <w:numPr>
          <w:ilvl w:val="3"/>
          <w:numId w:val="18"/>
        </w:numPr>
        <w:spacing w:line="259" w:lineRule="auto"/>
        <w:rPr>
          <w:sz w:val="20"/>
          <w:szCs w:val="22"/>
          <w:lang w:eastAsia="ja-JP"/>
        </w:rPr>
      </w:pPr>
      <w:r>
        <w:rPr>
          <w:sz w:val="20"/>
          <w:szCs w:val="22"/>
          <w:lang w:eastAsia="ja-JP"/>
        </w:rPr>
        <w:t>Conflict-reducing</w:t>
      </w:r>
    </w:p>
    <w:p w14:paraId="15D3CEB0" w14:textId="15EEC6BC" w:rsidR="006B20D0" w:rsidRDefault="006B20D0" w:rsidP="004B7FC8">
      <w:pPr>
        <w:pStyle w:val="NoSpacing"/>
        <w:widowControl w:val="0"/>
        <w:numPr>
          <w:ilvl w:val="4"/>
          <w:numId w:val="18"/>
        </w:numPr>
        <w:spacing w:line="259" w:lineRule="auto"/>
        <w:rPr>
          <w:sz w:val="20"/>
          <w:szCs w:val="22"/>
          <w:lang w:eastAsia="ja-JP"/>
        </w:rPr>
      </w:pPr>
      <w:r>
        <w:rPr>
          <w:sz w:val="20"/>
          <w:szCs w:val="22"/>
          <w:lang w:eastAsia="ja-JP"/>
        </w:rPr>
        <w:t>SOX §201 (’34 Act §10A(g)) prohibits external auditors from providing other, non-audit services to clients</w:t>
      </w:r>
    </w:p>
    <w:p w14:paraId="13A23A96" w14:textId="56DA13F9" w:rsidR="006B20D0" w:rsidRDefault="006B20D0" w:rsidP="004B7FC8">
      <w:pPr>
        <w:pStyle w:val="NoSpacing"/>
        <w:widowControl w:val="0"/>
        <w:numPr>
          <w:ilvl w:val="5"/>
          <w:numId w:val="18"/>
        </w:numPr>
        <w:spacing w:line="259" w:lineRule="auto"/>
        <w:rPr>
          <w:sz w:val="20"/>
          <w:szCs w:val="22"/>
          <w:lang w:eastAsia="ja-JP"/>
        </w:rPr>
      </w:pPr>
      <w:r>
        <w:rPr>
          <w:sz w:val="20"/>
          <w:szCs w:val="22"/>
          <w:lang w:eastAsia="ja-JP"/>
        </w:rPr>
        <w:t>Governance rating agencies have stricter standards for “non-audit services” than SOX does</w:t>
      </w:r>
    </w:p>
    <w:p w14:paraId="073D28FA" w14:textId="2F347921" w:rsidR="006B20D0" w:rsidRDefault="006B20D0" w:rsidP="004B7FC8">
      <w:pPr>
        <w:pStyle w:val="NoSpacing"/>
        <w:widowControl w:val="0"/>
        <w:numPr>
          <w:ilvl w:val="4"/>
          <w:numId w:val="18"/>
        </w:numPr>
        <w:spacing w:line="259" w:lineRule="auto"/>
        <w:rPr>
          <w:sz w:val="20"/>
          <w:szCs w:val="22"/>
          <w:lang w:eastAsia="ja-JP"/>
        </w:rPr>
      </w:pPr>
      <w:r>
        <w:rPr>
          <w:sz w:val="20"/>
          <w:szCs w:val="22"/>
          <w:lang w:eastAsia="ja-JP"/>
        </w:rPr>
        <w:t>SOX §301 gives power to hire, fire and compensate external auditors to an independent audit committee</w:t>
      </w:r>
    </w:p>
    <w:p w14:paraId="0B17C627" w14:textId="1195EE29" w:rsidR="004B7FC8" w:rsidRDefault="004B7FC8" w:rsidP="004B7FC8">
      <w:pPr>
        <w:pStyle w:val="NoSpacing"/>
        <w:widowControl w:val="0"/>
        <w:numPr>
          <w:ilvl w:val="5"/>
          <w:numId w:val="18"/>
        </w:numPr>
        <w:spacing w:line="259" w:lineRule="auto"/>
        <w:rPr>
          <w:sz w:val="20"/>
          <w:szCs w:val="22"/>
          <w:lang w:eastAsia="ja-JP"/>
        </w:rPr>
      </w:pPr>
      <w:r>
        <w:rPr>
          <w:sz w:val="20"/>
          <w:szCs w:val="22"/>
          <w:lang w:eastAsia="ja-JP"/>
        </w:rPr>
        <w:t>Audit committee members must be financially literate, include at least one “financial expert”</w:t>
      </w:r>
    </w:p>
    <w:p w14:paraId="3E327606" w14:textId="33690279" w:rsidR="006B20D0" w:rsidRDefault="006B20D0" w:rsidP="004B7FC8">
      <w:pPr>
        <w:pStyle w:val="NoSpacing"/>
        <w:widowControl w:val="0"/>
        <w:numPr>
          <w:ilvl w:val="4"/>
          <w:numId w:val="18"/>
        </w:numPr>
        <w:spacing w:line="259" w:lineRule="auto"/>
        <w:rPr>
          <w:sz w:val="20"/>
          <w:szCs w:val="22"/>
          <w:lang w:eastAsia="ja-JP"/>
        </w:rPr>
      </w:pPr>
      <w:r>
        <w:rPr>
          <w:sz w:val="20"/>
          <w:szCs w:val="22"/>
          <w:lang w:eastAsia="ja-JP"/>
        </w:rPr>
        <w:t>SOX §203 limits personnel flow between audi</w:t>
      </w:r>
      <w:r w:rsidR="00FC0988">
        <w:rPr>
          <w:sz w:val="20"/>
          <w:szCs w:val="22"/>
          <w:lang w:eastAsia="ja-JP"/>
        </w:rPr>
        <w:t>tors and audited firms</w:t>
      </w:r>
    </w:p>
    <w:p w14:paraId="73B68712" w14:textId="5BE467F8" w:rsidR="004B7FC8" w:rsidRDefault="004B7FC8" w:rsidP="004B7FC8">
      <w:pPr>
        <w:pStyle w:val="NoSpacing"/>
        <w:widowControl w:val="0"/>
        <w:numPr>
          <w:ilvl w:val="3"/>
          <w:numId w:val="18"/>
        </w:numPr>
        <w:spacing w:line="259" w:lineRule="auto"/>
        <w:rPr>
          <w:sz w:val="20"/>
          <w:szCs w:val="22"/>
          <w:lang w:eastAsia="ja-JP"/>
        </w:rPr>
      </w:pPr>
      <w:r>
        <w:rPr>
          <w:sz w:val="20"/>
          <w:szCs w:val="22"/>
          <w:lang w:eastAsia="ja-JP"/>
        </w:rPr>
        <w:lastRenderedPageBreak/>
        <w:t>Action-forcing</w:t>
      </w:r>
    </w:p>
    <w:p w14:paraId="647583D6" w14:textId="415101C9" w:rsidR="004B7FC8" w:rsidRDefault="004B7FC8" w:rsidP="004B7FC8">
      <w:pPr>
        <w:pStyle w:val="NoSpacing"/>
        <w:widowControl w:val="0"/>
        <w:numPr>
          <w:ilvl w:val="4"/>
          <w:numId w:val="18"/>
        </w:numPr>
        <w:spacing w:line="259" w:lineRule="auto"/>
        <w:rPr>
          <w:sz w:val="20"/>
          <w:szCs w:val="22"/>
          <w:lang w:eastAsia="ja-JP"/>
        </w:rPr>
      </w:pPr>
      <w:r>
        <w:rPr>
          <w:sz w:val="20"/>
          <w:szCs w:val="22"/>
          <w:lang w:eastAsia="ja-JP"/>
        </w:rPr>
        <w:t xml:space="preserve">SOX §404 </w:t>
      </w:r>
      <w:r w:rsidR="00550ECD">
        <w:rPr>
          <w:sz w:val="20"/>
          <w:szCs w:val="22"/>
          <w:lang w:eastAsia="ja-JP"/>
        </w:rPr>
        <w:t>requires audits</w:t>
      </w:r>
      <w:r>
        <w:rPr>
          <w:sz w:val="20"/>
          <w:szCs w:val="22"/>
          <w:lang w:eastAsia="ja-JP"/>
        </w:rPr>
        <w:t xml:space="preserve"> of internal accounting controls</w:t>
      </w:r>
    </w:p>
    <w:p w14:paraId="3EC2012C" w14:textId="6EE7367C" w:rsidR="004B7FC8" w:rsidRDefault="004B7FC8" w:rsidP="004B7FC8">
      <w:pPr>
        <w:pStyle w:val="NoSpacing"/>
        <w:widowControl w:val="0"/>
        <w:numPr>
          <w:ilvl w:val="5"/>
          <w:numId w:val="18"/>
        </w:numPr>
        <w:spacing w:line="259" w:lineRule="auto"/>
        <w:rPr>
          <w:sz w:val="20"/>
          <w:szCs w:val="22"/>
          <w:lang w:eastAsia="ja-JP"/>
        </w:rPr>
      </w:pPr>
      <w:r>
        <w:rPr>
          <w:sz w:val="20"/>
          <w:szCs w:val="22"/>
          <w:lang w:eastAsia="ja-JP"/>
        </w:rPr>
        <w:t>Hugely expensive and of questionable value</w:t>
      </w:r>
    </w:p>
    <w:p w14:paraId="37222E88" w14:textId="6A36F705" w:rsidR="003B51A2" w:rsidRDefault="003B51A2" w:rsidP="004B7FC8">
      <w:pPr>
        <w:pStyle w:val="NoSpacing"/>
        <w:widowControl w:val="0"/>
        <w:numPr>
          <w:ilvl w:val="5"/>
          <w:numId w:val="18"/>
        </w:numPr>
        <w:spacing w:line="259" w:lineRule="auto"/>
        <w:rPr>
          <w:sz w:val="20"/>
          <w:szCs w:val="22"/>
          <w:lang w:eastAsia="ja-JP"/>
        </w:rPr>
      </w:pPr>
      <w:r>
        <w:rPr>
          <w:sz w:val="20"/>
          <w:szCs w:val="22"/>
          <w:lang w:eastAsia="ja-JP"/>
        </w:rPr>
        <w:t>Disproportionately impacts small public companies – is this leading smaller companies to go private?</w:t>
      </w:r>
    </w:p>
    <w:p w14:paraId="4FAF345C" w14:textId="41138F83" w:rsidR="004B7FC8" w:rsidRDefault="004B7FC8" w:rsidP="004B7FC8">
      <w:pPr>
        <w:pStyle w:val="NoSpacing"/>
        <w:widowControl w:val="0"/>
        <w:numPr>
          <w:ilvl w:val="4"/>
          <w:numId w:val="18"/>
        </w:numPr>
        <w:spacing w:line="259" w:lineRule="auto"/>
        <w:rPr>
          <w:sz w:val="20"/>
          <w:szCs w:val="22"/>
          <w:lang w:eastAsia="ja-JP"/>
        </w:rPr>
      </w:pPr>
      <w:r>
        <w:rPr>
          <w:sz w:val="20"/>
          <w:szCs w:val="22"/>
          <w:lang w:eastAsia="ja-JP"/>
        </w:rPr>
        <w:t>SOX §302 requires officers to certify quarterly/annual reports</w:t>
      </w:r>
    </w:p>
    <w:p w14:paraId="26757972" w14:textId="22A094E2" w:rsidR="009604C5" w:rsidRDefault="009604C5" w:rsidP="004B7FC8">
      <w:pPr>
        <w:pStyle w:val="NoSpacing"/>
        <w:widowControl w:val="0"/>
        <w:numPr>
          <w:ilvl w:val="4"/>
          <w:numId w:val="18"/>
        </w:numPr>
        <w:spacing w:line="259" w:lineRule="auto"/>
        <w:rPr>
          <w:sz w:val="20"/>
          <w:szCs w:val="22"/>
          <w:lang w:eastAsia="ja-JP"/>
        </w:rPr>
      </w:pPr>
      <w:r>
        <w:rPr>
          <w:sz w:val="20"/>
          <w:szCs w:val="22"/>
          <w:lang w:eastAsia="ja-JP"/>
        </w:rPr>
        <w:t>PCAOB is a new independent regulatory body for external auditors</w:t>
      </w:r>
    </w:p>
    <w:p w14:paraId="057C6F6E" w14:textId="43378806" w:rsidR="006667BB" w:rsidRDefault="006667BB" w:rsidP="006667BB">
      <w:pPr>
        <w:pStyle w:val="NoSpacing"/>
        <w:widowControl w:val="0"/>
        <w:numPr>
          <w:ilvl w:val="2"/>
          <w:numId w:val="18"/>
        </w:numPr>
        <w:spacing w:line="259" w:lineRule="auto"/>
        <w:rPr>
          <w:sz w:val="20"/>
          <w:szCs w:val="22"/>
          <w:lang w:eastAsia="ja-JP"/>
        </w:rPr>
      </w:pPr>
      <w:r>
        <w:rPr>
          <w:sz w:val="20"/>
          <w:szCs w:val="22"/>
          <w:lang w:eastAsia="ja-JP"/>
        </w:rPr>
        <w:t>Board-related changes also divide into conflict-reducing and action-forcing</w:t>
      </w:r>
    </w:p>
    <w:p w14:paraId="1F2E5FA8" w14:textId="77777777" w:rsidR="00A77BEC" w:rsidRDefault="00A77BEC" w:rsidP="00C96C42">
      <w:pPr>
        <w:pStyle w:val="NoSpacing"/>
        <w:widowControl w:val="0"/>
        <w:numPr>
          <w:ilvl w:val="3"/>
          <w:numId w:val="18"/>
        </w:numPr>
        <w:spacing w:line="259" w:lineRule="auto"/>
        <w:rPr>
          <w:sz w:val="20"/>
          <w:szCs w:val="22"/>
          <w:lang w:eastAsia="ja-JP"/>
        </w:rPr>
      </w:pPr>
      <w:r>
        <w:rPr>
          <w:sz w:val="20"/>
          <w:szCs w:val="22"/>
          <w:lang w:eastAsia="ja-JP"/>
        </w:rPr>
        <w:t xml:space="preserve">Conflict-reducing </w:t>
      </w:r>
    </w:p>
    <w:p w14:paraId="446A247F" w14:textId="6AA5D4B3" w:rsidR="00C96C42" w:rsidRDefault="00550ECD" w:rsidP="00A77BEC">
      <w:pPr>
        <w:pStyle w:val="NoSpacing"/>
        <w:widowControl w:val="0"/>
        <w:numPr>
          <w:ilvl w:val="4"/>
          <w:numId w:val="18"/>
        </w:numPr>
        <w:spacing w:line="259" w:lineRule="auto"/>
        <w:rPr>
          <w:sz w:val="20"/>
          <w:szCs w:val="22"/>
          <w:lang w:eastAsia="ja-JP"/>
        </w:rPr>
      </w:pPr>
      <w:r>
        <w:rPr>
          <w:sz w:val="20"/>
          <w:szCs w:val="22"/>
          <w:lang w:eastAsia="ja-JP"/>
        </w:rPr>
        <w:t xml:space="preserve">NYSE listing standards </w:t>
      </w:r>
      <w:r w:rsidR="00C96C42">
        <w:rPr>
          <w:sz w:val="20"/>
          <w:szCs w:val="22"/>
          <w:lang w:eastAsia="ja-JP"/>
        </w:rPr>
        <w:t>require a majority of independent directors</w:t>
      </w:r>
    </w:p>
    <w:p w14:paraId="792D21D4" w14:textId="6F7FCC51" w:rsidR="00C96C42" w:rsidRDefault="00C96C42" w:rsidP="00A77BEC">
      <w:pPr>
        <w:pStyle w:val="NoSpacing"/>
        <w:widowControl w:val="0"/>
        <w:numPr>
          <w:ilvl w:val="5"/>
          <w:numId w:val="18"/>
        </w:numPr>
        <w:spacing w:line="259" w:lineRule="auto"/>
        <w:rPr>
          <w:sz w:val="20"/>
          <w:szCs w:val="22"/>
          <w:lang w:eastAsia="ja-JP"/>
        </w:rPr>
      </w:pPr>
      <w:r>
        <w:rPr>
          <w:sz w:val="20"/>
          <w:szCs w:val="22"/>
          <w:lang w:eastAsia="ja-JP"/>
        </w:rPr>
        <w:t>Definition of independence is stricter (can’t have been employee in past 3 years, no close relative who is employee</w:t>
      </w:r>
      <w:r w:rsidR="003E0B90">
        <w:rPr>
          <w:sz w:val="20"/>
          <w:szCs w:val="22"/>
          <w:lang w:eastAsia="ja-JP"/>
        </w:rPr>
        <w:t>, not officer of a company that does significant business, not affiliated with charities that receive substantial contributions from the company</w:t>
      </w:r>
      <w:r>
        <w:rPr>
          <w:sz w:val="20"/>
          <w:szCs w:val="22"/>
          <w:lang w:eastAsia="ja-JP"/>
        </w:rPr>
        <w:t>)</w:t>
      </w:r>
    </w:p>
    <w:p w14:paraId="14CE2A0D" w14:textId="46E56295" w:rsidR="00072CE7" w:rsidRDefault="00072CE7" w:rsidP="00A77BEC">
      <w:pPr>
        <w:pStyle w:val="NoSpacing"/>
        <w:widowControl w:val="0"/>
        <w:numPr>
          <w:ilvl w:val="5"/>
          <w:numId w:val="18"/>
        </w:numPr>
        <w:spacing w:line="259" w:lineRule="auto"/>
        <w:rPr>
          <w:sz w:val="20"/>
          <w:szCs w:val="22"/>
          <w:lang w:eastAsia="ja-JP"/>
        </w:rPr>
      </w:pPr>
      <w:r>
        <w:rPr>
          <w:sz w:val="20"/>
          <w:szCs w:val="22"/>
          <w:lang w:eastAsia="ja-JP"/>
        </w:rPr>
        <w:t>Some governance rating agencies encourage a supermajority of independent directors</w:t>
      </w:r>
    </w:p>
    <w:p w14:paraId="769E77BE" w14:textId="362DFE45" w:rsidR="00ED6A1A" w:rsidRDefault="00ED6A1A" w:rsidP="00A77BEC">
      <w:pPr>
        <w:pStyle w:val="NoSpacing"/>
        <w:widowControl w:val="0"/>
        <w:numPr>
          <w:ilvl w:val="4"/>
          <w:numId w:val="18"/>
        </w:numPr>
        <w:spacing w:line="259" w:lineRule="auto"/>
        <w:rPr>
          <w:sz w:val="20"/>
          <w:szCs w:val="22"/>
          <w:lang w:eastAsia="ja-JP"/>
        </w:rPr>
      </w:pPr>
      <w:r>
        <w:rPr>
          <w:sz w:val="20"/>
          <w:szCs w:val="22"/>
          <w:lang w:eastAsia="ja-JP"/>
        </w:rPr>
        <w:t>Audit, compensation and no</w:t>
      </w:r>
      <w:r w:rsidR="005C5256">
        <w:rPr>
          <w:sz w:val="20"/>
          <w:szCs w:val="22"/>
          <w:lang w:eastAsia="ja-JP"/>
        </w:rPr>
        <w:t xml:space="preserve">minating committees must be formed and comprised solely of </w:t>
      </w:r>
      <w:r>
        <w:rPr>
          <w:sz w:val="20"/>
          <w:szCs w:val="22"/>
          <w:lang w:eastAsia="ja-JP"/>
        </w:rPr>
        <w:t>independent</w:t>
      </w:r>
      <w:r w:rsidR="005C5256">
        <w:rPr>
          <w:sz w:val="20"/>
          <w:szCs w:val="22"/>
          <w:lang w:eastAsia="ja-JP"/>
        </w:rPr>
        <w:t xml:space="preserve"> directors</w:t>
      </w:r>
    </w:p>
    <w:p w14:paraId="1D8078B5" w14:textId="1B0688DE" w:rsidR="002C4C3A" w:rsidRDefault="002C4C3A" w:rsidP="00A77BEC">
      <w:pPr>
        <w:pStyle w:val="NoSpacing"/>
        <w:widowControl w:val="0"/>
        <w:numPr>
          <w:ilvl w:val="4"/>
          <w:numId w:val="18"/>
        </w:numPr>
        <w:spacing w:line="259" w:lineRule="auto"/>
        <w:rPr>
          <w:sz w:val="20"/>
          <w:szCs w:val="22"/>
          <w:lang w:eastAsia="ja-JP"/>
        </w:rPr>
      </w:pPr>
      <w:r>
        <w:rPr>
          <w:sz w:val="20"/>
          <w:szCs w:val="22"/>
          <w:lang w:eastAsia="ja-JP"/>
        </w:rPr>
        <w:t>Some ratings agencies argue for independent chairperson</w:t>
      </w:r>
    </w:p>
    <w:p w14:paraId="64BD678A" w14:textId="1F700352" w:rsidR="002C4C3A" w:rsidRDefault="002C4C3A" w:rsidP="00A77BEC">
      <w:pPr>
        <w:pStyle w:val="NoSpacing"/>
        <w:widowControl w:val="0"/>
        <w:numPr>
          <w:ilvl w:val="4"/>
          <w:numId w:val="18"/>
        </w:numPr>
        <w:spacing w:line="259" w:lineRule="auto"/>
        <w:rPr>
          <w:sz w:val="20"/>
          <w:szCs w:val="22"/>
          <w:lang w:eastAsia="ja-JP"/>
        </w:rPr>
      </w:pPr>
      <w:r>
        <w:rPr>
          <w:sz w:val="20"/>
          <w:szCs w:val="22"/>
          <w:lang w:eastAsia="ja-JP"/>
        </w:rPr>
        <w:t>NYSE standard of regular executive se</w:t>
      </w:r>
      <w:r w:rsidR="00550ECD">
        <w:rPr>
          <w:sz w:val="20"/>
          <w:szCs w:val="22"/>
          <w:lang w:eastAsia="ja-JP"/>
        </w:rPr>
        <w:t>ssions (no management present</w:t>
      </w:r>
      <w:r>
        <w:rPr>
          <w:sz w:val="20"/>
          <w:szCs w:val="22"/>
          <w:lang w:eastAsia="ja-JP"/>
        </w:rPr>
        <w:t>)</w:t>
      </w:r>
    </w:p>
    <w:p w14:paraId="1A0070AB" w14:textId="2E8D479D" w:rsidR="00A77BEC" w:rsidRDefault="00A77BEC" w:rsidP="005C5256">
      <w:pPr>
        <w:pStyle w:val="NoSpacing"/>
        <w:widowControl w:val="0"/>
        <w:numPr>
          <w:ilvl w:val="3"/>
          <w:numId w:val="18"/>
        </w:numPr>
        <w:spacing w:line="259" w:lineRule="auto"/>
        <w:rPr>
          <w:sz w:val="20"/>
          <w:szCs w:val="22"/>
          <w:lang w:eastAsia="ja-JP"/>
        </w:rPr>
      </w:pPr>
      <w:r>
        <w:rPr>
          <w:sz w:val="20"/>
          <w:szCs w:val="22"/>
          <w:lang w:eastAsia="ja-JP"/>
        </w:rPr>
        <w:t>Action-inducing</w:t>
      </w:r>
    </w:p>
    <w:p w14:paraId="7D011CA9" w14:textId="5813CB61" w:rsidR="00A77BEC" w:rsidRDefault="00A77BEC" w:rsidP="00A77BEC">
      <w:pPr>
        <w:pStyle w:val="NoSpacing"/>
        <w:widowControl w:val="0"/>
        <w:numPr>
          <w:ilvl w:val="4"/>
          <w:numId w:val="18"/>
        </w:numPr>
        <w:spacing w:line="259" w:lineRule="auto"/>
        <w:rPr>
          <w:sz w:val="20"/>
          <w:szCs w:val="22"/>
          <w:lang w:eastAsia="ja-JP"/>
        </w:rPr>
      </w:pPr>
      <w:r>
        <w:rPr>
          <w:sz w:val="20"/>
          <w:szCs w:val="22"/>
          <w:lang w:eastAsia="ja-JP"/>
        </w:rPr>
        <w:t>Some ratings agencies limit number of boards directors may serve on</w:t>
      </w:r>
    </w:p>
    <w:p w14:paraId="0A6E3809" w14:textId="2A905E1B" w:rsidR="00C4350B" w:rsidRDefault="00C4350B" w:rsidP="00A77BEC">
      <w:pPr>
        <w:pStyle w:val="NoSpacing"/>
        <w:widowControl w:val="0"/>
        <w:numPr>
          <w:ilvl w:val="4"/>
          <w:numId w:val="18"/>
        </w:numPr>
        <w:spacing w:line="259" w:lineRule="auto"/>
        <w:rPr>
          <w:sz w:val="20"/>
          <w:szCs w:val="22"/>
          <w:lang w:eastAsia="ja-JP"/>
        </w:rPr>
      </w:pPr>
      <w:r>
        <w:rPr>
          <w:sz w:val="20"/>
          <w:szCs w:val="22"/>
          <w:lang w:eastAsia="ja-JP"/>
        </w:rPr>
        <w:t>Agencies also insist indep</w:t>
      </w:r>
      <w:r w:rsidR="001B3A9B">
        <w:rPr>
          <w:sz w:val="20"/>
          <w:szCs w:val="22"/>
          <w:lang w:eastAsia="ja-JP"/>
        </w:rPr>
        <w:t>endent directors own</w:t>
      </w:r>
      <w:r>
        <w:rPr>
          <w:sz w:val="20"/>
          <w:szCs w:val="22"/>
          <w:lang w:eastAsia="ja-JP"/>
        </w:rPr>
        <w:t xml:space="preserve"> </w:t>
      </w:r>
      <w:r w:rsidR="001B3A9B">
        <w:rPr>
          <w:sz w:val="20"/>
          <w:szCs w:val="22"/>
          <w:lang w:eastAsia="ja-JP"/>
        </w:rPr>
        <w:t xml:space="preserve">large </w:t>
      </w:r>
      <w:r>
        <w:rPr>
          <w:sz w:val="20"/>
          <w:szCs w:val="22"/>
          <w:lang w:eastAsia="ja-JP"/>
        </w:rPr>
        <w:t>amounts of stock</w:t>
      </w:r>
    </w:p>
    <w:p w14:paraId="41B701E6" w14:textId="447E92DF" w:rsidR="00C4350B" w:rsidRDefault="00C4350B" w:rsidP="00A77BEC">
      <w:pPr>
        <w:pStyle w:val="NoSpacing"/>
        <w:widowControl w:val="0"/>
        <w:numPr>
          <w:ilvl w:val="4"/>
          <w:numId w:val="18"/>
        </w:numPr>
        <w:spacing w:line="259" w:lineRule="auto"/>
        <w:rPr>
          <w:sz w:val="20"/>
          <w:szCs w:val="22"/>
          <w:lang w:eastAsia="ja-JP"/>
        </w:rPr>
      </w:pPr>
      <w:r>
        <w:rPr>
          <w:sz w:val="20"/>
          <w:szCs w:val="22"/>
          <w:lang w:eastAsia="ja-JP"/>
        </w:rPr>
        <w:t>NYSE standards require adoption of corporate govern</w:t>
      </w:r>
      <w:r w:rsidR="004F5C45">
        <w:rPr>
          <w:sz w:val="20"/>
          <w:szCs w:val="22"/>
          <w:lang w:eastAsia="ja-JP"/>
        </w:rPr>
        <w:t xml:space="preserve">ance guidelines, </w:t>
      </w:r>
      <w:r>
        <w:rPr>
          <w:sz w:val="20"/>
          <w:szCs w:val="22"/>
          <w:lang w:eastAsia="ja-JP"/>
        </w:rPr>
        <w:t>code of business conduct and ethics</w:t>
      </w:r>
      <w:r w:rsidR="004F5C45">
        <w:rPr>
          <w:sz w:val="20"/>
          <w:szCs w:val="22"/>
          <w:lang w:eastAsia="ja-JP"/>
        </w:rPr>
        <w:t xml:space="preserve"> and periodic self-assessment</w:t>
      </w:r>
    </w:p>
    <w:p w14:paraId="46D556CB" w14:textId="5C8B0718" w:rsidR="00EF7E5C" w:rsidRDefault="00EF7E5C" w:rsidP="00EF7E5C">
      <w:pPr>
        <w:pStyle w:val="NoSpacing"/>
        <w:widowControl w:val="0"/>
        <w:numPr>
          <w:ilvl w:val="1"/>
          <w:numId w:val="18"/>
        </w:numPr>
        <w:spacing w:line="259" w:lineRule="auto"/>
        <w:rPr>
          <w:sz w:val="20"/>
          <w:szCs w:val="22"/>
          <w:lang w:eastAsia="ja-JP"/>
        </w:rPr>
      </w:pPr>
      <w:r>
        <w:rPr>
          <w:sz w:val="20"/>
          <w:szCs w:val="22"/>
          <w:lang w:eastAsia="ja-JP"/>
        </w:rPr>
        <w:t>Changes emphasize board’s monitoring role instead (at the expense of?) its managerial role</w:t>
      </w:r>
    </w:p>
    <w:p w14:paraId="5C9C1409" w14:textId="0DB377C5" w:rsidR="00EF7E5C" w:rsidRDefault="00EF7E5C" w:rsidP="00EF7E5C">
      <w:pPr>
        <w:pStyle w:val="NoSpacing"/>
        <w:widowControl w:val="0"/>
        <w:numPr>
          <w:ilvl w:val="2"/>
          <w:numId w:val="18"/>
        </w:numPr>
        <w:spacing w:line="259" w:lineRule="auto"/>
        <w:rPr>
          <w:sz w:val="20"/>
          <w:szCs w:val="22"/>
          <w:lang w:eastAsia="ja-JP"/>
        </w:rPr>
      </w:pPr>
      <w:r>
        <w:rPr>
          <w:sz w:val="20"/>
          <w:szCs w:val="22"/>
          <w:lang w:eastAsia="ja-JP"/>
        </w:rPr>
        <w:t xml:space="preserve">Do the changes turn the board into compliance checkers, distracting them from more important business decisions? </w:t>
      </w:r>
    </w:p>
    <w:p w14:paraId="39067C23" w14:textId="32E2281C" w:rsidR="00EF7E5C" w:rsidRDefault="00EF7E5C" w:rsidP="00EF7E5C">
      <w:pPr>
        <w:pStyle w:val="NoSpacing"/>
        <w:widowControl w:val="0"/>
        <w:numPr>
          <w:ilvl w:val="2"/>
          <w:numId w:val="18"/>
        </w:numPr>
        <w:spacing w:line="259" w:lineRule="auto"/>
        <w:rPr>
          <w:sz w:val="20"/>
          <w:szCs w:val="22"/>
          <w:lang w:eastAsia="ja-JP"/>
        </w:rPr>
      </w:pPr>
      <w:r>
        <w:rPr>
          <w:sz w:val="20"/>
          <w:szCs w:val="22"/>
          <w:lang w:eastAsia="ja-JP"/>
        </w:rPr>
        <w:t xml:space="preserve">Can management and BoD effectively </w:t>
      </w:r>
      <w:r w:rsidR="005D29EA">
        <w:rPr>
          <w:sz w:val="20"/>
          <w:szCs w:val="22"/>
          <w:lang w:eastAsia="ja-JP"/>
        </w:rPr>
        <w:t>work together if monitoring dynamic is at the fore</w:t>
      </w:r>
    </w:p>
    <w:p w14:paraId="292980D5" w14:textId="4E4C98A5" w:rsidR="005D29EA" w:rsidRDefault="005D29EA" w:rsidP="005D29EA">
      <w:pPr>
        <w:pStyle w:val="NoSpacing"/>
        <w:widowControl w:val="0"/>
        <w:numPr>
          <w:ilvl w:val="1"/>
          <w:numId w:val="18"/>
        </w:numPr>
        <w:spacing w:line="259" w:lineRule="auto"/>
        <w:rPr>
          <w:sz w:val="20"/>
          <w:szCs w:val="22"/>
          <w:lang w:eastAsia="ja-JP"/>
        </w:rPr>
      </w:pPr>
      <w:r>
        <w:rPr>
          <w:sz w:val="20"/>
          <w:szCs w:val="22"/>
          <w:lang w:eastAsia="ja-JP"/>
        </w:rPr>
        <w:t>SOX also requires more detailed financial disclosure</w:t>
      </w:r>
      <w:r w:rsidR="00961DA9">
        <w:rPr>
          <w:sz w:val="20"/>
          <w:szCs w:val="22"/>
          <w:lang w:eastAsia="ja-JP"/>
        </w:rPr>
        <w:t>, identification of critical accounting policies, and expensing of stock options</w:t>
      </w:r>
    </w:p>
    <w:p w14:paraId="6B88CB54" w14:textId="6DAB318F" w:rsidR="00A238ED" w:rsidRDefault="00A238ED" w:rsidP="005D29EA">
      <w:pPr>
        <w:pStyle w:val="NoSpacing"/>
        <w:widowControl w:val="0"/>
        <w:numPr>
          <w:ilvl w:val="1"/>
          <w:numId w:val="18"/>
        </w:numPr>
        <w:spacing w:line="259" w:lineRule="auto"/>
        <w:rPr>
          <w:sz w:val="20"/>
          <w:szCs w:val="22"/>
          <w:lang w:eastAsia="ja-JP"/>
        </w:rPr>
      </w:pPr>
      <w:r>
        <w:rPr>
          <w:sz w:val="20"/>
          <w:szCs w:val="22"/>
          <w:lang w:eastAsia="ja-JP"/>
        </w:rPr>
        <w:t>SOX also created environment of reform for future shareholder-empowering standards</w:t>
      </w:r>
    </w:p>
    <w:p w14:paraId="5B991E27" w14:textId="0D56F3BB" w:rsidR="00A238ED" w:rsidRDefault="00A238ED" w:rsidP="00A238ED">
      <w:pPr>
        <w:pStyle w:val="NoSpacing"/>
        <w:widowControl w:val="0"/>
        <w:numPr>
          <w:ilvl w:val="2"/>
          <w:numId w:val="18"/>
        </w:numPr>
        <w:spacing w:line="259" w:lineRule="auto"/>
        <w:rPr>
          <w:sz w:val="20"/>
          <w:szCs w:val="22"/>
          <w:lang w:eastAsia="ja-JP"/>
        </w:rPr>
      </w:pPr>
      <w:r>
        <w:rPr>
          <w:sz w:val="20"/>
          <w:szCs w:val="22"/>
          <w:lang w:eastAsia="ja-JP"/>
        </w:rPr>
        <w:t xml:space="preserve">Freer proxy access for dissenting SHs was passed under Dodd-Frank, killed by D.C. Circuit in </w:t>
      </w:r>
      <w:r>
        <w:rPr>
          <w:i/>
          <w:sz w:val="20"/>
          <w:szCs w:val="22"/>
          <w:lang w:eastAsia="ja-JP"/>
        </w:rPr>
        <w:t>Business Roundtable</w:t>
      </w:r>
      <w:r>
        <w:rPr>
          <w:sz w:val="20"/>
          <w:szCs w:val="22"/>
          <w:lang w:eastAsia="ja-JP"/>
        </w:rPr>
        <w:t>, and is now pushed through bylaw changes</w:t>
      </w:r>
    </w:p>
    <w:p w14:paraId="5BD109ED" w14:textId="6EF3E417" w:rsidR="00B92CB3" w:rsidRDefault="005D7A3D" w:rsidP="00B92CB3">
      <w:pPr>
        <w:pStyle w:val="NoSpacing"/>
        <w:widowControl w:val="0"/>
        <w:numPr>
          <w:ilvl w:val="3"/>
          <w:numId w:val="18"/>
        </w:numPr>
        <w:spacing w:line="259" w:lineRule="auto"/>
        <w:rPr>
          <w:sz w:val="20"/>
          <w:szCs w:val="22"/>
          <w:lang w:eastAsia="ja-JP"/>
        </w:rPr>
      </w:pPr>
      <w:r>
        <w:rPr>
          <w:sz w:val="20"/>
          <w:szCs w:val="22"/>
          <w:lang w:eastAsia="ja-JP"/>
        </w:rPr>
        <w:t xml:space="preserve">Wide support for </w:t>
      </w:r>
      <w:r w:rsidR="005E3583">
        <w:rPr>
          <w:sz w:val="20"/>
          <w:szCs w:val="22"/>
          <w:lang w:eastAsia="ja-JP"/>
        </w:rPr>
        <w:t>bylaw changes freeing</w:t>
      </w:r>
      <w:r>
        <w:rPr>
          <w:sz w:val="20"/>
          <w:szCs w:val="22"/>
          <w:lang w:eastAsia="ja-JP"/>
        </w:rPr>
        <w:t xml:space="preserve"> proxy access,</w:t>
      </w:r>
      <w:r w:rsidR="00B92CB3">
        <w:rPr>
          <w:sz w:val="20"/>
          <w:szCs w:val="22"/>
          <w:lang w:eastAsia="ja-JP"/>
        </w:rPr>
        <w:t xml:space="preserve"> </w:t>
      </w:r>
      <w:r w:rsidR="005E3583">
        <w:rPr>
          <w:sz w:val="20"/>
          <w:szCs w:val="22"/>
          <w:lang w:eastAsia="ja-JP"/>
        </w:rPr>
        <w:t>moving</w:t>
      </w:r>
      <w:r w:rsidR="00B92CB3">
        <w:rPr>
          <w:sz w:val="20"/>
          <w:szCs w:val="22"/>
          <w:lang w:eastAsia="ja-JP"/>
        </w:rPr>
        <w:t xml:space="preserve"> away from staggered Bo</w:t>
      </w:r>
      <w:r>
        <w:rPr>
          <w:sz w:val="20"/>
          <w:szCs w:val="22"/>
          <w:lang w:eastAsia="ja-JP"/>
        </w:rPr>
        <w:t>D elections and environmental-related bylaws</w:t>
      </w:r>
    </w:p>
    <w:p w14:paraId="1D823687" w14:textId="5E396DE0" w:rsidR="003B51A2" w:rsidRDefault="00580473" w:rsidP="003B51A2">
      <w:pPr>
        <w:pStyle w:val="NoSpacing"/>
        <w:widowControl w:val="0"/>
        <w:numPr>
          <w:ilvl w:val="1"/>
          <w:numId w:val="18"/>
        </w:numPr>
        <w:spacing w:line="259" w:lineRule="auto"/>
        <w:rPr>
          <w:sz w:val="20"/>
          <w:szCs w:val="22"/>
          <w:lang w:eastAsia="ja-JP"/>
        </w:rPr>
      </w:pPr>
      <w:r>
        <w:rPr>
          <w:sz w:val="20"/>
          <w:szCs w:val="22"/>
          <w:lang w:eastAsia="ja-JP"/>
        </w:rPr>
        <w:t>SOX should allow empirical studies to determine</w:t>
      </w:r>
      <w:r w:rsidR="003B51A2">
        <w:rPr>
          <w:sz w:val="20"/>
          <w:szCs w:val="22"/>
          <w:lang w:eastAsia="ja-JP"/>
        </w:rPr>
        <w:t xml:space="preserve"> effectiveness of its provisions, and allow for amendment if necessary</w:t>
      </w:r>
    </w:p>
    <w:p w14:paraId="6AD7ED09" w14:textId="1C07DABE" w:rsidR="003B51A2" w:rsidRDefault="00110BE2" w:rsidP="003B51A2">
      <w:pPr>
        <w:pStyle w:val="NoSpacing"/>
        <w:widowControl w:val="0"/>
        <w:numPr>
          <w:ilvl w:val="0"/>
          <w:numId w:val="18"/>
        </w:numPr>
        <w:spacing w:line="259" w:lineRule="auto"/>
        <w:rPr>
          <w:sz w:val="20"/>
          <w:szCs w:val="22"/>
          <w:lang w:eastAsia="ja-JP"/>
        </w:rPr>
      </w:pPr>
      <w:r>
        <w:rPr>
          <w:sz w:val="20"/>
          <w:szCs w:val="22"/>
          <w:lang w:eastAsia="ja-JP"/>
        </w:rPr>
        <w:t>Dodd-Frank included four major governance-related reforms:</w:t>
      </w:r>
    </w:p>
    <w:p w14:paraId="745F5D86" w14:textId="15E09E11" w:rsidR="00110BE2" w:rsidRDefault="00110BE2" w:rsidP="00110BE2">
      <w:pPr>
        <w:pStyle w:val="NoSpacing"/>
        <w:widowControl w:val="0"/>
        <w:numPr>
          <w:ilvl w:val="1"/>
          <w:numId w:val="18"/>
        </w:numPr>
        <w:spacing w:line="259" w:lineRule="auto"/>
        <w:rPr>
          <w:sz w:val="20"/>
          <w:szCs w:val="22"/>
          <w:lang w:eastAsia="ja-JP"/>
        </w:rPr>
      </w:pPr>
      <w:r>
        <w:rPr>
          <w:sz w:val="20"/>
          <w:szCs w:val="22"/>
          <w:lang w:eastAsia="ja-JP"/>
        </w:rPr>
        <w:t>Advisory SH votes on executive compensation – “say-on-pay” votes</w:t>
      </w:r>
    </w:p>
    <w:p w14:paraId="6C2EA79F" w14:textId="7E2F48E3" w:rsidR="00110BE2" w:rsidRDefault="00110BE2" w:rsidP="00110BE2">
      <w:pPr>
        <w:pStyle w:val="NoSpacing"/>
        <w:widowControl w:val="0"/>
        <w:numPr>
          <w:ilvl w:val="1"/>
          <w:numId w:val="18"/>
        </w:numPr>
        <w:spacing w:line="259" w:lineRule="auto"/>
        <w:rPr>
          <w:sz w:val="20"/>
          <w:szCs w:val="22"/>
          <w:lang w:eastAsia="ja-JP"/>
        </w:rPr>
      </w:pPr>
      <w:r>
        <w:rPr>
          <w:sz w:val="20"/>
          <w:szCs w:val="22"/>
          <w:lang w:eastAsia="ja-JP"/>
        </w:rPr>
        <w:t>SEC authority to make proxy access rules (but SEC’s first attempt was struck down by D.C. Circuit)</w:t>
      </w:r>
    </w:p>
    <w:p w14:paraId="770C2386" w14:textId="55156816" w:rsidR="00110BE2" w:rsidRDefault="00110BE2" w:rsidP="00110BE2">
      <w:pPr>
        <w:pStyle w:val="NoSpacing"/>
        <w:widowControl w:val="0"/>
        <w:numPr>
          <w:ilvl w:val="1"/>
          <w:numId w:val="18"/>
        </w:numPr>
        <w:spacing w:line="259" w:lineRule="auto"/>
        <w:rPr>
          <w:sz w:val="20"/>
          <w:szCs w:val="22"/>
          <w:lang w:eastAsia="ja-JP"/>
        </w:rPr>
      </w:pPr>
      <w:r>
        <w:rPr>
          <w:sz w:val="20"/>
          <w:szCs w:val="22"/>
          <w:lang w:eastAsia="ja-JP"/>
        </w:rPr>
        <w:t>Bounties for whistleblowers</w:t>
      </w:r>
    </w:p>
    <w:p w14:paraId="314707FB" w14:textId="4BCBB5E7" w:rsidR="00110BE2" w:rsidRDefault="00110BE2" w:rsidP="00110BE2">
      <w:pPr>
        <w:pStyle w:val="NoSpacing"/>
        <w:widowControl w:val="0"/>
        <w:numPr>
          <w:ilvl w:val="1"/>
          <w:numId w:val="18"/>
        </w:numPr>
        <w:spacing w:line="259" w:lineRule="auto"/>
        <w:rPr>
          <w:sz w:val="20"/>
          <w:szCs w:val="22"/>
          <w:lang w:eastAsia="ja-JP"/>
        </w:rPr>
      </w:pPr>
      <w:r>
        <w:rPr>
          <w:sz w:val="20"/>
          <w:szCs w:val="22"/>
          <w:lang w:eastAsia="ja-JP"/>
        </w:rPr>
        <w:t>Tougher claw</w:t>
      </w:r>
      <w:r w:rsidR="00F142A7">
        <w:rPr>
          <w:sz w:val="20"/>
          <w:szCs w:val="22"/>
          <w:lang w:eastAsia="ja-JP"/>
        </w:rPr>
        <w:t>-</w:t>
      </w:r>
      <w:r>
        <w:rPr>
          <w:sz w:val="20"/>
          <w:szCs w:val="22"/>
          <w:lang w:eastAsia="ja-JP"/>
        </w:rPr>
        <w:t xml:space="preserve">back provisions </w:t>
      </w:r>
      <w:r w:rsidR="00F142A7">
        <w:rPr>
          <w:sz w:val="20"/>
          <w:szCs w:val="22"/>
          <w:lang w:eastAsia="ja-JP"/>
        </w:rPr>
        <w:t>(returns executive compensation in the event of an accounting error, even if the error was no-fault)</w:t>
      </w:r>
    </w:p>
    <w:p w14:paraId="610E4F4F" w14:textId="77777777" w:rsidR="00580473" w:rsidRPr="00110BE2" w:rsidRDefault="00580473" w:rsidP="00580473">
      <w:pPr>
        <w:pStyle w:val="NoSpacing"/>
        <w:widowControl w:val="0"/>
        <w:spacing w:line="259" w:lineRule="auto"/>
        <w:ind w:left="1440"/>
        <w:rPr>
          <w:sz w:val="20"/>
          <w:szCs w:val="22"/>
          <w:lang w:eastAsia="ja-JP"/>
        </w:rPr>
      </w:pPr>
    </w:p>
    <w:p w14:paraId="552314F1" w14:textId="09B0492D" w:rsidR="00FF1C71" w:rsidRDefault="00FF1C71" w:rsidP="00FF1C71">
      <w:pPr>
        <w:pStyle w:val="Heading3"/>
        <w:rPr>
          <w:sz w:val="22"/>
        </w:rPr>
      </w:pPr>
      <w:r w:rsidRPr="00FF1C71">
        <w:rPr>
          <w:sz w:val="22"/>
        </w:rPr>
        <w:lastRenderedPageBreak/>
        <w:t>Problems of Control</w:t>
      </w:r>
    </w:p>
    <w:p w14:paraId="4AF3EF1B" w14:textId="036A767E" w:rsidR="00FF1C71" w:rsidRDefault="00FF1C71" w:rsidP="00FF1C71">
      <w:pPr>
        <w:pStyle w:val="Heading4"/>
        <w:rPr>
          <w:sz w:val="20"/>
        </w:rPr>
      </w:pPr>
      <w:r>
        <w:rPr>
          <w:sz w:val="20"/>
        </w:rPr>
        <w:t>Proxy Fights</w:t>
      </w:r>
    </w:p>
    <w:p w14:paraId="31A687D5" w14:textId="5A962C27" w:rsidR="00AB6CB9" w:rsidRPr="00AB6CB9" w:rsidRDefault="00AB6CB9" w:rsidP="004839EE">
      <w:pPr>
        <w:pStyle w:val="ListParagraph"/>
        <w:numPr>
          <w:ilvl w:val="0"/>
          <w:numId w:val="19"/>
        </w:numPr>
      </w:pPr>
      <w:r>
        <w:rPr>
          <w:sz w:val="20"/>
        </w:rPr>
        <w:t>’34 Act §14(a) prohibits solicitation of proxies in violation of SEC rules</w:t>
      </w:r>
    </w:p>
    <w:p w14:paraId="4E28A803" w14:textId="4E6672E2" w:rsidR="00AB6CB9" w:rsidRPr="001D041D" w:rsidRDefault="00AB6CB9" w:rsidP="00AB6CB9">
      <w:pPr>
        <w:pStyle w:val="ListParagraph"/>
        <w:numPr>
          <w:ilvl w:val="1"/>
          <w:numId w:val="19"/>
        </w:numPr>
      </w:pPr>
      <w:r>
        <w:rPr>
          <w:sz w:val="20"/>
        </w:rPr>
        <w:t xml:space="preserve">“Solicitation” is construed </w:t>
      </w:r>
      <w:r>
        <w:rPr>
          <w:i/>
          <w:sz w:val="20"/>
        </w:rPr>
        <w:t>broadly</w:t>
      </w:r>
      <w:r>
        <w:rPr>
          <w:sz w:val="20"/>
        </w:rPr>
        <w:t xml:space="preserve"> – </w:t>
      </w:r>
      <w:r>
        <w:rPr>
          <w:i/>
          <w:sz w:val="20"/>
        </w:rPr>
        <w:t xml:space="preserve">Studebaker v. </w:t>
      </w:r>
      <w:proofErr w:type="spellStart"/>
      <w:r>
        <w:rPr>
          <w:i/>
          <w:sz w:val="20"/>
        </w:rPr>
        <w:t>Gittlin</w:t>
      </w:r>
      <w:proofErr w:type="spellEnd"/>
      <w:r>
        <w:rPr>
          <w:sz w:val="20"/>
        </w:rPr>
        <w:t xml:space="preserve"> (asking SHs to join effort to demand SH list under state law constitutes proxy solicitation)</w:t>
      </w:r>
    </w:p>
    <w:p w14:paraId="1BF7E727" w14:textId="7419778F" w:rsidR="001D041D" w:rsidRPr="00895F9C" w:rsidRDefault="001D041D" w:rsidP="00AB6CB9">
      <w:pPr>
        <w:pStyle w:val="ListParagraph"/>
        <w:numPr>
          <w:ilvl w:val="1"/>
          <w:numId w:val="19"/>
        </w:numPr>
      </w:pPr>
      <w:r>
        <w:rPr>
          <w:sz w:val="20"/>
        </w:rPr>
        <w:t>Proxies may not be solicited without a “proxy statement” disclosing info relevant to SH decision</w:t>
      </w:r>
    </w:p>
    <w:p w14:paraId="669065CB" w14:textId="6E09EE1C" w:rsidR="00895F9C" w:rsidRPr="00895F9C" w:rsidRDefault="002349FA" w:rsidP="00AB6CB9">
      <w:pPr>
        <w:pStyle w:val="ListParagraph"/>
        <w:numPr>
          <w:ilvl w:val="1"/>
          <w:numId w:val="19"/>
        </w:numPr>
      </w:pPr>
      <w:r>
        <w:rPr>
          <w:sz w:val="20"/>
        </w:rPr>
        <w:t>Proxy solicitation materials may not contain any MMOs under Rule 14a-9</w:t>
      </w:r>
    </w:p>
    <w:p w14:paraId="100CA735" w14:textId="61FDB2C3" w:rsidR="00895F9C" w:rsidRPr="00895F9C" w:rsidRDefault="00895F9C" w:rsidP="00895F9C">
      <w:pPr>
        <w:pStyle w:val="ListParagraph"/>
        <w:numPr>
          <w:ilvl w:val="2"/>
          <w:numId w:val="19"/>
        </w:numPr>
      </w:pPr>
      <w:r>
        <w:rPr>
          <w:sz w:val="20"/>
        </w:rPr>
        <w:t>§14(a) contains an impli</w:t>
      </w:r>
      <w:r w:rsidR="00F546BD">
        <w:rPr>
          <w:sz w:val="20"/>
        </w:rPr>
        <w:t>ed private right of action (derivative &amp;</w:t>
      </w:r>
      <w:r>
        <w:rPr>
          <w:sz w:val="20"/>
        </w:rPr>
        <w:t xml:space="preserve"> direct) – </w:t>
      </w:r>
      <w:r>
        <w:rPr>
          <w:i/>
          <w:sz w:val="20"/>
        </w:rPr>
        <w:t xml:space="preserve">J.I. Case v. </w:t>
      </w:r>
      <w:proofErr w:type="spellStart"/>
      <w:r>
        <w:rPr>
          <w:i/>
          <w:sz w:val="20"/>
        </w:rPr>
        <w:t>Borak</w:t>
      </w:r>
      <w:proofErr w:type="spellEnd"/>
      <w:r>
        <w:rPr>
          <w:i/>
          <w:sz w:val="20"/>
        </w:rPr>
        <w:t xml:space="preserve"> </w:t>
      </w:r>
    </w:p>
    <w:p w14:paraId="205DD54E" w14:textId="21D23CD3" w:rsidR="00895F9C" w:rsidRPr="00895F9C" w:rsidRDefault="00895F9C" w:rsidP="00895F9C">
      <w:pPr>
        <w:pStyle w:val="ListParagraph"/>
        <w:numPr>
          <w:ilvl w:val="3"/>
          <w:numId w:val="19"/>
        </w:numPr>
      </w:pPr>
      <w:r>
        <w:rPr>
          <w:sz w:val="20"/>
        </w:rPr>
        <w:t>Private rights of action are necessary supplements to SEC enforcement power, since the SEC simply doesn’t have adequate resources to pursue all violations</w:t>
      </w:r>
    </w:p>
    <w:p w14:paraId="19743C7A" w14:textId="1B224039" w:rsidR="00895F9C" w:rsidRPr="002349FA" w:rsidRDefault="00895F9C" w:rsidP="00895F9C">
      <w:pPr>
        <w:pStyle w:val="ListParagraph"/>
        <w:numPr>
          <w:ilvl w:val="3"/>
          <w:numId w:val="19"/>
        </w:numPr>
      </w:pPr>
      <w:r>
        <w:rPr>
          <w:sz w:val="20"/>
        </w:rPr>
        <w:t>Since class actions are not permitted for direct SH suits, allowing a derivative is necessary to provide adequate incentives to mistreated SHs</w:t>
      </w:r>
    </w:p>
    <w:p w14:paraId="0C0699FC" w14:textId="7357411D" w:rsidR="002349FA" w:rsidRPr="00606758" w:rsidRDefault="002349FA" w:rsidP="002349FA">
      <w:pPr>
        <w:pStyle w:val="ListParagraph"/>
        <w:numPr>
          <w:ilvl w:val="2"/>
          <w:numId w:val="19"/>
        </w:numPr>
      </w:pPr>
      <w:r>
        <w:rPr>
          <w:sz w:val="20"/>
        </w:rPr>
        <w:t xml:space="preserve">MMO need not have a demonstrable, decisive effect on the voting to demonstrate causation. </w:t>
      </w:r>
      <w:r w:rsidR="00DC07ED">
        <w:rPr>
          <w:sz w:val="20"/>
        </w:rPr>
        <w:t xml:space="preserve">Causation exists if the proxy statement </w:t>
      </w:r>
      <w:r w:rsidR="00DC07ED">
        <w:rPr>
          <w:i/>
          <w:sz w:val="20"/>
        </w:rPr>
        <w:t xml:space="preserve">itself </w:t>
      </w:r>
      <w:r w:rsidR="00DC07ED">
        <w:rPr>
          <w:sz w:val="20"/>
        </w:rPr>
        <w:t xml:space="preserve">was an essential link in transaction – </w:t>
      </w:r>
      <w:r w:rsidR="00DC07ED">
        <w:rPr>
          <w:i/>
          <w:sz w:val="20"/>
        </w:rPr>
        <w:t>Mills</w:t>
      </w:r>
      <w:r w:rsidR="00DC07ED">
        <w:rPr>
          <w:sz w:val="20"/>
        </w:rPr>
        <w:t xml:space="preserve"> </w:t>
      </w:r>
      <w:r w:rsidR="00DC07ED">
        <w:rPr>
          <w:i/>
          <w:sz w:val="20"/>
        </w:rPr>
        <w:t>v. Electric Auto-Lite</w:t>
      </w:r>
    </w:p>
    <w:p w14:paraId="62F2E351" w14:textId="712D98E1" w:rsidR="00606758" w:rsidRPr="0017316D" w:rsidRDefault="00606758" w:rsidP="00606758">
      <w:pPr>
        <w:pStyle w:val="ListParagraph"/>
        <w:numPr>
          <w:ilvl w:val="3"/>
          <w:numId w:val="19"/>
        </w:numPr>
      </w:pPr>
      <w:r>
        <w:rPr>
          <w:sz w:val="20"/>
        </w:rPr>
        <w:t xml:space="preserve">Causation not established if management controls a sufficient number of shares to approve a transaction without minority votes, solicits proxies regardless, and materials contain an MMO – </w:t>
      </w:r>
      <w:r>
        <w:rPr>
          <w:i/>
          <w:sz w:val="20"/>
        </w:rPr>
        <w:t xml:space="preserve">Virginia </w:t>
      </w:r>
      <w:proofErr w:type="spellStart"/>
      <w:r>
        <w:rPr>
          <w:i/>
          <w:sz w:val="20"/>
        </w:rPr>
        <w:t>Bankshares</w:t>
      </w:r>
      <w:proofErr w:type="spellEnd"/>
      <w:r>
        <w:rPr>
          <w:i/>
          <w:sz w:val="20"/>
        </w:rPr>
        <w:t xml:space="preserve"> v. Sandberg</w:t>
      </w:r>
    </w:p>
    <w:p w14:paraId="67891B28" w14:textId="3710CFD0" w:rsidR="0017316D" w:rsidRPr="00974CF5" w:rsidRDefault="0017316D" w:rsidP="00606758">
      <w:pPr>
        <w:pStyle w:val="ListParagraph"/>
        <w:numPr>
          <w:ilvl w:val="3"/>
          <w:numId w:val="19"/>
        </w:numPr>
      </w:pPr>
      <w:r>
        <w:rPr>
          <w:sz w:val="20"/>
        </w:rPr>
        <w:t>Remedy is difficult to ascertain –</w:t>
      </w:r>
      <w:r w:rsidR="00CD5D67">
        <w:rPr>
          <w:sz w:val="20"/>
        </w:rPr>
        <w:t xml:space="preserve"> recession of merger</w:t>
      </w:r>
      <w:r>
        <w:rPr>
          <w:sz w:val="20"/>
        </w:rPr>
        <w:t xml:space="preserve"> only appropria</w:t>
      </w:r>
      <w:r w:rsidR="00CD5D67">
        <w:rPr>
          <w:sz w:val="20"/>
        </w:rPr>
        <w:t>te in extreme circumstances;</w:t>
      </w:r>
      <w:r>
        <w:rPr>
          <w:sz w:val="20"/>
        </w:rPr>
        <w:t xml:space="preserve"> damage</w:t>
      </w:r>
      <w:r w:rsidR="00CD5D67">
        <w:rPr>
          <w:sz w:val="20"/>
        </w:rPr>
        <w:t>s should only be awarded if</w:t>
      </w:r>
      <w:r>
        <w:rPr>
          <w:sz w:val="20"/>
        </w:rPr>
        <w:t xml:space="preserve"> capable of proof</w:t>
      </w:r>
    </w:p>
    <w:p w14:paraId="34441CC7" w14:textId="45379967" w:rsidR="00974CF5" w:rsidRPr="00CA1B1C" w:rsidRDefault="00F546BD" w:rsidP="00974CF5">
      <w:pPr>
        <w:pStyle w:val="ListParagraph"/>
        <w:numPr>
          <w:ilvl w:val="4"/>
          <w:numId w:val="19"/>
        </w:numPr>
      </w:pPr>
      <w:r>
        <w:rPr>
          <w:sz w:val="20"/>
        </w:rPr>
        <w:t xml:space="preserve">SHs may get attorney’s fees from </w:t>
      </w:r>
      <w:r w:rsidR="00974CF5">
        <w:rPr>
          <w:sz w:val="20"/>
        </w:rPr>
        <w:t>corporation (even without recovery!)</w:t>
      </w:r>
    </w:p>
    <w:p w14:paraId="1584215C" w14:textId="2B983923" w:rsidR="00CA1B1C" w:rsidRPr="007A139A" w:rsidRDefault="00CA1B1C" w:rsidP="00CA1B1C">
      <w:pPr>
        <w:pStyle w:val="ListParagraph"/>
        <w:numPr>
          <w:ilvl w:val="2"/>
          <w:numId w:val="19"/>
        </w:numPr>
      </w:pPr>
      <w:r>
        <w:rPr>
          <w:sz w:val="20"/>
        </w:rPr>
        <w:t xml:space="preserve">Failure to include Black-Scholes option valuations in disclosing director compensation is not an MMO as a matter of law – </w:t>
      </w:r>
      <w:r>
        <w:rPr>
          <w:i/>
          <w:sz w:val="20"/>
        </w:rPr>
        <w:t xml:space="preserve">Seinfeld v. </w:t>
      </w:r>
      <w:proofErr w:type="spellStart"/>
      <w:r>
        <w:rPr>
          <w:i/>
          <w:sz w:val="20"/>
        </w:rPr>
        <w:t>Bartz</w:t>
      </w:r>
      <w:proofErr w:type="spellEnd"/>
    </w:p>
    <w:p w14:paraId="09D4B308" w14:textId="308C045D" w:rsidR="007A139A" w:rsidRPr="005F678A" w:rsidRDefault="007A139A" w:rsidP="007A139A">
      <w:pPr>
        <w:pStyle w:val="ListParagraph"/>
        <w:numPr>
          <w:ilvl w:val="3"/>
          <w:numId w:val="19"/>
        </w:numPr>
      </w:pPr>
      <w:r>
        <w:rPr>
          <w:sz w:val="20"/>
        </w:rPr>
        <w:t xml:space="preserve">SEC regulations now require options to be treated as expenses in financial reports of registered companies, requiring </w:t>
      </w:r>
      <w:r>
        <w:rPr>
          <w:i/>
          <w:sz w:val="20"/>
        </w:rPr>
        <w:t xml:space="preserve">some </w:t>
      </w:r>
      <w:r>
        <w:rPr>
          <w:sz w:val="20"/>
        </w:rPr>
        <w:t>method of valuation</w:t>
      </w:r>
    </w:p>
    <w:p w14:paraId="1D24F971" w14:textId="61823C9A" w:rsidR="005F678A" w:rsidRPr="008B39A0" w:rsidRDefault="005F678A" w:rsidP="005F678A">
      <w:pPr>
        <w:pStyle w:val="ListParagraph"/>
        <w:numPr>
          <w:ilvl w:val="0"/>
          <w:numId w:val="19"/>
        </w:numPr>
      </w:pPr>
      <w:r>
        <w:rPr>
          <w:sz w:val="20"/>
        </w:rPr>
        <w:t xml:space="preserve">Rule 14a-7 allows management to either mail an insurgent group’s proxy requests to SHs directly (charging group for cost) or give SH </w:t>
      </w:r>
      <w:r w:rsidR="00F07ED8">
        <w:rPr>
          <w:sz w:val="20"/>
        </w:rPr>
        <w:t>list to insurgent group (</w:t>
      </w:r>
      <w:r w:rsidR="00A16888">
        <w:rPr>
          <w:sz w:val="20"/>
        </w:rPr>
        <w:t>former is preferred to preserve confidentiality)</w:t>
      </w:r>
    </w:p>
    <w:p w14:paraId="624361C5" w14:textId="74A0D6F9" w:rsidR="008B39A0" w:rsidRPr="00AB6CB9" w:rsidRDefault="008B39A0" w:rsidP="008B39A0">
      <w:pPr>
        <w:pStyle w:val="ListParagraph"/>
        <w:numPr>
          <w:ilvl w:val="1"/>
          <w:numId w:val="19"/>
        </w:numPr>
      </w:pPr>
      <w:r>
        <w:rPr>
          <w:sz w:val="20"/>
        </w:rPr>
        <w:t>Cf. Rule 14d-5, which provides a similar choice in the context of tender offers</w:t>
      </w:r>
    </w:p>
    <w:p w14:paraId="265077E6" w14:textId="2ED161ED" w:rsidR="004839EE" w:rsidRPr="001A40FF" w:rsidRDefault="00CC4789" w:rsidP="004839EE">
      <w:pPr>
        <w:pStyle w:val="ListParagraph"/>
        <w:numPr>
          <w:ilvl w:val="0"/>
          <w:numId w:val="19"/>
        </w:numPr>
      </w:pPr>
      <w:r>
        <w:rPr>
          <w:sz w:val="20"/>
        </w:rPr>
        <w:t xml:space="preserve">Incumbent directors may use corporate funds in a proxy fight if not illegal, unfair, excessive, and as long as fight centers on policy differences (not merely personality) – </w:t>
      </w:r>
      <w:r>
        <w:rPr>
          <w:i/>
          <w:sz w:val="20"/>
        </w:rPr>
        <w:t>Levin v. MGM</w:t>
      </w:r>
    </w:p>
    <w:p w14:paraId="0C1DFA4C" w14:textId="77777777" w:rsidR="001A40FF" w:rsidRPr="001A40FF" w:rsidRDefault="001A40FF" w:rsidP="001A40FF">
      <w:pPr>
        <w:pStyle w:val="ListParagraph"/>
        <w:numPr>
          <w:ilvl w:val="1"/>
          <w:numId w:val="19"/>
        </w:numPr>
      </w:pPr>
      <w:r>
        <w:rPr>
          <w:sz w:val="20"/>
        </w:rPr>
        <w:t>Unclear exactly what the standard is – it sounds similar to BJR</w:t>
      </w:r>
    </w:p>
    <w:p w14:paraId="5636D833" w14:textId="400FBF94" w:rsidR="001A40FF" w:rsidRPr="00AB6CB9" w:rsidRDefault="001A40FF" w:rsidP="00AB6CB9">
      <w:pPr>
        <w:pStyle w:val="ListParagraph"/>
        <w:numPr>
          <w:ilvl w:val="1"/>
          <w:numId w:val="19"/>
        </w:numPr>
      </w:pPr>
      <w:r>
        <w:rPr>
          <w:sz w:val="20"/>
        </w:rPr>
        <w:t>Successful ins</w:t>
      </w:r>
      <w:r w:rsidR="006D7F39">
        <w:rPr>
          <w:sz w:val="20"/>
        </w:rPr>
        <w:t>urgents may be reimbursed by corporation if</w:t>
      </w:r>
      <w:r>
        <w:rPr>
          <w:sz w:val="20"/>
        </w:rPr>
        <w:t xml:space="preserve"> SH</w:t>
      </w:r>
      <w:r w:rsidR="006D7F39">
        <w:rPr>
          <w:sz w:val="20"/>
        </w:rPr>
        <w:t>s</w:t>
      </w:r>
      <w:r>
        <w:rPr>
          <w:sz w:val="20"/>
        </w:rPr>
        <w:t xml:space="preserve"> approv</w:t>
      </w:r>
      <w:r w:rsidR="006D7F39">
        <w:rPr>
          <w:sz w:val="20"/>
        </w:rPr>
        <w:t>e</w:t>
      </w:r>
      <w:r>
        <w:rPr>
          <w:sz w:val="20"/>
        </w:rPr>
        <w:t xml:space="preserve"> – </w:t>
      </w:r>
      <w:r>
        <w:rPr>
          <w:i/>
          <w:sz w:val="20"/>
        </w:rPr>
        <w:t>Rosenfeld v. Fairchild Engine &amp; Airplane</w:t>
      </w:r>
    </w:p>
    <w:p w14:paraId="6DDA72F7" w14:textId="27EB951E" w:rsidR="00AB6CB9" w:rsidRPr="00AB6CB9" w:rsidRDefault="00AB6CB9" w:rsidP="00AB6CB9">
      <w:pPr>
        <w:pStyle w:val="ListParagraph"/>
        <w:numPr>
          <w:ilvl w:val="2"/>
          <w:numId w:val="19"/>
        </w:numPr>
      </w:pPr>
      <w:r>
        <w:rPr>
          <w:sz w:val="20"/>
        </w:rPr>
        <w:t>Dissent argues for a stricter definition of “reasonableness” in determining whether expenses should be reimbursed</w:t>
      </w:r>
    </w:p>
    <w:p w14:paraId="2796F75B" w14:textId="5199C03A" w:rsidR="00AB6CB9" w:rsidRPr="004839EE" w:rsidRDefault="00AB6CB9" w:rsidP="00AB6CB9">
      <w:pPr>
        <w:pStyle w:val="ListParagraph"/>
        <w:numPr>
          <w:ilvl w:val="2"/>
          <w:numId w:val="19"/>
        </w:numPr>
      </w:pPr>
      <w:r>
        <w:rPr>
          <w:sz w:val="20"/>
        </w:rPr>
        <w:t>Also argues that distinction between personality and policy is almost impossible to draw</w:t>
      </w:r>
    </w:p>
    <w:p w14:paraId="5AFDBBEB" w14:textId="2B86215A" w:rsidR="00FF1C71" w:rsidRDefault="00FF1C71" w:rsidP="00FF1C71">
      <w:pPr>
        <w:pStyle w:val="Heading4"/>
        <w:rPr>
          <w:sz w:val="20"/>
        </w:rPr>
      </w:pPr>
      <w:r>
        <w:rPr>
          <w:sz w:val="20"/>
        </w:rPr>
        <w:t>Shareholder Proposals</w:t>
      </w:r>
      <w:r w:rsidR="008D2F80">
        <w:rPr>
          <w:sz w:val="20"/>
        </w:rPr>
        <w:t xml:space="preserve"> &amp; Demands</w:t>
      </w:r>
    </w:p>
    <w:p w14:paraId="5AF5503A" w14:textId="19597B81" w:rsidR="00C37D24" w:rsidRPr="00C37D24" w:rsidRDefault="00C37D24" w:rsidP="00C37D24">
      <w:pPr>
        <w:pStyle w:val="ListParagraph"/>
        <w:numPr>
          <w:ilvl w:val="0"/>
          <w:numId w:val="20"/>
        </w:numPr>
      </w:pPr>
      <w:r>
        <w:rPr>
          <w:sz w:val="20"/>
        </w:rPr>
        <w:t>Rule 14a-8 governs submission of shareholder proposals for inclusion in a corporation’s proxy statement</w:t>
      </w:r>
    </w:p>
    <w:p w14:paraId="18E3BB8A" w14:textId="18343454" w:rsidR="00C37D24" w:rsidRPr="00D167F4" w:rsidRDefault="0058598D" w:rsidP="00C37D24">
      <w:pPr>
        <w:pStyle w:val="ListParagraph"/>
        <w:numPr>
          <w:ilvl w:val="1"/>
          <w:numId w:val="20"/>
        </w:numPr>
      </w:pPr>
      <w:r>
        <w:rPr>
          <w:sz w:val="20"/>
        </w:rPr>
        <w:t>SHs holding</w:t>
      </w:r>
      <w:r w:rsidR="00C37D24">
        <w:rPr>
          <w:sz w:val="20"/>
        </w:rPr>
        <w:t xml:space="preserve"> $2k or 1% of c</w:t>
      </w:r>
      <w:r>
        <w:rPr>
          <w:sz w:val="20"/>
        </w:rPr>
        <w:t>ompany’s securities for</w:t>
      </w:r>
      <w:r w:rsidR="00C37D24">
        <w:rPr>
          <w:sz w:val="20"/>
        </w:rPr>
        <w:t xml:space="preserve"> 1</w:t>
      </w:r>
      <w:r>
        <w:rPr>
          <w:sz w:val="20"/>
        </w:rPr>
        <w:t>+</w:t>
      </w:r>
      <w:r w:rsidR="00C37D24">
        <w:rPr>
          <w:sz w:val="20"/>
        </w:rPr>
        <w:t xml:space="preserve"> year may submit proposals – Rule 14a-8(b)</w:t>
      </w:r>
    </w:p>
    <w:p w14:paraId="65351601" w14:textId="0AB64661" w:rsidR="00D167F4" w:rsidRPr="00BD6FD2" w:rsidRDefault="00BD6FD2" w:rsidP="00D167F4">
      <w:pPr>
        <w:pStyle w:val="ListParagraph"/>
        <w:numPr>
          <w:ilvl w:val="1"/>
          <w:numId w:val="20"/>
        </w:numPr>
      </w:pPr>
      <w:r>
        <w:rPr>
          <w:sz w:val="20"/>
        </w:rPr>
        <w:t xml:space="preserve">Each SH may </w:t>
      </w:r>
      <w:r w:rsidR="00D167F4">
        <w:rPr>
          <w:sz w:val="20"/>
        </w:rPr>
        <w:t>submit one proposal per SH meeting, not to exceed a total of 500 words</w:t>
      </w:r>
      <w:r w:rsidR="00BF1A0D">
        <w:rPr>
          <w:sz w:val="20"/>
        </w:rPr>
        <w:t xml:space="preserve"> – 8</w:t>
      </w:r>
      <w:r>
        <w:rPr>
          <w:sz w:val="20"/>
        </w:rPr>
        <w:t>(c)-</w:t>
      </w:r>
      <w:r w:rsidR="00BF1A0D">
        <w:rPr>
          <w:sz w:val="20"/>
        </w:rPr>
        <w:t>(d)</w:t>
      </w:r>
    </w:p>
    <w:p w14:paraId="3095DEAC" w14:textId="53058A92" w:rsidR="00BD6FD2" w:rsidRPr="00BD6FD2" w:rsidRDefault="00BD6FD2" w:rsidP="00D167F4">
      <w:pPr>
        <w:pStyle w:val="ListParagraph"/>
        <w:numPr>
          <w:ilvl w:val="1"/>
          <w:numId w:val="20"/>
        </w:numPr>
      </w:pPr>
      <w:r>
        <w:rPr>
          <w:sz w:val="20"/>
        </w:rPr>
        <w:t>Burden is on company to prove it may exclude a SH proposal from proxy statement – 8(g)</w:t>
      </w:r>
    </w:p>
    <w:p w14:paraId="51938B67" w14:textId="100BD0F7" w:rsidR="009F24F2" w:rsidRPr="00552191" w:rsidRDefault="00BD6FD2" w:rsidP="009F24F2">
      <w:pPr>
        <w:pStyle w:val="ListParagraph"/>
        <w:numPr>
          <w:ilvl w:val="1"/>
          <w:numId w:val="20"/>
        </w:numPr>
      </w:pPr>
      <w:r>
        <w:rPr>
          <w:sz w:val="20"/>
        </w:rPr>
        <w:t>Company may include a statement giving reasons why SHs should vote against a proposal – 8(m)</w:t>
      </w:r>
    </w:p>
    <w:p w14:paraId="483DAFBC" w14:textId="77777777" w:rsidR="00B01759" w:rsidRDefault="00552191" w:rsidP="008C2850">
      <w:pPr>
        <w:pStyle w:val="ListParagraph"/>
        <w:numPr>
          <w:ilvl w:val="0"/>
          <w:numId w:val="20"/>
        </w:numPr>
        <w:rPr>
          <w:sz w:val="20"/>
        </w:rPr>
        <w:sectPr w:rsidR="00B01759" w:rsidSect="007B5520">
          <w:headerReference w:type="default" r:id="rId8"/>
          <w:footerReference w:type="default" r:id="rId9"/>
          <w:pgSz w:w="12240" w:h="15840"/>
          <w:pgMar w:top="1440" w:right="1440" w:bottom="1440" w:left="1440" w:header="720" w:footer="720" w:gutter="0"/>
          <w:cols w:space="720"/>
          <w:docGrid w:linePitch="360"/>
        </w:sectPr>
      </w:pPr>
      <w:r>
        <w:rPr>
          <w:sz w:val="20"/>
        </w:rPr>
        <w:t xml:space="preserve">There are multiple reasons a company may exclude a SH proposal from proxy statement – </w:t>
      </w:r>
      <w:r w:rsidR="00A60EBD">
        <w:rPr>
          <w:sz w:val="20"/>
        </w:rPr>
        <w:t>Rule14a-</w:t>
      </w:r>
      <w:r>
        <w:rPr>
          <w:sz w:val="20"/>
        </w:rPr>
        <w:t>8(</w:t>
      </w:r>
      <w:proofErr w:type="spellStart"/>
      <w:r>
        <w:rPr>
          <w:sz w:val="20"/>
        </w:rPr>
        <w:t>i</w:t>
      </w:r>
      <w:proofErr w:type="spellEnd"/>
      <w:r>
        <w:rPr>
          <w:sz w:val="20"/>
        </w:rPr>
        <w:t>):</w:t>
      </w:r>
    </w:p>
    <w:p w14:paraId="144DF013" w14:textId="236452C2" w:rsidR="00552191" w:rsidRPr="001D5BC2" w:rsidRDefault="00552191" w:rsidP="00B01759">
      <w:pPr>
        <w:pStyle w:val="ListParagraph"/>
        <w:numPr>
          <w:ilvl w:val="1"/>
          <w:numId w:val="20"/>
        </w:numPr>
      </w:pPr>
      <w:r w:rsidRPr="00552191">
        <w:rPr>
          <w:rFonts w:cs="Times New Roman"/>
          <w:sz w:val="20"/>
        </w:rPr>
        <w:t xml:space="preserve">(1) </w:t>
      </w:r>
      <w:r>
        <w:rPr>
          <w:rFonts w:cs="Times New Roman"/>
          <w:sz w:val="20"/>
        </w:rPr>
        <w:t>N</w:t>
      </w:r>
      <w:r w:rsidRPr="00552191">
        <w:rPr>
          <w:rFonts w:cs="Times New Roman"/>
          <w:sz w:val="20"/>
        </w:rPr>
        <w:t>ot a proper subject fo</w:t>
      </w:r>
      <w:r>
        <w:rPr>
          <w:rFonts w:cs="Times New Roman"/>
          <w:sz w:val="20"/>
        </w:rPr>
        <w:t>r action by SHs under state law</w:t>
      </w:r>
    </w:p>
    <w:p w14:paraId="5AC792F3" w14:textId="08F19419" w:rsidR="001D5BC2" w:rsidRPr="00D713C4" w:rsidRDefault="001D5BC2" w:rsidP="008C2850">
      <w:pPr>
        <w:pStyle w:val="ListParagraph"/>
        <w:numPr>
          <w:ilvl w:val="2"/>
          <w:numId w:val="20"/>
        </w:numPr>
      </w:pPr>
      <w:r>
        <w:rPr>
          <w:rFonts w:cs="Times New Roman"/>
          <w:sz w:val="20"/>
        </w:rPr>
        <w:t>Leads to many “</w:t>
      </w:r>
      <w:r w:rsidR="0026045A">
        <w:rPr>
          <w:rFonts w:cs="Times New Roman"/>
          <w:sz w:val="20"/>
        </w:rPr>
        <w:t>request</w:t>
      </w:r>
      <w:r>
        <w:rPr>
          <w:rFonts w:cs="Times New Roman"/>
          <w:sz w:val="20"/>
        </w:rPr>
        <w:t>” proposals – form a committee, examine impact, etc.</w:t>
      </w:r>
    </w:p>
    <w:p w14:paraId="1C3C2297" w14:textId="76D5C467" w:rsidR="00552191" w:rsidRPr="00625FA5" w:rsidRDefault="00552191" w:rsidP="008C2850">
      <w:pPr>
        <w:pStyle w:val="ListParagraph"/>
        <w:numPr>
          <w:ilvl w:val="1"/>
          <w:numId w:val="20"/>
        </w:numPr>
      </w:pPr>
      <w:r w:rsidRPr="00552191">
        <w:rPr>
          <w:rFonts w:cs="Times New Roman"/>
          <w:sz w:val="20"/>
        </w:rPr>
        <w:t xml:space="preserve">(2) </w:t>
      </w:r>
      <w:r>
        <w:rPr>
          <w:rFonts w:cs="Times New Roman"/>
          <w:sz w:val="20"/>
        </w:rPr>
        <w:t>Would cause a violation of law</w:t>
      </w:r>
    </w:p>
    <w:p w14:paraId="4A79460C" w14:textId="77777777" w:rsidR="00625FA5" w:rsidRPr="00625FA5" w:rsidRDefault="00625FA5" w:rsidP="00625FA5">
      <w:pPr>
        <w:pStyle w:val="ListParagraph"/>
        <w:numPr>
          <w:ilvl w:val="2"/>
          <w:numId w:val="20"/>
        </w:numPr>
      </w:pPr>
      <w:r>
        <w:rPr>
          <w:rFonts w:cs="Times New Roman"/>
          <w:sz w:val="20"/>
        </w:rPr>
        <w:lastRenderedPageBreak/>
        <w:t xml:space="preserve">Bylaws cannot proscribe actions that may limit </w:t>
      </w:r>
      <w:proofErr w:type="spellStart"/>
      <w:r>
        <w:rPr>
          <w:rFonts w:cs="Times New Roman"/>
          <w:sz w:val="20"/>
        </w:rPr>
        <w:t>BoD’s</w:t>
      </w:r>
      <w:proofErr w:type="spellEnd"/>
      <w:r>
        <w:rPr>
          <w:rFonts w:cs="Times New Roman"/>
          <w:sz w:val="20"/>
        </w:rPr>
        <w:t xml:space="preserve"> ability to act according to their fiduciary duties (DGCL §109 vs. §141) – </w:t>
      </w:r>
      <w:r>
        <w:rPr>
          <w:rFonts w:cs="Times New Roman"/>
          <w:i/>
          <w:sz w:val="20"/>
        </w:rPr>
        <w:t xml:space="preserve">CA, Inc. v. AFSCME </w:t>
      </w:r>
      <w:r>
        <w:rPr>
          <w:rFonts w:cs="Times New Roman"/>
          <w:sz w:val="20"/>
        </w:rPr>
        <w:t>(SHs may not propose mandatory reimbursement of expenses incurred in electing new directors to board)</w:t>
      </w:r>
    </w:p>
    <w:p w14:paraId="01DCA5DF" w14:textId="1564AC50" w:rsidR="00625FA5" w:rsidRPr="006428B0" w:rsidRDefault="00625FA5" w:rsidP="00625FA5">
      <w:pPr>
        <w:pStyle w:val="ListParagraph"/>
        <w:numPr>
          <w:ilvl w:val="3"/>
          <w:numId w:val="20"/>
        </w:numPr>
      </w:pPr>
      <w:r>
        <w:rPr>
          <w:rFonts w:cs="Times New Roman"/>
          <w:sz w:val="20"/>
        </w:rPr>
        <w:t>If there had been a fiduciary out, probably would have been permissible</w:t>
      </w:r>
    </w:p>
    <w:p w14:paraId="5233372D" w14:textId="025AAC05" w:rsidR="006428B0" w:rsidRPr="00552191" w:rsidRDefault="006428B0" w:rsidP="00625FA5">
      <w:pPr>
        <w:pStyle w:val="ListParagraph"/>
        <w:numPr>
          <w:ilvl w:val="3"/>
          <w:numId w:val="20"/>
        </w:numPr>
      </w:pPr>
      <w:r>
        <w:rPr>
          <w:rFonts w:cs="Times New Roman"/>
          <w:sz w:val="20"/>
        </w:rPr>
        <w:t>Fiduci</w:t>
      </w:r>
      <w:r w:rsidR="00A845AF">
        <w:rPr>
          <w:rFonts w:cs="Times New Roman"/>
          <w:sz w:val="20"/>
        </w:rPr>
        <w:t xml:space="preserve">ary out requirement is </w:t>
      </w:r>
      <w:r>
        <w:rPr>
          <w:rFonts w:cs="Times New Roman"/>
          <w:sz w:val="20"/>
        </w:rPr>
        <w:t xml:space="preserve">a </w:t>
      </w:r>
      <w:r w:rsidRPr="00A845AF">
        <w:rPr>
          <w:rFonts w:cs="Times New Roman"/>
          <w:sz w:val="20"/>
        </w:rPr>
        <w:t>bizarre</w:t>
      </w:r>
      <w:r>
        <w:rPr>
          <w:rFonts w:cs="Times New Roman"/>
          <w:i/>
          <w:sz w:val="20"/>
        </w:rPr>
        <w:t xml:space="preserve"> </w:t>
      </w:r>
      <w:r>
        <w:rPr>
          <w:rFonts w:cs="Times New Roman"/>
          <w:sz w:val="20"/>
        </w:rPr>
        <w:t>transplant from M&amp;A law</w:t>
      </w:r>
    </w:p>
    <w:p w14:paraId="5E1F2CB9" w14:textId="77777777" w:rsidR="00552191" w:rsidRPr="00552191" w:rsidRDefault="00552191" w:rsidP="008C2850">
      <w:pPr>
        <w:pStyle w:val="ListParagraph"/>
        <w:numPr>
          <w:ilvl w:val="1"/>
          <w:numId w:val="20"/>
        </w:numPr>
      </w:pPr>
      <w:r w:rsidRPr="00552191">
        <w:rPr>
          <w:rFonts w:cs="Times New Roman"/>
          <w:sz w:val="20"/>
        </w:rPr>
        <w:t>(3)</w:t>
      </w:r>
      <w:r>
        <w:rPr>
          <w:rFonts w:cs="Times New Roman"/>
          <w:sz w:val="20"/>
        </w:rPr>
        <w:t xml:space="preserve"> Proposal is a </w:t>
      </w:r>
      <w:r w:rsidRPr="00552191">
        <w:rPr>
          <w:rFonts w:cs="Times New Roman"/>
          <w:sz w:val="20"/>
        </w:rPr>
        <w:t>violati</w:t>
      </w:r>
      <w:r>
        <w:rPr>
          <w:rFonts w:cs="Times New Roman"/>
          <w:sz w:val="20"/>
        </w:rPr>
        <w:t>on of proxy rules (Rule 14a-9)</w:t>
      </w:r>
    </w:p>
    <w:p w14:paraId="515E56B2" w14:textId="35ABC201" w:rsidR="00552191" w:rsidRPr="00552191" w:rsidRDefault="00552191" w:rsidP="008C2850">
      <w:pPr>
        <w:pStyle w:val="ListParagraph"/>
        <w:numPr>
          <w:ilvl w:val="1"/>
          <w:numId w:val="20"/>
        </w:numPr>
      </w:pPr>
      <w:r w:rsidRPr="00552191">
        <w:rPr>
          <w:rFonts w:cs="Times New Roman"/>
          <w:sz w:val="20"/>
        </w:rPr>
        <w:t xml:space="preserve">(4) </w:t>
      </w:r>
      <w:r>
        <w:rPr>
          <w:rFonts w:cs="Times New Roman"/>
          <w:sz w:val="20"/>
        </w:rPr>
        <w:t>Relates to a p</w:t>
      </w:r>
      <w:r w:rsidRPr="00552191">
        <w:rPr>
          <w:rFonts w:cs="Times New Roman"/>
          <w:sz w:val="20"/>
        </w:rPr>
        <w:t>ersonal grievance or special interest</w:t>
      </w:r>
      <w:r>
        <w:rPr>
          <w:rFonts w:cs="Times New Roman"/>
          <w:sz w:val="20"/>
        </w:rPr>
        <w:t xml:space="preserve"> not shared by other SHs at large</w:t>
      </w:r>
    </w:p>
    <w:p w14:paraId="23A8F986" w14:textId="0B45DDB7" w:rsidR="00552191" w:rsidRPr="00FC5D45" w:rsidRDefault="00552191" w:rsidP="008C2850">
      <w:pPr>
        <w:pStyle w:val="ListParagraph"/>
        <w:numPr>
          <w:ilvl w:val="1"/>
          <w:numId w:val="20"/>
        </w:numPr>
      </w:pPr>
      <w:r w:rsidRPr="00552191">
        <w:rPr>
          <w:rFonts w:cs="Times New Roman"/>
          <w:sz w:val="20"/>
        </w:rPr>
        <w:t xml:space="preserve">(5) </w:t>
      </w:r>
      <w:r>
        <w:rPr>
          <w:rFonts w:cs="Times New Roman"/>
          <w:sz w:val="20"/>
        </w:rPr>
        <w:t>Relates to operations accounting for less than 5% of company’s total assets, net earnings and</w:t>
      </w:r>
      <w:r w:rsidRPr="00552191">
        <w:rPr>
          <w:rFonts w:cs="Times New Roman"/>
          <w:sz w:val="20"/>
        </w:rPr>
        <w:t xml:space="preserve"> gross sales, </w:t>
      </w:r>
      <w:r w:rsidRPr="00552191">
        <w:rPr>
          <w:rFonts w:cs="Times New Roman"/>
          <w:b/>
          <w:sz w:val="20"/>
        </w:rPr>
        <w:t>and</w:t>
      </w:r>
      <w:r w:rsidRPr="00552191">
        <w:rPr>
          <w:rFonts w:cs="Times New Roman"/>
          <w:sz w:val="20"/>
        </w:rPr>
        <w:t xml:space="preserve"> not otherwise significantly related</w:t>
      </w:r>
      <w:r>
        <w:rPr>
          <w:rFonts w:cs="Times New Roman"/>
          <w:sz w:val="20"/>
        </w:rPr>
        <w:t xml:space="preserve"> to business (relevance)</w:t>
      </w:r>
    </w:p>
    <w:p w14:paraId="12576E21" w14:textId="7D68A181" w:rsidR="00FC5D45" w:rsidRPr="00552191" w:rsidRDefault="00FC5D45" w:rsidP="00FC5D45">
      <w:pPr>
        <w:pStyle w:val="ListParagraph"/>
        <w:numPr>
          <w:ilvl w:val="2"/>
          <w:numId w:val="20"/>
        </w:numPr>
      </w:pPr>
      <w:r>
        <w:rPr>
          <w:rFonts w:cs="Times New Roman"/>
          <w:sz w:val="20"/>
        </w:rPr>
        <w:t xml:space="preserve">Otherwise significant can include social/ethical considerations – </w:t>
      </w:r>
      <w:proofErr w:type="spellStart"/>
      <w:r>
        <w:rPr>
          <w:rFonts w:cs="Times New Roman"/>
          <w:i/>
          <w:sz w:val="20"/>
        </w:rPr>
        <w:t>Lovenheim</w:t>
      </w:r>
      <w:proofErr w:type="spellEnd"/>
      <w:r>
        <w:rPr>
          <w:rFonts w:cs="Times New Roman"/>
          <w:i/>
          <w:sz w:val="20"/>
        </w:rPr>
        <w:t xml:space="preserve"> v. Iroquois Brands </w:t>
      </w:r>
      <w:r>
        <w:rPr>
          <w:rFonts w:cs="Times New Roman"/>
          <w:sz w:val="20"/>
        </w:rPr>
        <w:t>(animal cruelty proposal may be included despite lack of economic significance)</w:t>
      </w:r>
    </w:p>
    <w:p w14:paraId="16FE7E49" w14:textId="77777777" w:rsidR="00552191" w:rsidRPr="00552191" w:rsidRDefault="00552191" w:rsidP="008C2850">
      <w:pPr>
        <w:pStyle w:val="ListParagraph"/>
        <w:numPr>
          <w:ilvl w:val="1"/>
          <w:numId w:val="20"/>
        </w:numPr>
      </w:pPr>
      <w:r w:rsidRPr="00552191">
        <w:rPr>
          <w:rFonts w:cs="Times New Roman"/>
          <w:sz w:val="20"/>
        </w:rPr>
        <w:t xml:space="preserve">(6) </w:t>
      </w:r>
      <w:r>
        <w:rPr>
          <w:rFonts w:cs="Times New Roman"/>
          <w:sz w:val="20"/>
        </w:rPr>
        <w:t>Company lacks power/authority to implement proposal</w:t>
      </w:r>
    </w:p>
    <w:p w14:paraId="57179739" w14:textId="4A43AD98" w:rsidR="00552191" w:rsidRPr="00552191" w:rsidRDefault="00552191" w:rsidP="008C2850">
      <w:pPr>
        <w:pStyle w:val="ListParagraph"/>
        <w:numPr>
          <w:ilvl w:val="1"/>
          <w:numId w:val="20"/>
        </w:numPr>
      </w:pPr>
      <w:r w:rsidRPr="00552191">
        <w:rPr>
          <w:rFonts w:cs="Times New Roman"/>
          <w:sz w:val="20"/>
        </w:rPr>
        <w:t xml:space="preserve">(7) </w:t>
      </w:r>
      <w:r>
        <w:rPr>
          <w:rFonts w:cs="Times New Roman"/>
          <w:sz w:val="20"/>
        </w:rPr>
        <w:t xml:space="preserve">Proposal deals with company’s ordinary operations </w:t>
      </w:r>
      <w:r w:rsidR="00FC5D45">
        <w:rPr>
          <w:rFonts w:cs="Times New Roman"/>
          <w:sz w:val="20"/>
        </w:rPr>
        <w:t>(management functions)</w:t>
      </w:r>
    </w:p>
    <w:p w14:paraId="71AA383F" w14:textId="064B9472" w:rsidR="00552191" w:rsidRPr="003C06F1" w:rsidRDefault="00552191" w:rsidP="008C2850">
      <w:pPr>
        <w:pStyle w:val="ListParagraph"/>
        <w:numPr>
          <w:ilvl w:val="1"/>
          <w:numId w:val="20"/>
        </w:numPr>
      </w:pPr>
      <w:r>
        <w:rPr>
          <w:rFonts w:cs="Times New Roman"/>
          <w:sz w:val="20"/>
        </w:rPr>
        <w:t>(8) Would disqualify a nominee from election, remove a director, question competence of one or more nominees or directors, include a specific candidate for election to BoD or otherwise effect outcome of election of directors (director elections)</w:t>
      </w:r>
    </w:p>
    <w:p w14:paraId="1C8A7CB5" w14:textId="066ACE21" w:rsidR="003C06F1" w:rsidRPr="003C06F1" w:rsidRDefault="003C06F1" w:rsidP="003C06F1">
      <w:pPr>
        <w:pStyle w:val="ListParagraph"/>
        <w:numPr>
          <w:ilvl w:val="2"/>
          <w:numId w:val="20"/>
        </w:numPr>
      </w:pPr>
      <w:r>
        <w:rPr>
          <w:rFonts w:cs="Times New Roman"/>
          <w:sz w:val="20"/>
        </w:rPr>
        <w:t xml:space="preserve">SH proposal to change </w:t>
      </w:r>
      <w:r>
        <w:rPr>
          <w:rFonts w:cs="Times New Roman"/>
          <w:i/>
          <w:sz w:val="20"/>
        </w:rPr>
        <w:t xml:space="preserve">process </w:t>
      </w:r>
      <w:r w:rsidR="00927EE0">
        <w:rPr>
          <w:rFonts w:cs="Times New Roman"/>
          <w:sz w:val="20"/>
        </w:rPr>
        <w:t>of BoD election</w:t>
      </w:r>
      <w:r>
        <w:rPr>
          <w:rFonts w:cs="Times New Roman"/>
          <w:sz w:val="20"/>
        </w:rPr>
        <w:t xml:space="preserve"> does </w:t>
      </w:r>
      <w:r>
        <w:rPr>
          <w:rFonts w:cs="Times New Roman"/>
          <w:i/>
          <w:sz w:val="20"/>
        </w:rPr>
        <w:t xml:space="preserve">not </w:t>
      </w:r>
      <w:r w:rsidR="00927EE0">
        <w:rPr>
          <w:rFonts w:cs="Times New Roman"/>
          <w:sz w:val="20"/>
        </w:rPr>
        <w:t>violate the</w:t>
      </w:r>
      <w:r>
        <w:rPr>
          <w:rFonts w:cs="Times New Roman"/>
          <w:sz w:val="20"/>
        </w:rPr>
        <w:t xml:space="preserve"> rule – </w:t>
      </w:r>
      <w:r>
        <w:rPr>
          <w:rFonts w:cs="Times New Roman"/>
          <w:i/>
          <w:sz w:val="20"/>
        </w:rPr>
        <w:t>AFSCME v. AIG</w:t>
      </w:r>
    </w:p>
    <w:p w14:paraId="4433D43D" w14:textId="14917F87" w:rsidR="003C06F1" w:rsidRPr="00051C2A" w:rsidRDefault="004E3448" w:rsidP="003C06F1">
      <w:pPr>
        <w:pStyle w:val="ListParagraph"/>
        <w:numPr>
          <w:ilvl w:val="3"/>
          <w:numId w:val="20"/>
        </w:numPr>
      </w:pPr>
      <w:r>
        <w:rPr>
          <w:rFonts w:cs="Times New Roman"/>
          <w:sz w:val="20"/>
        </w:rPr>
        <w:t xml:space="preserve">SHs who want proxy access </w:t>
      </w:r>
      <w:r w:rsidR="003C06F1">
        <w:rPr>
          <w:rFonts w:cs="Times New Roman"/>
          <w:sz w:val="20"/>
        </w:rPr>
        <w:t>can put forward proposals under Rul</w:t>
      </w:r>
      <w:r>
        <w:rPr>
          <w:rFonts w:cs="Times New Roman"/>
          <w:sz w:val="20"/>
        </w:rPr>
        <w:t>e (8)(</w:t>
      </w:r>
      <w:proofErr w:type="spellStart"/>
      <w:r>
        <w:rPr>
          <w:rFonts w:cs="Times New Roman"/>
          <w:sz w:val="20"/>
        </w:rPr>
        <w:t>i</w:t>
      </w:r>
      <w:proofErr w:type="spellEnd"/>
      <w:r>
        <w:rPr>
          <w:rFonts w:cs="Times New Roman"/>
          <w:sz w:val="20"/>
        </w:rPr>
        <w:t xml:space="preserve">)(8) to amend </w:t>
      </w:r>
      <w:r w:rsidR="003C06F1">
        <w:rPr>
          <w:rFonts w:cs="Times New Roman"/>
          <w:sz w:val="20"/>
        </w:rPr>
        <w:t>bylaws</w:t>
      </w:r>
      <w:r>
        <w:rPr>
          <w:rFonts w:cs="Times New Roman"/>
          <w:sz w:val="20"/>
        </w:rPr>
        <w:t>,</w:t>
      </w:r>
      <w:r w:rsidR="003C06F1">
        <w:rPr>
          <w:rFonts w:cs="Times New Roman"/>
          <w:sz w:val="20"/>
        </w:rPr>
        <w:t xml:space="preserve"> permit</w:t>
      </w:r>
      <w:r>
        <w:rPr>
          <w:rFonts w:cs="Times New Roman"/>
          <w:sz w:val="20"/>
        </w:rPr>
        <w:t>ting</w:t>
      </w:r>
      <w:r w:rsidR="003C06F1">
        <w:rPr>
          <w:rFonts w:cs="Times New Roman"/>
          <w:sz w:val="20"/>
        </w:rPr>
        <w:t xml:space="preserve"> SH</w:t>
      </w:r>
      <w:r>
        <w:rPr>
          <w:rFonts w:cs="Times New Roman"/>
          <w:sz w:val="20"/>
        </w:rPr>
        <w:t>’s nominees inclusion</w:t>
      </w:r>
      <w:r w:rsidR="003C06F1">
        <w:rPr>
          <w:rFonts w:cs="Times New Roman"/>
          <w:sz w:val="20"/>
        </w:rPr>
        <w:t xml:space="preserve"> on corporation’</w:t>
      </w:r>
      <w:r w:rsidR="00AF0835">
        <w:rPr>
          <w:rFonts w:cs="Times New Roman"/>
          <w:sz w:val="20"/>
        </w:rPr>
        <w:t>s proxy card</w:t>
      </w:r>
    </w:p>
    <w:p w14:paraId="48293F69" w14:textId="305BB08A" w:rsidR="00051C2A" w:rsidRPr="00552191" w:rsidRDefault="004E3448" w:rsidP="003C06F1">
      <w:pPr>
        <w:pStyle w:val="ListParagraph"/>
        <w:numPr>
          <w:ilvl w:val="3"/>
          <w:numId w:val="20"/>
        </w:numPr>
      </w:pPr>
      <w:r>
        <w:rPr>
          <w:rFonts w:cs="Times New Roman"/>
          <w:sz w:val="20"/>
        </w:rPr>
        <w:t>Cf. DGCL §109(a), giving</w:t>
      </w:r>
      <w:r w:rsidR="00051C2A">
        <w:rPr>
          <w:rFonts w:cs="Times New Roman"/>
          <w:sz w:val="20"/>
        </w:rPr>
        <w:t xml:space="preserve"> SHs power to amend/repeal bylaws</w:t>
      </w:r>
    </w:p>
    <w:p w14:paraId="0F39FDC7" w14:textId="1301FE0F" w:rsidR="00552191" w:rsidRPr="00552191" w:rsidRDefault="00552191" w:rsidP="008C2850">
      <w:pPr>
        <w:pStyle w:val="ListParagraph"/>
        <w:numPr>
          <w:ilvl w:val="1"/>
          <w:numId w:val="20"/>
        </w:numPr>
      </w:pPr>
      <w:r>
        <w:rPr>
          <w:rFonts w:cs="Times New Roman"/>
          <w:sz w:val="20"/>
        </w:rPr>
        <w:t>(9) Conflicts with the corporation’s proposal to be submitted at the same meeting</w:t>
      </w:r>
    </w:p>
    <w:p w14:paraId="0C4BB890" w14:textId="054D8CFF" w:rsidR="00552191" w:rsidRPr="00552191" w:rsidRDefault="00552191" w:rsidP="008C2850">
      <w:pPr>
        <w:pStyle w:val="ListParagraph"/>
        <w:numPr>
          <w:ilvl w:val="1"/>
          <w:numId w:val="20"/>
        </w:numPr>
      </w:pPr>
      <w:r>
        <w:rPr>
          <w:rFonts w:cs="Times New Roman"/>
          <w:sz w:val="20"/>
        </w:rPr>
        <w:t>(10) Already substantially implemented</w:t>
      </w:r>
    </w:p>
    <w:p w14:paraId="180C80BC" w14:textId="1FB66DD5" w:rsidR="00552191" w:rsidRPr="00552191" w:rsidRDefault="00552191" w:rsidP="008C2850">
      <w:pPr>
        <w:pStyle w:val="ListParagraph"/>
        <w:numPr>
          <w:ilvl w:val="1"/>
          <w:numId w:val="20"/>
        </w:numPr>
      </w:pPr>
      <w:r>
        <w:rPr>
          <w:rFonts w:cs="Times New Roman"/>
          <w:sz w:val="20"/>
        </w:rPr>
        <w:t>(11) Duplication of a proposal to be included at the same meeting</w:t>
      </w:r>
    </w:p>
    <w:p w14:paraId="687DCEF4" w14:textId="74D74666" w:rsidR="00552191" w:rsidRPr="00552191" w:rsidRDefault="00552191" w:rsidP="008C2850">
      <w:pPr>
        <w:pStyle w:val="ListParagraph"/>
        <w:numPr>
          <w:ilvl w:val="1"/>
          <w:numId w:val="20"/>
        </w:numPr>
      </w:pPr>
      <w:r w:rsidRPr="00552191">
        <w:rPr>
          <w:rFonts w:cs="Times New Roman"/>
          <w:sz w:val="20"/>
        </w:rPr>
        <w:t>(12) Resub</w:t>
      </w:r>
      <w:r>
        <w:rPr>
          <w:rFonts w:cs="Times New Roman"/>
          <w:sz w:val="20"/>
        </w:rPr>
        <w:t xml:space="preserve">missions of proposals from past 5 years if proposal </w:t>
      </w:r>
      <w:r w:rsidR="003632E2">
        <w:rPr>
          <w:rFonts w:cs="Times New Roman"/>
          <w:sz w:val="20"/>
        </w:rPr>
        <w:t>was voted on within</w:t>
      </w:r>
      <w:r w:rsidR="00B562BD">
        <w:rPr>
          <w:rFonts w:cs="Times New Roman"/>
          <w:sz w:val="20"/>
        </w:rPr>
        <w:t xml:space="preserve"> 3 years and</w:t>
      </w:r>
      <w:r w:rsidR="003632E2">
        <w:rPr>
          <w:rFonts w:cs="Times New Roman"/>
          <w:sz w:val="20"/>
        </w:rPr>
        <w:t>:</w:t>
      </w:r>
    </w:p>
    <w:p w14:paraId="2E89B7D9" w14:textId="355A7893" w:rsidR="00552191" w:rsidRPr="00552191" w:rsidRDefault="003632E2" w:rsidP="008C2850">
      <w:pPr>
        <w:pStyle w:val="ListParagraph"/>
        <w:numPr>
          <w:ilvl w:val="2"/>
          <w:numId w:val="20"/>
        </w:numPr>
      </w:pPr>
      <w:r>
        <w:rPr>
          <w:rFonts w:cs="Times New Roman"/>
          <w:sz w:val="20"/>
        </w:rPr>
        <w:t xml:space="preserve">received </w:t>
      </w:r>
      <w:r w:rsidR="00552191">
        <w:rPr>
          <w:rFonts w:cs="Times New Roman"/>
          <w:sz w:val="20"/>
        </w:rPr>
        <w:t>less than 3% of vote if proposed once within past 5 years</w:t>
      </w:r>
    </w:p>
    <w:p w14:paraId="0FD2D9E6" w14:textId="210686EB" w:rsidR="00552191" w:rsidRPr="00552191" w:rsidRDefault="003632E2" w:rsidP="008C2850">
      <w:pPr>
        <w:pStyle w:val="ListParagraph"/>
        <w:numPr>
          <w:ilvl w:val="2"/>
          <w:numId w:val="20"/>
        </w:numPr>
      </w:pPr>
      <w:r>
        <w:rPr>
          <w:rFonts w:cs="Times New Roman"/>
          <w:sz w:val="20"/>
        </w:rPr>
        <w:t xml:space="preserve">received </w:t>
      </w:r>
      <w:r w:rsidR="00552191">
        <w:rPr>
          <w:rFonts w:cs="Times New Roman"/>
          <w:sz w:val="20"/>
        </w:rPr>
        <w:t>less than 6% of vote if proposed twice within past 5 years</w:t>
      </w:r>
    </w:p>
    <w:p w14:paraId="43EAB848" w14:textId="59502594" w:rsidR="00552191" w:rsidRPr="00552191" w:rsidRDefault="003632E2" w:rsidP="008C2850">
      <w:pPr>
        <w:pStyle w:val="ListParagraph"/>
        <w:numPr>
          <w:ilvl w:val="2"/>
          <w:numId w:val="20"/>
        </w:numPr>
      </w:pPr>
      <w:r>
        <w:rPr>
          <w:rFonts w:cs="Times New Roman"/>
          <w:sz w:val="20"/>
        </w:rPr>
        <w:t>received l</w:t>
      </w:r>
      <w:r w:rsidR="00552191">
        <w:rPr>
          <w:rFonts w:cs="Times New Roman"/>
          <w:sz w:val="20"/>
        </w:rPr>
        <w:t>ess than 10% of vote if proposed three or more times within past 5 years</w:t>
      </w:r>
    </w:p>
    <w:p w14:paraId="68580BFB" w14:textId="04C4A5E0" w:rsidR="00552191" w:rsidRPr="009F24F2" w:rsidRDefault="00552191" w:rsidP="008C2850">
      <w:pPr>
        <w:pStyle w:val="ListParagraph"/>
        <w:numPr>
          <w:ilvl w:val="1"/>
          <w:numId w:val="20"/>
        </w:numPr>
      </w:pPr>
      <w:r w:rsidRPr="00552191">
        <w:rPr>
          <w:rFonts w:cs="Times New Roman"/>
          <w:sz w:val="20"/>
        </w:rPr>
        <w:t>(1</w:t>
      </w:r>
      <w:r>
        <w:rPr>
          <w:rFonts w:cs="Times New Roman"/>
          <w:sz w:val="20"/>
        </w:rPr>
        <w:t xml:space="preserve">3) </w:t>
      </w:r>
      <w:r w:rsidR="00C86884">
        <w:rPr>
          <w:rFonts w:cs="Times New Roman"/>
          <w:sz w:val="20"/>
        </w:rPr>
        <w:t>Proposal relates to s</w:t>
      </w:r>
      <w:r>
        <w:rPr>
          <w:rFonts w:cs="Times New Roman"/>
          <w:sz w:val="20"/>
        </w:rPr>
        <w:t>pecific amount of dividends</w:t>
      </w:r>
    </w:p>
    <w:p w14:paraId="07DEBF79" w14:textId="257E2585" w:rsidR="009F24F2" w:rsidRPr="009F24F2" w:rsidRDefault="009F24F2" w:rsidP="009F24F2">
      <w:pPr>
        <w:pStyle w:val="ListParagraph"/>
        <w:numPr>
          <w:ilvl w:val="0"/>
          <w:numId w:val="20"/>
        </w:numPr>
      </w:pPr>
      <w:r>
        <w:rPr>
          <w:rFonts w:cs="Times New Roman"/>
          <w:sz w:val="20"/>
        </w:rPr>
        <w:t>SEC acts as referee in SH proposal exclusion cases</w:t>
      </w:r>
    </w:p>
    <w:p w14:paraId="73722E4A" w14:textId="03E269E8" w:rsidR="009F24F2" w:rsidRPr="00734DFA" w:rsidRDefault="009F24F2" w:rsidP="009F24F2">
      <w:pPr>
        <w:pStyle w:val="ListParagraph"/>
        <w:numPr>
          <w:ilvl w:val="1"/>
          <w:numId w:val="20"/>
        </w:numPr>
      </w:pPr>
      <w:r>
        <w:rPr>
          <w:rFonts w:cs="Times New Roman"/>
          <w:sz w:val="20"/>
        </w:rPr>
        <w:t>Company must file notice of intent to exclude</w:t>
      </w:r>
      <w:r w:rsidR="000058EF">
        <w:rPr>
          <w:rFonts w:cs="Times New Roman"/>
          <w:sz w:val="20"/>
        </w:rPr>
        <w:t>.</w:t>
      </w:r>
      <w:r>
        <w:rPr>
          <w:rFonts w:cs="Times New Roman"/>
          <w:sz w:val="20"/>
        </w:rPr>
        <w:t xml:space="preserve"> SEC can </w:t>
      </w:r>
      <w:r w:rsidR="000058EF">
        <w:rPr>
          <w:rFonts w:cs="Times New Roman"/>
          <w:sz w:val="20"/>
        </w:rPr>
        <w:t xml:space="preserve">then </w:t>
      </w:r>
      <w:r>
        <w:rPr>
          <w:rFonts w:cs="Times New Roman"/>
          <w:sz w:val="20"/>
        </w:rPr>
        <w:t>file “no-action letter,” recommend inclusion (or face possibility of enforcement action), or recommend revision to make proposal includable</w:t>
      </w:r>
      <w:r w:rsidR="00EA0F4E">
        <w:rPr>
          <w:rFonts w:cs="Times New Roman"/>
          <w:sz w:val="20"/>
        </w:rPr>
        <w:t>. Loser may appeal to Comm</w:t>
      </w:r>
      <w:r w:rsidR="000E13E8">
        <w:rPr>
          <w:rFonts w:cs="Times New Roman"/>
          <w:sz w:val="20"/>
        </w:rPr>
        <w:t>issioners and/or</w:t>
      </w:r>
      <w:r w:rsidR="00EA0F4E">
        <w:rPr>
          <w:rFonts w:cs="Times New Roman"/>
          <w:sz w:val="20"/>
        </w:rPr>
        <w:t xml:space="preserve"> district court (see </w:t>
      </w:r>
      <w:proofErr w:type="spellStart"/>
      <w:r w:rsidR="00EA0F4E">
        <w:rPr>
          <w:rFonts w:cs="Times New Roman"/>
          <w:i/>
          <w:sz w:val="20"/>
        </w:rPr>
        <w:t>Lovenheim</w:t>
      </w:r>
      <w:proofErr w:type="spellEnd"/>
      <w:r w:rsidR="00EA0F4E">
        <w:rPr>
          <w:rFonts w:cs="Times New Roman"/>
          <w:sz w:val="20"/>
        </w:rPr>
        <w:t>)</w:t>
      </w:r>
    </w:p>
    <w:p w14:paraId="200593C5" w14:textId="79ECFAF7" w:rsidR="00734DFA" w:rsidRPr="00190B44" w:rsidRDefault="00B01759" w:rsidP="00734DFA">
      <w:pPr>
        <w:pStyle w:val="ListParagraph"/>
        <w:numPr>
          <w:ilvl w:val="0"/>
          <w:numId w:val="20"/>
        </w:numPr>
      </w:pPr>
      <w:r>
        <w:rPr>
          <w:rFonts w:cs="Times New Roman"/>
          <w:sz w:val="20"/>
        </w:rPr>
        <w:t xml:space="preserve">Demand for </w:t>
      </w:r>
      <w:r w:rsidR="001A226A">
        <w:rPr>
          <w:rFonts w:cs="Times New Roman"/>
          <w:sz w:val="20"/>
        </w:rPr>
        <w:t>SH list must be for purposes relating to the business of the company</w:t>
      </w:r>
      <w:r w:rsidR="001A226A">
        <w:rPr>
          <w:rFonts w:cs="Times New Roman"/>
          <w:i/>
          <w:sz w:val="20"/>
        </w:rPr>
        <w:t xml:space="preserve"> </w:t>
      </w:r>
      <w:r>
        <w:rPr>
          <w:rFonts w:cs="Times New Roman"/>
          <w:sz w:val="20"/>
        </w:rPr>
        <w:t xml:space="preserve">and </w:t>
      </w:r>
      <w:r w:rsidR="001A226A">
        <w:rPr>
          <w:rFonts w:cs="Times New Roman"/>
          <w:sz w:val="20"/>
        </w:rPr>
        <w:t xml:space="preserve">not inimical to corporation or SHs– </w:t>
      </w:r>
      <w:r w:rsidR="001A226A">
        <w:rPr>
          <w:rFonts w:cs="Times New Roman"/>
          <w:i/>
          <w:sz w:val="20"/>
        </w:rPr>
        <w:t>Crane v. Anaconda</w:t>
      </w:r>
      <w:r w:rsidR="00626C86">
        <w:rPr>
          <w:rFonts w:cs="Times New Roman"/>
          <w:i/>
          <w:sz w:val="20"/>
        </w:rPr>
        <w:t xml:space="preserve"> </w:t>
      </w:r>
      <w:r w:rsidR="00626C86">
        <w:rPr>
          <w:rFonts w:cs="Times New Roman"/>
          <w:sz w:val="20"/>
        </w:rPr>
        <w:t>(New York)</w:t>
      </w:r>
      <w:r w:rsidR="00B85735">
        <w:rPr>
          <w:rFonts w:cs="Times New Roman"/>
          <w:sz w:val="20"/>
        </w:rPr>
        <w:t xml:space="preserve"> (telling SHs about tend</w:t>
      </w:r>
      <w:r>
        <w:rPr>
          <w:rFonts w:cs="Times New Roman"/>
          <w:sz w:val="20"/>
        </w:rPr>
        <w:t>er offer was valid purpose)</w:t>
      </w:r>
    </w:p>
    <w:p w14:paraId="16D55E6A" w14:textId="2B819196" w:rsidR="00190B44" w:rsidRPr="001861D6" w:rsidRDefault="00190B44" w:rsidP="00190B44">
      <w:pPr>
        <w:pStyle w:val="ListParagraph"/>
        <w:numPr>
          <w:ilvl w:val="1"/>
          <w:numId w:val="20"/>
        </w:numPr>
      </w:pPr>
      <w:r>
        <w:rPr>
          <w:rFonts w:cs="Times New Roman"/>
          <w:sz w:val="20"/>
        </w:rPr>
        <w:t>Rule 14a-7 is insufficient, because corporations can elect to simply mail opponent’s proxy materials to SHs directly, rather than give up the list</w:t>
      </w:r>
    </w:p>
    <w:p w14:paraId="24BB0215" w14:textId="72007DA6" w:rsidR="001861D6" w:rsidRPr="00F209F9" w:rsidRDefault="000F3EEB" w:rsidP="00190B44">
      <w:pPr>
        <w:pStyle w:val="ListParagraph"/>
        <w:numPr>
          <w:ilvl w:val="1"/>
          <w:numId w:val="20"/>
        </w:numPr>
      </w:pPr>
      <w:r>
        <w:rPr>
          <w:rFonts w:cs="Times New Roman"/>
          <w:sz w:val="20"/>
        </w:rPr>
        <w:t xml:space="preserve">New York can force foreign corporations to supply SH list to NY residents, even if SHs are only requesting list on behalf of another interested party – </w:t>
      </w:r>
      <w:r>
        <w:rPr>
          <w:rFonts w:cs="Times New Roman"/>
          <w:i/>
          <w:sz w:val="20"/>
        </w:rPr>
        <w:t xml:space="preserve">Sadler v. NCR </w:t>
      </w:r>
      <w:r>
        <w:rPr>
          <w:rFonts w:cs="Times New Roman"/>
          <w:sz w:val="20"/>
        </w:rPr>
        <w:t>(SHs arrangement to give list to AT</w:t>
      </w:r>
      <w:r w:rsidR="003362E1">
        <w:rPr>
          <w:rFonts w:cs="Times New Roman"/>
          <w:sz w:val="20"/>
        </w:rPr>
        <w:t>&amp;T, who was unable</w:t>
      </w:r>
      <w:r>
        <w:rPr>
          <w:rFonts w:cs="Times New Roman"/>
          <w:sz w:val="20"/>
        </w:rPr>
        <w:t xml:space="preserve"> to demand SH list, did not make demand void)</w:t>
      </w:r>
    </w:p>
    <w:p w14:paraId="29FBD3B6" w14:textId="29D2BA7F" w:rsidR="00F209F9" w:rsidRPr="00626C86" w:rsidRDefault="00F209F9" w:rsidP="00F209F9">
      <w:pPr>
        <w:pStyle w:val="ListParagraph"/>
        <w:numPr>
          <w:ilvl w:val="2"/>
          <w:numId w:val="20"/>
        </w:numPr>
      </w:pPr>
      <w:r>
        <w:rPr>
          <w:rFonts w:cs="Times New Roman"/>
          <w:sz w:val="20"/>
        </w:rPr>
        <w:t>New York amended §1315 to clarify that corporation is not required to provide SH lists that do not currently exist to demanding SHs</w:t>
      </w:r>
    </w:p>
    <w:p w14:paraId="4174AF19" w14:textId="25715759" w:rsidR="00626C86" w:rsidRPr="00E04FB8" w:rsidRDefault="008B6A7A" w:rsidP="00190B44">
      <w:pPr>
        <w:pStyle w:val="ListParagraph"/>
        <w:numPr>
          <w:ilvl w:val="1"/>
          <w:numId w:val="20"/>
        </w:numPr>
      </w:pPr>
      <w:r>
        <w:rPr>
          <w:sz w:val="20"/>
        </w:rPr>
        <w:t>DGCL §220 allows SHs inspection rights of SH lists “for any proper purpose” – whether a person seeking inspection is entitled to it is determined exclusively by the Court of Chancery</w:t>
      </w:r>
    </w:p>
    <w:p w14:paraId="0830C166" w14:textId="3E1D4C44" w:rsidR="00E04FB8" w:rsidRPr="00620BE2" w:rsidRDefault="00E04FB8" w:rsidP="00E04FB8">
      <w:pPr>
        <w:pStyle w:val="ListParagraph"/>
        <w:numPr>
          <w:ilvl w:val="2"/>
          <w:numId w:val="20"/>
        </w:numPr>
      </w:pPr>
      <w:r>
        <w:rPr>
          <w:sz w:val="20"/>
        </w:rPr>
        <w:t>“Proper purpose”</w:t>
      </w:r>
      <w:r w:rsidR="003F6ED3">
        <w:rPr>
          <w:sz w:val="20"/>
        </w:rPr>
        <w:t xml:space="preserve"> requires </w:t>
      </w:r>
      <w:r>
        <w:rPr>
          <w:sz w:val="20"/>
        </w:rPr>
        <w:t xml:space="preserve">concern with investment return </w:t>
      </w:r>
      <w:r w:rsidR="003F6ED3">
        <w:rPr>
          <w:sz w:val="20"/>
        </w:rPr>
        <w:t xml:space="preserve">(economic interest) </w:t>
      </w:r>
      <w:r>
        <w:rPr>
          <w:sz w:val="20"/>
        </w:rPr>
        <w:t xml:space="preserve">– </w:t>
      </w:r>
      <w:r>
        <w:rPr>
          <w:i/>
          <w:sz w:val="20"/>
        </w:rPr>
        <w:t>Pillsbury v. Honeywell</w:t>
      </w:r>
    </w:p>
    <w:p w14:paraId="044B22FB" w14:textId="1C158BB0" w:rsidR="00620BE2" w:rsidRPr="00797768" w:rsidRDefault="00620BE2" w:rsidP="00620BE2">
      <w:pPr>
        <w:pStyle w:val="ListParagraph"/>
        <w:numPr>
          <w:ilvl w:val="3"/>
          <w:numId w:val="20"/>
        </w:numPr>
      </w:pPr>
      <w:r>
        <w:rPr>
          <w:sz w:val="20"/>
        </w:rPr>
        <w:t>Because the power to inspect may be the power to destroy, only those with a bona fide interest in the corporation may enjoy that power</w:t>
      </w:r>
    </w:p>
    <w:p w14:paraId="019C8D52" w14:textId="76E757B0" w:rsidR="00797768" w:rsidRPr="009D001B" w:rsidRDefault="00797768" w:rsidP="00797768">
      <w:pPr>
        <w:pStyle w:val="ListParagraph"/>
        <w:numPr>
          <w:ilvl w:val="2"/>
          <w:numId w:val="20"/>
        </w:numPr>
      </w:pPr>
      <w:r>
        <w:rPr>
          <w:sz w:val="20"/>
        </w:rPr>
        <w:lastRenderedPageBreak/>
        <w:t>§220(c) shifts burden based on requested documents – if SH list, corporation must prove inspection is for improper purpose. If any other “book or record”, SH must demonstrate proper purpose</w:t>
      </w:r>
    </w:p>
    <w:p w14:paraId="00DA93B5" w14:textId="6567333D" w:rsidR="001861D6" w:rsidRPr="00EE3065" w:rsidRDefault="009D001B" w:rsidP="001861D6">
      <w:pPr>
        <w:pStyle w:val="ListParagraph"/>
        <w:numPr>
          <w:ilvl w:val="3"/>
          <w:numId w:val="20"/>
        </w:numPr>
      </w:pPr>
      <w:r>
        <w:rPr>
          <w:sz w:val="20"/>
        </w:rPr>
        <w:t>When SH requests records, demand must be made with “rifled precision</w:t>
      </w:r>
      <w:r w:rsidR="001861D6">
        <w:rPr>
          <w:sz w:val="20"/>
        </w:rPr>
        <w:t>”</w:t>
      </w:r>
    </w:p>
    <w:p w14:paraId="432596C2" w14:textId="0230CF1F" w:rsidR="00EE3065" w:rsidRPr="00DE3D0B" w:rsidRDefault="007E1E39" w:rsidP="00EE3065">
      <w:pPr>
        <w:pStyle w:val="ListParagraph"/>
        <w:numPr>
          <w:ilvl w:val="0"/>
          <w:numId w:val="20"/>
        </w:numPr>
      </w:pPr>
      <w:r>
        <w:rPr>
          <w:sz w:val="20"/>
        </w:rPr>
        <w:t xml:space="preserve">Corporations have broad power to </w:t>
      </w:r>
      <w:r w:rsidR="00400009">
        <w:rPr>
          <w:sz w:val="20"/>
        </w:rPr>
        <w:t xml:space="preserve">alter economic and/or voting rights associated with stock – </w:t>
      </w:r>
      <w:r w:rsidR="00400009">
        <w:rPr>
          <w:i/>
          <w:sz w:val="20"/>
        </w:rPr>
        <w:t>Stroh v. Blackhawk Holding</w:t>
      </w:r>
      <w:r w:rsidR="00400009">
        <w:rPr>
          <w:sz w:val="20"/>
        </w:rPr>
        <w:t xml:space="preserve"> </w:t>
      </w:r>
      <w:r w:rsidR="00B053F8">
        <w:rPr>
          <w:sz w:val="20"/>
        </w:rPr>
        <w:t xml:space="preserve">(shares with no economic rights guaranteed control to corporate founders are permissible) </w:t>
      </w:r>
      <w:r w:rsidR="00400009">
        <w:rPr>
          <w:sz w:val="20"/>
        </w:rPr>
        <w:t xml:space="preserve">(see also DGCL </w:t>
      </w:r>
      <w:r w:rsidR="00DE3D0B">
        <w:rPr>
          <w:sz w:val="20"/>
        </w:rPr>
        <w:t>§151</w:t>
      </w:r>
      <w:r w:rsidR="00400009">
        <w:rPr>
          <w:sz w:val="20"/>
        </w:rPr>
        <w:t>(a))</w:t>
      </w:r>
    </w:p>
    <w:p w14:paraId="384B1958" w14:textId="69A71FC5" w:rsidR="00DE3D0B" w:rsidRPr="00B82C5A" w:rsidRDefault="00DE3D0B" w:rsidP="00DE3D0B">
      <w:pPr>
        <w:pStyle w:val="ListParagraph"/>
        <w:numPr>
          <w:ilvl w:val="1"/>
          <w:numId w:val="20"/>
        </w:numPr>
      </w:pPr>
      <w:r>
        <w:rPr>
          <w:sz w:val="20"/>
        </w:rPr>
        <w:t xml:space="preserve">Complex formulae that allow differences in voting power within a single class of stock based on the number of other shares owned is permissible – </w:t>
      </w:r>
      <w:r>
        <w:rPr>
          <w:i/>
          <w:sz w:val="20"/>
        </w:rPr>
        <w:t>P &amp; W v. Baker</w:t>
      </w:r>
    </w:p>
    <w:p w14:paraId="5337103E" w14:textId="06C77CFD" w:rsidR="00FF1C71" w:rsidRDefault="00FF1C71" w:rsidP="00FF1C71">
      <w:pPr>
        <w:pStyle w:val="Heading4"/>
        <w:rPr>
          <w:sz w:val="20"/>
        </w:rPr>
      </w:pPr>
      <w:r>
        <w:rPr>
          <w:sz w:val="20"/>
        </w:rPr>
        <w:t>Close Corporations</w:t>
      </w:r>
    </w:p>
    <w:p w14:paraId="2EF33C3F" w14:textId="77777777" w:rsidR="00AF610D" w:rsidRPr="00C24A7D" w:rsidRDefault="00AF610D" w:rsidP="00AF610D">
      <w:pPr>
        <w:pStyle w:val="ListParagraph"/>
        <w:numPr>
          <w:ilvl w:val="0"/>
          <w:numId w:val="21"/>
        </w:numPr>
      </w:pPr>
      <w:r>
        <w:rPr>
          <w:sz w:val="20"/>
        </w:rPr>
        <w:t xml:space="preserve">Four stages of attempts to deal with problems raised by close corporations: </w:t>
      </w:r>
    </w:p>
    <w:p w14:paraId="445B1A19" w14:textId="781DB3C3" w:rsidR="00AF610D" w:rsidRPr="00C24A7D" w:rsidRDefault="00AF610D" w:rsidP="00AF610D">
      <w:pPr>
        <w:pStyle w:val="ListParagraph"/>
        <w:numPr>
          <w:ilvl w:val="1"/>
          <w:numId w:val="21"/>
        </w:numPr>
      </w:pPr>
      <w:r>
        <w:rPr>
          <w:sz w:val="20"/>
        </w:rPr>
        <w:t>Contr</w:t>
      </w:r>
      <w:r w:rsidR="003006C7">
        <w:rPr>
          <w:sz w:val="20"/>
        </w:rPr>
        <w:t>act law adjusts to cope</w:t>
      </w:r>
      <w:r>
        <w:rPr>
          <w:sz w:val="20"/>
        </w:rPr>
        <w:t xml:space="preserve"> (voting agreements, employment contracts, buy-sell agreements)</w:t>
      </w:r>
    </w:p>
    <w:p w14:paraId="7605096B" w14:textId="77777777" w:rsidR="00AF610D" w:rsidRPr="00C24A7D" w:rsidRDefault="00AF610D" w:rsidP="00AF610D">
      <w:pPr>
        <w:pStyle w:val="ListParagraph"/>
        <w:numPr>
          <w:ilvl w:val="1"/>
          <w:numId w:val="21"/>
        </w:numPr>
      </w:pPr>
      <w:r>
        <w:rPr>
          <w:sz w:val="20"/>
        </w:rPr>
        <w:t>General fiduciary duties are extended to owners of close corporations</w:t>
      </w:r>
    </w:p>
    <w:p w14:paraId="3A4753FE" w14:textId="77777777" w:rsidR="00AF610D" w:rsidRPr="00C24A7D" w:rsidRDefault="00AF610D" w:rsidP="00AF610D">
      <w:pPr>
        <w:pStyle w:val="ListParagraph"/>
        <w:numPr>
          <w:ilvl w:val="1"/>
          <w:numId w:val="21"/>
        </w:numPr>
      </w:pPr>
      <w:r>
        <w:rPr>
          <w:sz w:val="20"/>
        </w:rPr>
        <w:t>Legislature finally acts by easing burdens for complaining minorities to achieve dissolution</w:t>
      </w:r>
    </w:p>
    <w:p w14:paraId="5D6E1681" w14:textId="77777777" w:rsidR="00AF610D" w:rsidRPr="00C24A7D" w:rsidRDefault="00AF610D" w:rsidP="00AF610D">
      <w:pPr>
        <w:pStyle w:val="ListParagraph"/>
        <w:numPr>
          <w:ilvl w:val="2"/>
          <w:numId w:val="21"/>
        </w:numPr>
      </w:pPr>
      <w:r>
        <w:rPr>
          <w:sz w:val="20"/>
        </w:rPr>
        <w:t xml:space="preserve">Initial stage was fraud or oppression – </w:t>
      </w:r>
      <w:r>
        <w:rPr>
          <w:i/>
          <w:sz w:val="20"/>
        </w:rPr>
        <w:t>Alaska Plastics</w:t>
      </w:r>
    </w:p>
    <w:p w14:paraId="63624DE5" w14:textId="77777777" w:rsidR="00AF610D" w:rsidRPr="00C24A7D" w:rsidRDefault="00AF610D" w:rsidP="00AF610D">
      <w:pPr>
        <w:pStyle w:val="ListParagraph"/>
        <w:numPr>
          <w:ilvl w:val="2"/>
          <w:numId w:val="21"/>
        </w:numPr>
      </w:pPr>
      <w:r>
        <w:rPr>
          <w:sz w:val="20"/>
        </w:rPr>
        <w:t xml:space="preserve">Shifts to concerns with “prejudicial conduct” – </w:t>
      </w:r>
      <w:r>
        <w:rPr>
          <w:i/>
          <w:sz w:val="20"/>
        </w:rPr>
        <w:t>Pedro v. Pedro</w:t>
      </w:r>
    </w:p>
    <w:p w14:paraId="4D532DC5" w14:textId="409C30F2" w:rsidR="00AF610D" w:rsidRPr="00662822" w:rsidRDefault="003006C7" w:rsidP="00AF610D">
      <w:pPr>
        <w:pStyle w:val="ListParagraph"/>
        <w:numPr>
          <w:ilvl w:val="2"/>
          <w:numId w:val="21"/>
        </w:numPr>
      </w:pPr>
      <w:r>
        <w:rPr>
          <w:sz w:val="20"/>
        </w:rPr>
        <w:t>E</w:t>
      </w:r>
      <w:r w:rsidR="00AF610D">
        <w:rPr>
          <w:sz w:val="20"/>
        </w:rPr>
        <w:t>liminate</w:t>
      </w:r>
      <w:r>
        <w:rPr>
          <w:sz w:val="20"/>
        </w:rPr>
        <w:t>s</w:t>
      </w:r>
      <w:r w:rsidR="00AF610D">
        <w:rPr>
          <w:sz w:val="20"/>
        </w:rPr>
        <w:t xml:space="preserve"> requirement of bad conduct – minorities</w:t>
      </w:r>
      <w:r>
        <w:rPr>
          <w:sz w:val="20"/>
        </w:rPr>
        <w:t>’</w:t>
      </w:r>
      <w:r w:rsidR="00AF610D">
        <w:rPr>
          <w:sz w:val="20"/>
        </w:rPr>
        <w:t xml:space="preserve"> “reasonable expectations” are protected – </w:t>
      </w:r>
      <w:r w:rsidR="00AF610D">
        <w:rPr>
          <w:i/>
          <w:sz w:val="20"/>
        </w:rPr>
        <w:t>Haley v. Talcott</w:t>
      </w:r>
    </w:p>
    <w:p w14:paraId="511BD61E" w14:textId="3E635949" w:rsidR="00AF610D" w:rsidRPr="00AF610D" w:rsidRDefault="00AF610D" w:rsidP="00AF610D">
      <w:pPr>
        <w:pStyle w:val="ListParagraph"/>
        <w:numPr>
          <w:ilvl w:val="1"/>
          <w:numId w:val="21"/>
        </w:numPr>
      </w:pPr>
      <w:r>
        <w:rPr>
          <w:sz w:val="20"/>
        </w:rPr>
        <w:t>Different form of organization (LLC)</w:t>
      </w:r>
    </w:p>
    <w:p w14:paraId="791F49AE" w14:textId="6A2CBB57" w:rsidR="000B4997" w:rsidRPr="000B4997" w:rsidRDefault="000B4997" w:rsidP="0030485F">
      <w:pPr>
        <w:pStyle w:val="ListParagraph"/>
        <w:numPr>
          <w:ilvl w:val="0"/>
          <w:numId w:val="21"/>
        </w:numPr>
      </w:pPr>
      <w:r>
        <w:rPr>
          <w:sz w:val="20"/>
        </w:rPr>
        <w:t>Close corporation status may be elected by a corporation with less than 30 SHs – DGCL §342(1)</w:t>
      </w:r>
    </w:p>
    <w:p w14:paraId="4F920FF1" w14:textId="5ACC8892" w:rsidR="000B4997" w:rsidRPr="000B4997" w:rsidRDefault="000B4997" w:rsidP="000B4997">
      <w:pPr>
        <w:pStyle w:val="ListParagraph"/>
        <w:numPr>
          <w:ilvl w:val="1"/>
          <w:numId w:val="21"/>
        </w:numPr>
      </w:pPr>
      <w:r>
        <w:rPr>
          <w:sz w:val="20"/>
        </w:rPr>
        <w:t>§351 allows articles of incorporation of close corporation to provide that business will be managed by the SHs rather than a BoD</w:t>
      </w:r>
    </w:p>
    <w:p w14:paraId="2E12B261" w14:textId="0AEE7586" w:rsidR="003A2623" w:rsidRPr="00721D15" w:rsidRDefault="00046208" w:rsidP="0030485F">
      <w:pPr>
        <w:pStyle w:val="ListParagraph"/>
        <w:numPr>
          <w:ilvl w:val="0"/>
          <w:numId w:val="21"/>
        </w:numPr>
      </w:pPr>
      <w:r>
        <w:rPr>
          <w:sz w:val="20"/>
        </w:rPr>
        <w:t xml:space="preserve">SHs may contract to exercise their voting rights in a particular way – </w:t>
      </w:r>
      <w:r>
        <w:rPr>
          <w:i/>
          <w:sz w:val="20"/>
        </w:rPr>
        <w:t>Ringling Bros. v. Ringling</w:t>
      </w:r>
      <w:r w:rsidR="00A378BA">
        <w:rPr>
          <w:i/>
          <w:sz w:val="20"/>
        </w:rPr>
        <w:t xml:space="preserve"> </w:t>
      </w:r>
      <w:r w:rsidR="00A378BA">
        <w:rPr>
          <w:sz w:val="20"/>
        </w:rPr>
        <w:t>(DE)</w:t>
      </w:r>
    </w:p>
    <w:p w14:paraId="42ED7A2B" w14:textId="403A283A" w:rsidR="000E645D" w:rsidRPr="00206C0A" w:rsidRDefault="00721D15" w:rsidP="00C20DE1">
      <w:pPr>
        <w:pStyle w:val="ListParagraph"/>
        <w:numPr>
          <w:ilvl w:val="1"/>
          <w:numId w:val="21"/>
        </w:numPr>
      </w:pPr>
      <w:r>
        <w:rPr>
          <w:sz w:val="20"/>
        </w:rPr>
        <w:t>Alternative method is the creation of a voting trust –</w:t>
      </w:r>
      <w:r w:rsidR="003006C7">
        <w:rPr>
          <w:sz w:val="20"/>
        </w:rPr>
        <w:t xml:space="preserve"> SHs give shares to trustee, who votes shares as a</w:t>
      </w:r>
      <w:r>
        <w:rPr>
          <w:sz w:val="20"/>
        </w:rPr>
        <w:t xml:space="preserve"> block (useful for</w:t>
      </w:r>
      <w:r w:rsidR="003006C7">
        <w:rPr>
          <w:sz w:val="20"/>
        </w:rPr>
        <w:t xml:space="preserve"> family to maintain control if</w:t>
      </w:r>
      <w:r>
        <w:rPr>
          <w:sz w:val="20"/>
        </w:rPr>
        <w:t xml:space="preserve"> others might </w:t>
      </w:r>
      <w:r w:rsidR="00C20DE1">
        <w:rPr>
          <w:sz w:val="20"/>
        </w:rPr>
        <w:t>attempt a takeover) – DGCL §218</w:t>
      </w:r>
    </w:p>
    <w:p w14:paraId="6317C007" w14:textId="7AA2EC6F" w:rsidR="00561F47" w:rsidRPr="00561F47" w:rsidRDefault="00206C0A" w:rsidP="00561F47">
      <w:pPr>
        <w:pStyle w:val="ListParagraph"/>
        <w:numPr>
          <w:ilvl w:val="1"/>
          <w:numId w:val="21"/>
        </w:numPr>
      </w:pPr>
      <w:r>
        <w:rPr>
          <w:sz w:val="20"/>
        </w:rPr>
        <w:t>Violation of SH voting agreement may lead to a rejection of votes cast by offending party</w:t>
      </w:r>
      <w:r w:rsidR="00ED687F">
        <w:rPr>
          <w:sz w:val="20"/>
        </w:rPr>
        <w:t>, or declaring the entire election invalid</w:t>
      </w:r>
    </w:p>
    <w:p w14:paraId="57555C94" w14:textId="6E8D8616" w:rsidR="00561F47" w:rsidRPr="00821549" w:rsidRDefault="00561F47" w:rsidP="00561F47">
      <w:pPr>
        <w:pStyle w:val="ListParagraph"/>
        <w:numPr>
          <w:ilvl w:val="1"/>
          <w:numId w:val="21"/>
        </w:numPr>
      </w:pPr>
      <w:r>
        <w:rPr>
          <w:sz w:val="20"/>
        </w:rPr>
        <w:t xml:space="preserve">Voting agreements may be valid even </w:t>
      </w:r>
      <w:r>
        <w:rPr>
          <w:i/>
          <w:sz w:val="20"/>
        </w:rPr>
        <w:t xml:space="preserve">without </w:t>
      </w:r>
      <w:r>
        <w:rPr>
          <w:sz w:val="20"/>
        </w:rPr>
        <w:t xml:space="preserve">close corporation status – </w:t>
      </w:r>
      <w:r>
        <w:rPr>
          <w:i/>
          <w:sz w:val="20"/>
        </w:rPr>
        <w:t>Ramos v. Estrada</w:t>
      </w:r>
      <w:r>
        <w:rPr>
          <w:sz w:val="20"/>
        </w:rPr>
        <w:t xml:space="preserve"> (CA)</w:t>
      </w:r>
    </w:p>
    <w:p w14:paraId="465DFA32" w14:textId="6406AFA0" w:rsidR="00821549" w:rsidRPr="005A7BE6" w:rsidRDefault="00821549" w:rsidP="00821549">
      <w:pPr>
        <w:pStyle w:val="ListParagraph"/>
        <w:numPr>
          <w:ilvl w:val="2"/>
          <w:numId w:val="21"/>
        </w:numPr>
      </w:pPr>
      <w:r>
        <w:rPr>
          <w:sz w:val="20"/>
        </w:rPr>
        <w:t>California Corporations Code §709 allows courts to enforce SH agreements through equitable remedies (specific performance, recession, etc.)</w:t>
      </w:r>
    </w:p>
    <w:p w14:paraId="0CC867F0" w14:textId="7C66B7BA" w:rsidR="005A7BE6" w:rsidRPr="003576BF" w:rsidRDefault="005A7BE6" w:rsidP="005A7BE6">
      <w:pPr>
        <w:pStyle w:val="ListParagraph"/>
        <w:numPr>
          <w:ilvl w:val="0"/>
          <w:numId w:val="21"/>
        </w:numPr>
      </w:pPr>
      <w:r>
        <w:rPr>
          <w:sz w:val="20"/>
        </w:rPr>
        <w:t xml:space="preserve">However, </w:t>
      </w:r>
      <w:r w:rsidRPr="00023908">
        <w:rPr>
          <w:b/>
          <w:sz w:val="20"/>
        </w:rPr>
        <w:t>directors</w:t>
      </w:r>
      <w:r>
        <w:rPr>
          <w:sz w:val="20"/>
        </w:rPr>
        <w:t xml:space="preserve"> </w:t>
      </w:r>
      <w:r>
        <w:rPr>
          <w:i/>
          <w:sz w:val="20"/>
        </w:rPr>
        <w:t xml:space="preserve">may not </w:t>
      </w:r>
      <w:r>
        <w:rPr>
          <w:sz w:val="20"/>
        </w:rPr>
        <w:t xml:space="preserve">enter into agreements as SHs requiring them to act in a certain way – </w:t>
      </w:r>
      <w:proofErr w:type="spellStart"/>
      <w:r>
        <w:rPr>
          <w:i/>
          <w:sz w:val="20"/>
        </w:rPr>
        <w:t>McQuade</w:t>
      </w:r>
      <w:proofErr w:type="spellEnd"/>
      <w:r>
        <w:rPr>
          <w:i/>
          <w:sz w:val="20"/>
        </w:rPr>
        <w:t xml:space="preserve"> v. Stoneham</w:t>
      </w:r>
      <w:r>
        <w:rPr>
          <w:sz w:val="20"/>
        </w:rPr>
        <w:t xml:space="preserve"> (NY) (agreement ensuring election of </w:t>
      </w:r>
      <w:r w:rsidR="0044187B">
        <w:rPr>
          <w:sz w:val="20"/>
        </w:rPr>
        <w:t xml:space="preserve">specific </w:t>
      </w:r>
      <w:proofErr w:type="gramStart"/>
      <w:r>
        <w:rPr>
          <w:sz w:val="20"/>
        </w:rPr>
        <w:t>directors</w:t>
      </w:r>
      <w:proofErr w:type="gramEnd"/>
      <w:r>
        <w:rPr>
          <w:sz w:val="20"/>
        </w:rPr>
        <w:t xml:space="preserve"> invalid)</w:t>
      </w:r>
    </w:p>
    <w:p w14:paraId="31E28BF6" w14:textId="61EBDBFA" w:rsidR="003576BF" w:rsidRPr="0044187B" w:rsidRDefault="003632E2" w:rsidP="003576BF">
      <w:pPr>
        <w:pStyle w:val="ListParagraph"/>
        <w:numPr>
          <w:ilvl w:val="1"/>
          <w:numId w:val="21"/>
        </w:numPr>
      </w:pPr>
      <w:r>
        <w:rPr>
          <w:sz w:val="20"/>
        </w:rPr>
        <w:t>Fiduciary duties do</w:t>
      </w:r>
      <w:r w:rsidR="003576BF">
        <w:rPr>
          <w:sz w:val="20"/>
        </w:rPr>
        <w:t xml:space="preserve"> not permit directors to</w:t>
      </w:r>
      <w:r w:rsidR="001F6264">
        <w:rPr>
          <w:sz w:val="20"/>
        </w:rPr>
        <w:t xml:space="preserve"> sign contracts that</w:t>
      </w:r>
      <w:r w:rsidR="003576BF">
        <w:rPr>
          <w:sz w:val="20"/>
        </w:rPr>
        <w:t xml:space="preserve"> require </w:t>
      </w:r>
      <w:r w:rsidR="001F6264">
        <w:rPr>
          <w:sz w:val="20"/>
        </w:rPr>
        <w:t xml:space="preserve">breach of </w:t>
      </w:r>
      <w:r>
        <w:rPr>
          <w:sz w:val="20"/>
        </w:rPr>
        <w:t>those duties</w:t>
      </w:r>
    </w:p>
    <w:p w14:paraId="2D4CD77D" w14:textId="4BD8FCBF" w:rsidR="0044187B" w:rsidRPr="00274A4C" w:rsidRDefault="0044187B" w:rsidP="003576BF">
      <w:pPr>
        <w:pStyle w:val="ListParagraph"/>
        <w:numPr>
          <w:ilvl w:val="1"/>
          <w:numId w:val="21"/>
        </w:numPr>
      </w:pPr>
      <w:r>
        <w:rPr>
          <w:sz w:val="20"/>
        </w:rPr>
        <w:t xml:space="preserve">Where directors are the only SHs of a corporation, courts will not interfere with agreement to vote for particular officers – </w:t>
      </w:r>
      <w:r>
        <w:rPr>
          <w:i/>
          <w:sz w:val="20"/>
        </w:rPr>
        <w:t>Clark v. Dodge</w:t>
      </w:r>
    </w:p>
    <w:p w14:paraId="5E650C91" w14:textId="6C6C5F30" w:rsidR="00274A4C" w:rsidRPr="00274A4C" w:rsidRDefault="00274A4C" w:rsidP="00274A4C">
      <w:pPr>
        <w:pStyle w:val="ListParagraph"/>
        <w:numPr>
          <w:ilvl w:val="2"/>
          <w:numId w:val="21"/>
        </w:numPr>
      </w:pPr>
      <w:r>
        <w:rPr>
          <w:sz w:val="20"/>
        </w:rPr>
        <w:t xml:space="preserve">Undercuts rationale that problem in </w:t>
      </w:r>
      <w:proofErr w:type="spellStart"/>
      <w:r>
        <w:rPr>
          <w:i/>
          <w:sz w:val="20"/>
        </w:rPr>
        <w:t>McQuade</w:t>
      </w:r>
      <w:proofErr w:type="spellEnd"/>
      <w:r>
        <w:rPr>
          <w:i/>
          <w:sz w:val="20"/>
        </w:rPr>
        <w:t xml:space="preserve"> </w:t>
      </w:r>
      <w:r>
        <w:rPr>
          <w:sz w:val="20"/>
        </w:rPr>
        <w:t>was infringement on statutory requirements for BoD to have full discretion to exercise fiduciary duties</w:t>
      </w:r>
    </w:p>
    <w:p w14:paraId="6F10F51A" w14:textId="335251A1" w:rsidR="00274A4C" w:rsidRPr="001235DF" w:rsidRDefault="00274A4C" w:rsidP="00274A4C">
      <w:pPr>
        <w:pStyle w:val="ListParagraph"/>
        <w:numPr>
          <w:ilvl w:val="2"/>
          <w:numId w:val="21"/>
        </w:numPr>
      </w:pPr>
      <w:r>
        <w:rPr>
          <w:sz w:val="20"/>
        </w:rPr>
        <w:t>Argues that since nobody can be harmed by enforcement of the agreement, parties should be able to create a contractual relationship that works for them, despite statute</w:t>
      </w:r>
    </w:p>
    <w:p w14:paraId="7812545E" w14:textId="696978B7" w:rsidR="001235DF" w:rsidRPr="008B2FAB" w:rsidRDefault="001235DF" w:rsidP="00274A4C">
      <w:pPr>
        <w:pStyle w:val="ListParagraph"/>
        <w:numPr>
          <w:ilvl w:val="2"/>
          <w:numId w:val="21"/>
        </w:numPr>
      </w:pPr>
      <w:r>
        <w:rPr>
          <w:sz w:val="20"/>
        </w:rPr>
        <w:t xml:space="preserve">Echoed in </w:t>
      </w:r>
      <w:proofErr w:type="spellStart"/>
      <w:r>
        <w:rPr>
          <w:i/>
          <w:sz w:val="20"/>
        </w:rPr>
        <w:t>Galler</w:t>
      </w:r>
      <w:proofErr w:type="spellEnd"/>
      <w:r>
        <w:rPr>
          <w:i/>
          <w:sz w:val="20"/>
        </w:rPr>
        <w:t xml:space="preserve"> v. </w:t>
      </w:r>
      <w:proofErr w:type="spellStart"/>
      <w:r>
        <w:rPr>
          <w:i/>
          <w:sz w:val="20"/>
        </w:rPr>
        <w:t>Galler</w:t>
      </w:r>
      <w:proofErr w:type="spellEnd"/>
      <w:r>
        <w:rPr>
          <w:i/>
          <w:sz w:val="20"/>
        </w:rPr>
        <w:t xml:space="preserve"> </w:t>
      </w:r>
      <w:r>
        <w:rPr>
          <w:sz w:val="20"/>
        </w:rPr>
        <w:t>(Illinois)</w:t>
      </w:r>
      <w:r w:rsidR="00D0702F">
        <w:rPr>
          <w:sz w:val="20"/>
        </w:rPr>
        <w:t xml:space="preserve"> </w:t>
      </w:r>
      <w:r w:rsidR="00B33A32">
        <w:rPr>
          <w:sz w:val="20"/>
        </w:rPr>
        <w:t xml:space="preserve">(wife of director sues to enforce contract providing posthumous salary </w:t>
      </w:r>
      <w:r w:rsidR="00D0702F">
        <w:rPr>
          <w:sz w:val="20"/>
        </w:rPr>
        <w:t>– absence of a complaining minority interest, fraud/injury to public or creditors and clearly prohibitory statutory language made SH agreement permissible</w:t>
      </w:r>
    </w:p>
    <w:p w14:paraId="70168B5A" w14:textId="5576AE79" w:rsidR="008B2FAB" w:rsidRPr="00687099" w:rsidRDefault="008B2FAB" w:rsidP="008B2FAB">
      <w:pPr>
        <w:pStyle w:val="ListParagraph"/>
        <w:numPr>
          <w:ilvl w:val="3"/>
          <w:numId w:val="21"/>
        </w:numPr>
      </w:pPr>
      <w:r>
        <w:rPr>
          <w:sz w:val="20"/>
        </w:rPr>
        <w:t>Also concerned with potential for freeze-out, since close corporation shares are illiquid and therefore minority SHs might be at the mercy of majority</w:t>
      </w:r>
    </w:p>
    <w:p w14:paraId="14CD9856" w14:textId="488A28D2" w:rsidR="00687099" w:rsidRPr="00687099" w:rsidRDefault="00687099" w:rsidP="00687099">
      <w:pPr>
        <w:pStyle w:val="ListParagraph"/>
        <w:numPr>
          <w:ilvl w:val="1"/>
          <w:numId w:val="21"/>
        </w:numPr>
      </w:pPr>
      <w:r>
        <w:rPr>
          <w:sz w:val="20"/>
        </w:rPr>
        <w:t xml:space="preserve">NY Business Corporation Law §620 now allows BoD restrictions if: </w:t>
      </w:r>
    </w:p>
    <w:p w14:paraId="774CE18B" w14:textId="0D7D132A" w:rsidR="00687099" w:rsidRPr="00687099" w:rsidRDefault="00687099" w:rsidP="00687099">
      <w:pPr>
        <w:pStyle w:val="ListParagraph"/>
        <w:numPr>
          <w:ilvl w:val="2"/>
          <w:numId w:val="21"/>
        </w:numPr>
      </w:pPr>
      <w:r>
        <w:rPr>
          <w:sz w:val="20"/>
        </w:rPr>
        <w:t>Restrictions are in articles of incorporation</w:t>
      </w:r>
    </w:p>
    <w:p w14:paraId="1254E30A" w14:textId="3314604E" w:rsidR="00687099" w:rsidRPr="00687099" w:rsidRDefault="00687099" w:rsidP="00687099">
      <w:pPr>
        <w:pStyle w:val="ListParagraph"/>
        <w:numPr>
          <w:ilvl w:val="2"/>
          <w:numId w:val="21"/>
        </w:numPr>
      </w:pPr>
      <w:r>
        <w:rPr>
          <w:sz w:val="20"/>
        </w:rPr>
        <w:t>Restrictions are approved by all SHs</w:t>
      </w:r>
    </w:p>
    <w:p w14:paraId="2FBF62AF" w14:textId="42F4BEFC" w:rsidR="00687099" w:rsidRPr="00687099" w:rsidRDefault="00687099" w:rsidP="00687099">
      <w:pPr>
        <w:pStyle w:val="ListParagraph"/>
        <w:numPr>
          <w:ilvl w:val="2"/>
          <w:numId w:val="21"/>
        </w:numPr>
      </w:pPr>
      <w:r>
        <w:rPr>
          <w:sz w:val="20"/>
        </w:rPr>
        <w:t>Subsequent SHs have notice and/or give consent</w:t>
      </w:r>
    </w:p>
    <w:p w14:paraId="424FAB8E" w14:textId="03AE295D" w:rsidR="00687099" w:rsidRPr="00AF5C95" w:rsidRDefault="00687099" w:rsidP="00687099">
      <w:pPr>
        <w:pStyle w:val="ListParagraph"/>
        <w:numPr>
          <w:ilvl w:val="3"/>
          <w:numId w:val="21"/>
        </w:numPr>
      </w:pPr>
      <w:r>
        <w:rPr>
          <w:sz w:val="20"/>
        </w:rPr>
        <w:lastRenderedPageBreak/>
        <w:t xml:space="preserve">Requirements are so onerous that they </w:t>
      </w:r>
      <w:r>
        <w:rPr>
          <w:i/>
          <w:sz w:val="20"/>
        </w:rPr>
        <w:t xml:space="preserve">only </w:t>
      </w:r>
      <w:r>
        <w:rPr>
          <w:sz w:val="20"/>
        </w:rPr>
        <w:t>make sense for close corporations</w:t>
      </w:r>
    </w:p>
    <w:p w14:paraId="4B75881C" w14:textId="6534D8EF" w:rsidR="00AF5C95" w:rsidRPr="00A01970" w:rsidRDefault="00AF5C95" w:rsidP="00AF5C95">
      <w:pPr>
        <w:pStyle w:val="ListParagraph"/>
        <w:numPr>
          <w:ilvl w:val="1"/>
          <w:numId w:val="21"/>
        </w:numPr>
      </w:pPr>
      <w:r>
        <w:rPr>
          <w:sz w:val="20"/>
        </w:rPr>
        <w:t>Modern law is that SH agreements that require the appointment of certain individuals as officers/employees are enforceable, as long as agreed to by all SHs</w:t>
      </w:r>
    </w:p>
    <w:p w14:paraId="4C11E9B6" w14:textId="1AD3578B" w:rsidR="00FF1C71" w:rsidRDefault="00FF1C71" w:rsidP="00FF1C71">
      <w:pPr>
        <w:pStyle w:val="Heading4"/>
        <w:rPr>
          <w:sz w:val="20"/>
        </w:rPr>
      </w:pPr>
      <w:r w:rsidRPr="00FF1C71">
        <w:rPr>
          <w:sz w:val="20"/>
        </w:rPr>
        <w:t>Abuse of Control</w:t>
      </w:r>
    </w:p>
    <w:p w14:paraId="017C75E9" w14:textId="44CF8D01" w:rsidR="00CF78EF" w:rsidRPr="00CF78EF" w:rsidRDefault="00CF78EF" w:rsidP="00CF78EF">
      <w:pPr>
        <w:pStyle w:val="ListParagraph"/>
        <w:numPr>
          <w:ilvl w:val="0"/>
          <w:numId w:val="22"/>
        </w:numPr>
      </w:pPr>
      <w:r>
        <w:rPr>
          <w:sz w:val="20"/>
        </w:rPr>
        <w:t>SHs in a close corporation owe each other fiduciary duties of utmost good faith and loyalty (similar to partnership law)</w:t>
      </w:r>
      <w:r w:rsidR="00EC143B">
        <w:rPr>
          <w:sz w:val="20"/>
        </w:rPr>
        <w:t xml:space="preserve"> – </w:t>
      </w:r>
      <w:r w:rsidR="00EC143B">
        <w:rPr>
          <w:i/>
          <w:sz w:val="20"/>
        </w:rPr>
        <w:t>Donahue</w:t>
      </w:r>
      <w:r w:rsidR="00AA1DB3">
        <w:rPr>
          <w:i/>
          <w:sz w:val="20"/>
        </w:rPr>
        <w:t xml:space="preserve"> </w:t>
      </w:r>
      <w:r w:rsidR="00AA1DB3">
        <w:rPr>
          <w:sz w:val="20"/>
        </w:rPr>
        <w:t>(majority SHs denied minority SHs opportunity to sell shares back to corporation)</w:t>
      </w:r>
      <w:r w:rsidR="00EC143B">
        <w:rPr>
          <w:sz w:val="20"/>
        </w:rPr>
        <w:t xml:space="preserve">. There is </w:t>
      </w:r>
      <w:r>
        <w:rPr>
          <w:sz w:val="20"/>
        </w:rPr>
        <w:t>a two-part test to determine if majority’s actions violate these duties</w:t>
      </w:r>
      <w:r w:rsidR="00EC143B">
        <w:rPr>
          <w:sz w:val="20"/>
        </w:rPr>
        <w:t xml:space="preserve"> – </w:t>
      </w:r>
      <w:r w:rsidR="00EC143B">
        <w:rPr>
          <w:i/>
          <w:sz w:val="20"/>
        </w:rPr>
        <w:t>Wilkes v. Springside Nursing Home</w:t>
      </w:r>
      <w:r w:rsidR="00EC143B">
        <w:rPr>
          <w:sz w:val="20"/>
        </w:rPr>
        <w:t xml:space="preserve"> (MA) (one of four founding members kicked out after many years)</w:t>
      </w:r>
    </w:p>
    <w:p w14:paraId="14A5EABA" w14:textId="7A70F59B" w:rsidR="00CF78EF" w:rsidRPr="00CF78EF" w:rsidRDefault="00CF78EF" w:rsidP="00CF78EF">
      <w:pPr>
        <w:pStyle w:val="ListParagraph"/>
        <w:numPr>
          <w:ilvl w:val="1"/>
          <w:numId w:val="22"/>
        </w:numPr>
      </w:pPr>
      <w:r>
        <w:rPr>
          <w:sz w:val="20"/>
        </w:rPr>
        <w:t>Can controlling group demonstrate a legitimate business purpose for its actions?</w:t>
      </w:r>
    </w:p>
    <w:p w14:paraId="5A8B258E" w14:textId="5EBF9EE9" w:rsidR="00CF78EF" w:rsidRPr="003523F3" w:rsidRDefault="00CF78EF" w:rsidP="00CF78EF">
      <w:pPr>
        <w:pStyle w:val="ListParagraph"/>
        <w:numPr>
          <w:ilvl w:val="1"/>
          <w:numId w:val="22"/>
        </w:numPr>
      </w:pPr>
      <w:r>
        <w:rPr>
          <w:sz w:val="20"/>
        </w:rPr>
        <w:t>Can minority show purpose could have been achieved through means less harmful to minority?</w:t>
      </w:r>
    </w:p>
    <w:p w14:paraId="2E13611C" w14:textId="3A9CA718" w:rsidR="003523F3" w:rsidRPr="003523F3" w:rsidRDefault="003523F3" w:rsidP="003523F3">
      <w:pPr>
        <w:pStyle w:val="ListParagraph"/>
        <w:numPr>
          <w:ilvl w:val="2"/>
          <w:numId w:val="22"/>
        </w:numPr>
      </w:pPr>
      <w:r>
        <w:rPr>
          <w:sz w:val="20"/>
        </w:rPr>
        <w:t>Rationale for heightened duties is ease with which majority may oppress minority (due to illiquidity of ownership stake), probable reliance on employment from corporation</w:t>
      </w:r>
      <w:r w:rsidR="00283A53">
        <w:rPr>
          <w:sz w:val="20"/>
        </w:rPr>
        <w:t xml:space="preserve">, right of minority to eventually realize </w:t>
      </w:r>
      <w:r w:rsidR="00283A53">
        <w:rPr>
          <w:i/>
          <w:sz w:val="20"/>
        </w:rPr>
        <w:t xml:space="preserve">some </w:t>
      </w:r>
      <w:r w:rsidR="00283A53">
        <w:rPr>
          <w:sz w:val="20"/>
        </w:rPr>
        <w:t>return on investment in corporation</w:t>
      </w:r>
    </w:p>
    <w:p w14:paraId="3842F923" w14:textId="227ABB49" w:rsidR="003523F3" w:rsidRPr="00887279" w:rsidRDefault="003523F3" w:rsidP="003523F3">
      <w:pPr>
        <w:pStyle w:val="ListParagraph"/>
        <w:numPr>
          <w:ilvl w:val="2"/>
          <w:numId w:val="22"/>
        </w:numPr>
      </w:pPr>
      <w:r>
        <w:rPr>
          <w:sz w:val="20"/>
        </w:rPr>
        <w:t>Balanced against majority’s right to exercise “selfish ownership”</w:t>
      </w:r>
    </w:p>
    <w:p w14:paraId="672D67E9" w14:textId="28E1DC03" w:rsidR="00241BBD" w:rsidRPr="00241BBD" w:rsidRDefault="00887279" w:rsidP="00241BBD">
      <w:pPr>
        <w:pStyle w:val="ListParagraph"/>
        <w:numPr>
          <w:ilvl w:val="1"/>
          <w:numId w:val="22"/>
        </w:numPr>
      </w:pPr>
      <w:r>
        <w:rPr>
          <w:sz w:val="20"/>
        </w:rPr>
        <w:t xml:space="preserve">MA later creates a distinct test </w:t>
      </w:r>
      <w:r w:rsidR="002919B9">
        <w:rPr>
          <w:sz w:val="20"/>
        </w:rPr>
        <w:t xml:space="preserve">if a freeze-out is </w:t>
      </w:r>
      <w:r>
        <w:rPr>
          <w:sz w:val="20"/>
        </w:rPr>
        <w:t xml:space="preserve">illegitimate – majority cannot frustrate “reasonable expectations” of benefit from minority’s share ownership – </w:t>
      </w:r>
      <w:r>
        <w:rPr>
          <w:i/>
          <w:sz w:val="20"/>
        </w:rPr>
        <w:t>Brodie v. Jordan</w:t>
      </w:r>
      <w:r w:rsidR="002919B9">
        <w:rPr>
          <w:i/>
          <w:sz w:val="20"/>
        </w:rPr>
        <w:t xml:space="preserve"> </w:t>
      </w:r>
      <w:r w:rsidR="002919B9">
        <w:rPr>
          <w:sz w:val="20"/>
        </w:rPr>
        <w:t>(</w:t>
      </w:r>
      <w:r w:rsidR="00D03B30">
        <w:rPr>
          <w:sz w:val="20"/>
        </w:rPr>
        <w:t>widow of former owner wants out of the close corporation)</w:t>
      </w:r>
    </w:p>
    <w:p w14:paraId="2BD36D87" w14:textId="482EBA44" w:rsidR="00241BBD" w:rsidRPr="00241BBD" w:rsidRDefault="00241BBD" w:rsidP="00241BBD">
      <w:pPr>
        <w:pStyle w:val="ListParagraph"/>
        <w:numPr>
          <w:ilvl w:val="2"/>
          <w:numId w:val="22"/>
        </w:numPr>
      </w:pPr>
      <w:r>
        <w:rPr>
          <w:sz w:val="20"/>
        </w:rPr>
        <w:t>Proper remedy for freeze-outs is to restore minority to the position she would have been in absent any wrongdoing</w:t>
      </w:r>
      <w:r w:rsidR="00C020E4">
        <w:rPr>
          <w:sz w:val="20"/>
        </w:rPr>
        <w:t xml:space="preserve"> (buyout inappropriate – no market for security existed)</w:t>
      </w:r>
    </w:p>
    <w:p w14:paraId="423559AA" w14:textId="276995BE" w:rsidR="00241BBD" w:rsidRPr="00D5333B" w:rsidRDefault="00241BBD" w:rsidP="00241BBD">
      <w:pPr>
        <w:pStyle w:val="ListParagraph"/>
        <w:numPr>
          <w:ilvl w:val="3"/>
          <w:numId w:val="22"/>
        </w:numPr>
      </w:pPr>
      <w:r>
        <w:rPr>
          <w:sz w:val="20"/>
        </w:rPr>
        <w:t>Implies a “spectrum” of drastic action by courts – compelling dividends is fairly benign, forced buy-outs are more invasive, and forced dissolution is nuclear</w:t>
      </w:r>
    </w:p>
    <w:p w14:paraId="18A25392" w14:textId="600C4CFE" w:rsidR="00D5333B" w:rsidRPr="002A0643" w:rsidRDefault="008916DD" w:rsidP="00D5333B">
      <w:pPr>
        <w:pStyle w:val="ListParagraph"/>
        <w:numPr>
          <w:ilvl w:val="1"/>
          <w:numId w:val="22"/>
        </w:numPr>
      </w:pPr>
      <w:r>
        <w:rPr>
          <w:sz w:val="20"/>
        </w:rPr>
        <w:t xml:space="preserve">Minority SHs can have fiduciary duties, if they exercise an effective veto – </w:t>
      </w:r>
      <w:r>
        <w:rPr>
          <w:i/>
          <w:sz w:val="20"/>
        </w:rPr>
        <w:t xml:space="preserve">Smith v. Atlantic Properties </w:t>
      </w:r>
      <w:r>
        <w:rPr>
          <w:sz w:val="20"/>
        </w:rPr>
        <w:t>(partner’s refusal to pay dividend led to increased taxes)</w:t>
      </w:r>
    </w:p>
    <w:p w14:paraId="52F29E77" w14:textId="63BFADC0" w:rsidR="002A0643" w:rsidRPr="006C0089" w:rsidRDefault="002A0643" w:rsidP="002A0643">
      <w:pPr>
        <w:pStyle w:val="ListParagraph"/>
        <w:numPr>
          <w:ilvl w:val="2"/>
          <w:numId w:val="22"/>
        </w:numPr>
      </w:pPr>
      <w:r>
        <w:rPr>
          <w:sz w:val="20"/>
        </w:rPr>
        <w:t>Breach of this duty requires conduct beyond “reasonable” – might even require recklessness in running serious, unjustified risks</w:t>
      </w:r>
    </w:p>
    <w:p w14:paraId="4B798494" w14:textId="178614C3" w:rsidR="006C0089" w:rsidRPr="002906A0" w:rsidRDefault="006C0089" w:rsidP="006C0089">
      <w:pPr>
        <w:pStyle w:val="ListParagraph"/>
        <w:numPr>
          <w:ilvl w:val="1"/>
          <w:numId w:val="22"/>
        </w:numPr>
        <w:rPr>
          <w:b/>
        </w:rPr>
      </w:pPr>
      <w:r w:rsidRPr="002906A0">
        <w:rPr>
          <w:b/>
          <w:sz w:val="20"/>
        </w:rPr>
        <w:t>COMPARE MA (strong protections for minority SHs) with DE (you made your bed, so lie in it)</w:t>
      </w:r>
    </w:p>
    <w:p w14:paraId="52CE93A4" w14:textId="1EE9F31F" w:rsidR="00AA1DB3" w:rsidRPr="00AA1DB3" w:rsidRDefault="00AA1DB3" w:rsidP="00887279">
      <w:pPr>
        <w:pStyle w:val="ListParagraph"/>
        <w:numPr>
          <w:ilvl w:val="0"/>
          <w:numId w:val="22"/>
        </w:numPr>
      </w:pPr>
      <w:r>
        <w:rPr>
          <w:sz w:val="20"/>
        </w:rPr>
        <w:t xml:space="preserve">If status as SH is subservient to status as employee, employment will not be protected – </w:t>
      </w:r>
      <w:r>
        <w:rPr>
          <w:i/>
          <w:sz w:val="20"/>
        </w:rPr>
        <w:t xml:space="preserve">Ingle v. </w:t>
      </w:r>
      <w:proofErr w:type="spellStart"/>
      <w:r>
        <w:rPr>
          <w:i/>
          <w:sz w:val="20"/>
        </w:rPr>
        <w:t>Glamore</w:t>
      </w:r>
      <w:proofErr w:type="spellEnd"/>
      <w:r>
        <w:rPr>
          <w:i/>
          <w:sz w:val="20"/>
        </w:rPr>
        <w:t xml:space="preserve"> Motor Sales </w:t>
      </w:r>
      <w:r>
        <w:rPr>
          <w:sz w:val="20"/>
        </w:rPr>
        <w:t>(NY) (Buy-sell agreement if SH ceases to be an employee for any reason)</w:t>
      </w:r>
    </w:p>
    <w:p w14:paraId="1020B5FF" w14:textId="787CA8B1" w:rsidR="00AA1DB3" w:rsidRPr="00887279" w:rsidRDefault="00887279" w:rsidP="00887279">
      <w:pPr>
        <w:pStyle w:val="ListParagraph"/>
        <w:numPr>
          <w:ilvl w:val="1"/>
          <w:numId w:val="22"/>
        </w:numPr>
      </w:pPr>
      <w:r>
        <w:rPr>
          <w:sz w:val="20"/>
        </w:rPr>
        <w:t>Distinction is drawn between duties owed to SH and employee</w:t>
      </w:r>
    </w:p>
    <w:p w14:paraId="08DB3C74" w14:textId="6A541ECB" w:rsidR="00887279" w:rsidRPr="00A16144" w:rsidRDefault="00887279" w:rsidP="00887279">
      <w:pPr>
        <w:pStyle w:val="ListParagraph"/>
        <w:numPr>
          <w:ilvl w:val="1"/>
          <w:numId w:val="22"/>
        </w:numPr>
      </w:pPr>
      <w:r>
        <w:rPr>
          <w:sz w:val="20"/>
        </w:rPr>
        <w:t>Highlights doctrinal clash between employment-at-will and partner-like rights of minority SHs in close corporations</w:t>
      </w:r>
    </w:p>
    <w:p w14:paraId="382E4A88" w14:textId="1299E76F" w:rsidR="00A16144" w:rsidRPr="00933CAD" w:rsidRDefault="00A16144" w:rsidP="00A16144">
      <w:pPr>
        <w:pStyle w:val="ListParagraph"/>
        <w:numPr>
          <w:ilvl w:val="0"/>
          <w:numId w:val="22"/>
        </w:numPr>
      </w:pPr>
      <w:r>
        <w:rPr>
          <w:sz w:val="20"/>
        </w:rPr>
        <w:t xml:space="preserve">Close corporations that purchase their own stock must disclose all material information to seller – </w:t>
      </w:r>
      <w:r>
        <w:rPr>
          <w:i/>
          <w:sz w:val="20"/>
        </w:rPr>
        <w:t xml:space="preserve">Jordan v. Duff &amp; Phelps </w:t>
      </w:r>
      <w:r>
        <w:rPr>
          <w:sz w:val="20"/>
        </w:rPr>
        <w:t>(7</w:t>
      </w:r>
      <w:r w:rsidR="00FC4AEE">
        <w:rPr>
          <w:sz w:val="20"/>
        </w:rPr>
        <w:t>th</w:t>
      </w:r>
      <w:r>
        <w:rPr>
          <w:sz w:val="20"/>
        </w:rPr>
        <w:t xml:space="preserve"> Cir.)</w:t>
      </w:r>
      <w:r w:rsidR="00933CAD">
        <w:rPr>
          <w:sz w:val="20"/>
        </w:rPr>
        <w:t xml:space="preserve"> (did not tell employee of impending merger)</w:t>
      </w:r>
    </w:p>
    <w:p w14:paraId="632149D6" w14:textId="7CD3289F" w:rsidR="00933CAD" w:rsidRPr="00412CEB" w:rsidRDefault="00933CAD" w:rsidP="00933CAD">
      <w:pPr>
        <w:pStyle w:val="ListParagraph"/>
        <w:numPr>
          <w:ilvl w:val="1"/>
          <w:numId w:val="22"/>
        </w:numPr>
      </w:pPr>
      <w:r>
        <w:rPr>
          <w:sz w:val="20"/>
        </w:rPr>
        <w:t>SHs cannot, through their silence, take opportunistic advantage of each other</w:t>
      </w:r>
      <w:r w:rsidR="005265EF">
        <w:rPr>
          <w:sz w:val="20"/>
        </w:rPr>
        <w:t xml:space="preserve"> without violating both 10b-5 and the duty of loyalty</w:t>
      </w:r>
    </w:p>
    <w:p w14:paraId="4BCA5D9D" w14:textId="1BEF7DA2" w:rsidR="00412CEB" w:rsidRPr="00E63108" w:rsidRDefault="00412CEB" w:rsidP="00933CAD">
      <w:pPr>
        <w:pStyle w:val="ListParagraph"/>
        <w:numPr>
          <w:ilvl w:val="1"/>
          <w:numId w:val="22"/>
        </w:numPr>
      </w:pPr>
      <w:r>
        <w:rPr>
          <w:sz w:val="20"/>
        </w:rPr>
        <w:t xml:space="preserve">Dissent is concerned about expansion of fiduciary duties – wants </w:t>
      </w:r>
      <w:r w:rsidR="003A3874">
        <w:rPr>
          <w:sz w:val="20"/>
        </w:rPr>
        <w:t>to elevate employee-at-will status to the determinative inquiry</w:t>
      </w:r>
    </w:p>
    <w:p w14:paraId="4DB35E9B" w14:textId="602748F0" w:rsidR="00E63108" w:rsidRDefault="00E63108" w:rsidP="00E63108">
      <w:pPr>
        <w:pStyle w:val="Heading4"/>
        <w:rPr>
          <w:sz w:val="20"/>
        </w:rPr>
      </w:pPr>
      <w:r w:rsidRPr="00E63108">
        <w:rPr>
          <w:sz w:val="20"/>
        </w:rPr>
        <w:t>Dissolution</w:t>
      </w:r>
    </w:p>
    <w:p w14:paraId="5E25FA60" w14:textId="3D81C34E" w:rsidR="00E63108" w:rsidRPr="00F01A39" w:rsidRDefault="00482ED1" w:rsidP="00E63108">
      <w:pPr>
        <w:pStyle w:val="ListParagraph"/>
        <w:numPr>
          <w:ilvl w:val="0"/>
          <w:numId w:val="23"/>
        </w:numPr>
      </w:pPr>
      <w:r>
        <w:rPr>
          <w:sz w:val="20"/>
        </w:rPr>
        <w:t>Statutory standards allowing courts to order dissolution of close corporations have evolved towards greater favorability to minority SHs seeking dissolution</w:t>
      </w:r>
    </w:p>
    <w:p w14:paraId="571E6577" w14:textId="24E9713E" w:rsidR="00F01A39" w:rsidRPr="00F01A39" w:rsidRDefault="00F01A39" w:rsidP="00F01A39">
      <w:pPr>
        <w:pStyle w:val="ListParagraph"/>
        <w:numPr>
          <w:ilvl w:val="1"/>
          <w:numId w:val="23"/>
        </w:numPr>
      </w:pPr>
      <w:r>
        <w:rPr>
          <w:sz w:val="20"/>
        </w:rPr>
        <w:t>Four factors the courts (might) consider in determining how protective of minority SHs to be:</w:t>
      </w:r>
    </w:p>
    <w:p w14:paraId="2AAA24ED" w14:textId="4A9A683D" w:rsidR="00F01A39" w:rsidRPr="00F01A39" w:rsidRDefault="00F01A39" w:rsidP="00F01A39">
      <w:pPr>
        <w:pStyle w:val="ListParagraph"/>
        <w:numPr>
          <w:ilvl w:val="2"/>
          <w:numId w:val="23"/>
        </w:numPr>
      </w:pPr>
      <w:r>
        <w:rPr>
          <w:sz w:val="20"/>
        </w:rPr>
        <w:t>Role of the parties’ reasonable expectations</w:t>
      </w:r>
    </w:p>
    <w:p w14:paraId="209DB72A" w14:textId="5600B446" w:rsidR="00F01A39" w:rsidRPr="00F01A39" w:rsidRDefault="00437D59" w:rsidP="00F01A39">
      <w:pPr>
        <w:pStyle w:val="ListParagraph"/>
        <w:numPr>
          <w:ilvl w:val="2"/>
          <w:numId w:val="23"/>
        </w:numPr>
      </w:pPr>
      <w:r>
        <w:rPr>
          <w:sz w:val="20"/>
        </w:rPr>
        <w:t>Remedies (B</w:t>
      </w:r>
      <w:r w:rsidR="00F01A39">
        <w:rPr>
          <w:sz w:val="20"/>
        </w:rPr>
        <w:t>uyout as less disruptive solution? Statutory authorization, or equitable powers?)</w:t>
      </w:r>
    </w:p>
    <w:p w14:paraId="2579E202" w14:textId="25F5E95C" w:rsidR="00F01A39" w:rsidRPr="00F01A39" w:rsidRDefault="00F01A39" w:rsidP="00F01A39">
      <w:pPr>
        <w:pStyle w:val="ListParagraph"/>
        <w:numPr>
          <w:ilvl w:val="2"/>
          <w:numId w:val="23"/>
        </w:numPr>
      </w:pPr>
      <w:r>
        <w:rPr>
          <w:sz w:val="20"/>
        </w:rPr>
        <w:t>Is dissolution statute restricted, in whole or in part, to close corporations?</w:t>
      </w:r>
    </w:p>
    <w:p w14:paraId="66064197" w14:textId="34685C51" w:rsidR="00F01A39" w:rsidRPr="00C24A7D" w:rsidRDefault="00F01A39" w:rsidP="00F01A39">
      <w:pPr>
        <w:pStyle w:val="ListParagraph"/>
        <w:numPr>
          <w:ilvl w:val="2"/>
          <w:numId w:val="23"/>
        </w:numPr>
      </w:pPr>
      <w:r>
        <w:rPr>
          <w:sz w:val="20"/>
        </w:rPr>
        <w:t>How do statutes</w:t>
      </w:r>
      <w:r w:rsidR="00A67626">
        <w:rPr>
          <w:sz w:val="20"/>
        </w:rPr>
        <w:t>/courts</w:t>
      </w:r>
      <w:r>
        <w:rPr>
          <w:sz w:val="20"/>
        </w:rPr>
        <w:t xml:space="preserve"> interact with contractual rights? </w:t>
      </w:r>
    </w:p>
    <w:p w14:paraId="527FF079" w14:textId="07C0E277" w:rsidR="00C24A7D" w:rsidRPr="00D96700" w:rsidRDefault="008D5FEA" w:rsidP="004143BB">
      <w:pPr>
        <w:pStyle w:val="ListParagraph"/>
        <w:numPr>
          <w:ilvl w:val="0"/>
          <w:numId w:val="23"/>
        </w:numPr>
      </w:pPr>
      <w:r>
        <w:rPr>
          <w:sz w:val="20"/>
        </w:rPr>
        <w:lastRenderedPageBreak/>
        <w:t xml:space="preserve">Initially, dissolution is only available if directors’ actions are illegal, oppressive or fraudulent, or if corporate assets are being wasted – </w:t>
      </w:r>
      <w:r>
        <w:rPr>
          <w:i/>
          <w:sz w:val="20"/>
        </w:rPr>
        <w:t xml:space="preserve">Alaska Plastics </w:t>
      </w:r>
      <w:r>
        <w:rPr>
          <w:sz w:val="20"/>
        </w:rPr>
        <w:t>(1980)</w:t>
      </w:r>
      <w:r w:rsidR="002E253A">
        <w:rPr>
          <w:sz w:val="20"/>
        </w:rPr>
        <w:t xml:space="preserve"> (Divorcee excluded from board meetings, did not receive “directors’ fees” like the other owners)</w:t>
      </w:r>
    </w:p>
    <w:p w14:paraId="0DBCAC9A" w14:textId="6F69C8CF" w:rsidR="00D96700" w:rsidRPr="005B002B" w:rsidRDefault="00D96700" w:rsidP="004143BB">
      <w:pPr>
        <w:pStyle w:val="ListParagraph"/>
        <w:numPr>
          <w:ilvl w:val="1"/>
          <w:numId w:val="23"/>
        </w:numPr>
      </w:pPr>
      <w:r>
        <w:rPr>
          <w:sz w:val="20"/>
        </w:rPr>
        <w:t xml:space="preserve">Because liquidation is such an extreme remedy, other equitable remedies </w:t>
      </w:r>
      <w:r w:rsidR="00BB7378">
        <w:rPr>
          <w:sz w:val="20"/>
        </w:rPr>
        <w:t xml:space="preserve">(such as buy-out of minority SHs) </w:t>
      </w:r>
      <w:r>
        <w:rPr>
          <w:sz w:val="20"/>
        </w:rPr>
        <w:t>may be used</w:t>
      </w:r>
    </w:p>
    <w:p w14:paraId="41C85AF3" w14:textId="400AF39A" w:rsidR="005B002B" w:rsidRPr="008402C5" w:rsidRDefault="005B002B" w:rsidP="004143BB">
      <w:pPr>
        <w:pStyle w:val="ListParagraph"/>
        <w:numPr>
          <w:ilvl w:val="1"/>
          <w:numId w:val="23"/>
        </w:numPr>
      </w:pPr>
      <w:r>
        <w:rPr>
          <w:sz w:val="20"/>
        </w:rPr>
        <w:t>Where a controlling SH takes advantage of a special benefit (directors’ fees), fiduciary duty requires corporation to offer that benefit to all SHs – “equal access”</w:t>
      </w:r>
    </w:p>
    <w:p w14:paraId="7F30214D" w14:textId="7DFB500A" w:rsidR="008402C5" w:rsidRPr="008402C5" w:rsidRDefault="008402C5" w:rsidP="004143BB">
      <w:pPr>
        <w:pStyle w:val="ListParagraph"/>
        <w:numPr>
          <w:ilvl w:val="0"/>
          <w:numId w:val="23"/>
        </w:numPr>
      </w:pPr>
      <w:proofErr w:type="spellStart"/>
      <w:r>
        <w:rPr>
          <w:i/>
          <w:sz w:val="20"/>
        </w:rPr>
        <w:t>Meiselman</w:t>
      </w:r>
      <w:proofErr w:type="spellEnd"/>
      <w:r>
        <w:rPr>
          <w:i/>
          <w:sz w:val="20"/>
        </w:rPr>
        <w:t xml:space="preserve"> v. </w:t>
      </w:r>
      <w:proofErr w:type="spellStart"/>
      <w:r>
        <w:rPr>
          <w:i/>
          <w:sz w:val="20"/>
        </w:rPr>
        <w:t>Meiselman</w:t>
      </w:r>
      <w:proofErr w:type="spellEnd"/>
      <w:r>
        <w:rPr>
          <w:i/>
          <w:sz w:val="20"/>
        </w:rPr>
        <w:t xml:space="preserve"> </w:t>
      </w:r>
      <w:r>
        <w:rPr>
          <w:sz w:val="20"/>
        </w:rPr>
        <w:t>(N.C. 1983) begins the shift to ordering dissolution when “reasonably necessary” for protection of rights and interests of complaining SHs</w:t>
      </w:r>
    </w:p>
    <w:p w14:paraId="3F2EB8FE" w14:textId="0EC8DFE8" w:rsidR="008402C5" w:rsidRPr="008402C5" w:rsidRDefault="008402C5" w:rsidP="004143BB">
      <w:pPr>
        <w:pStyle w:val="ListParagraph"/>
        <w:numPr>
          <w:ilvl w:val="1"/>
          <w:numId w:val="23"/>
        </w:numPr>
      </w:pPr>
      <w:r>
        <w:rPr>
          <w:sz w:val="20"/>
        </w:rPr>
        <w:t>Limited “rights and interests” to those expectations embodied in express or implied understandings</w:t>
      </w:r>
    </w:p>
    <w:p w14:paraId="1CE1DD86" w14:textId="33D5C2DB" w:rsidR="00B95A19" w:rsidRPr="00075F4D" w:rsidRDefault="008402C5" w:rsidP="004143BB">
      <w:pPr>
        <w:pStyle w:val="ListParagraph"/>
        <w:numPr>
          <w:ilvl w:val="1"/>
          <w:numId w:val="23"/>
        </w:numPr>
      </w:pPr>
      <w:r>
        <w:rPr>
          <w:sz w:val="20"/>
        </w:rPr>
        <w:t>Driving rationale is that minority SHs in close corporations are unable to bargain for their own protection, and must be defended by the courts</w:t>
      </w:r>
    </w:p>
    <w:p w14:paraId="7D715913" w14:textId="77777777" w:rsidR="00075F4D" w:rsidRPr="00075F4D" w:rsidRDefault="00075F4D" w:rsidP="004143BB">
      <w:pPr>
        <w:pStyle w:val="ListParagraph"/>
        <w:numPr>
          <w:ilvl w:val="0"/>
          <w:numId w:val="23"/>
        </w:numPr>
      </w:pPr>
      <w:r>
        <w:rPr>
          <w:sz w:val="20"/>
        </w:rPr>
        <w:t xml:space="preserve">By </w:t>
      </w:r>
      <w:r>
        <w:rPr>
          <w:i/>
          <w:sz w:val="20"/>
        </w:rPr>
        <w:t xml:space="preserve">Pedro v. Pedro </w:t>
      </w:r>
      <w:r>
        <w:rPr>
          <w:sz w:val="20"/>
        </w:rPr>
        <w:t>(Minn. 1992), courts no longer have to rely on equitable powers – statute itself allows forced buy-out as a remedy for freeze-outs of minority SHs</w:t>
      </w:r>
    </w:p>
    <w:p w14:paraId="2AA10B40" w14:textId="51DBD1F6" w:rsidR="00075F4D" w:rsidRPr="004143BB" w:rsidRDefault="00075F4D" w:rsidP="004143BB">
      <w:pPr>
        <w:pStyle w:val="ListParagraph"/>
        <w:numPr>
          <w:ilvl w:val="1"/>
          <w:numId w:val="23"/>
        </w:numPr>
      </w:pPr>
      <w:r>
        <w:rPr>
          <w:sz w:val="20"/>
        </w:rPr>
        <w:t xml:space="preserve"> </w:t>
      </w:r>
      <w:r w:rsidR="004143BB">
        <w:rPr>
          <w:sz w:val="20"/>
        </w:rPr>
        <w:t>Court looks to minority’s “reasonable expectations” when awarding damages</w:t>
      </w:r>
    </w:p>
    <w:p w14:paraId="7912A614" w14:textId="1AA75225" w:rsidR="004143BB" w:rsidRPr="00DB6528" w:rsidRDefault="005574D5" w:rsidP="004143BB">
      <w:pPr>
        <w:pStyle w:val="ListParagraph"/>
        <w:numPr>
          <w:ilvl w:val="0"/>
          <w:numId w:val="23"/>
        </w:numPr>
      </w:pPr>
      <w:proofErr w:type="spellStart"/>
      <w:r>
        <w:rPr>
          <w:i/>
          <w:sz w:val="20"/>
        </w:rPr>
        <w:t>Stuparich</w:t>
      </w:r>
      <w:proofErr w:type="spellEnd"/>
      <w:r>
        <w:rPr>
          <w:i/>
          <w:sz w:val="20"/>
        </w:rPr>
        <w:t xml:space="preserve"> v. Harbor Furniture </w:t>
      </w:r>
      <w:r>
        <w:rPr>
          <w:sz w:val="20"/>
        </w:rPr>
        <w:t>(CA 2000) is an example of a modern, liberal statute – no requirement of oppressive or unfairly prejudicial conduct</w:t>
      </w:r>
      <w:r w:rsidR="006E5C61">
        <w:rPr>
          <w:sz w:val="20"/>
        </w:rPr>
        <w:t>, just “reasonably necessary” to protect SHs</w:t>
      </w:r>
      <w:r w:rsidR="00F77F27">
        <w:rPr>
          <w:sz w:val="20"/>
        </w:rPr>
        <w:t>’</w:t>
      </w:r>
      <w:r w:rsidR="006E5C61">
        <w:rPr>
          <w:sz w:val="20"/>
        </w:rPr>
        <w:t xml:space="preserve"> rights or interests</w:t>
      </w:r>
    </w:p>
    <w:p w14:paraId="2885CAEA" w14:textId="46B0B165" w:rsidR="00DB6528" w:rsidRPr="00DB6528" w:rsidRDefault="00DB6528" w:rsidP="00DB6528">
      <w:pPr>
        <w:pStyle w:val="ListParagraph"/>
        <w:numPr>
          <w:ilvl w:val="1"/>
          <w:numId w:val="23"/>
        </w:numPr>
      </w:pPr>
      <w:r>
        <w:rPr>
          <w:sz w:val="20"/>
        </w:rPr>
        <w:t xml:space="preserve">Nevertheless, plaintiffs lose because large dividends were still being given – context </w:t>
      </w:r>
      <w:r>
        <w:rPr>
          <w:i/>
          <w:sz w:val="20"/>
        </w:rPr>
        <w:t>matters</w:t>
      </w:r>
    </w:p>
    <w:p w14:paraId="03924C4F" w14:textId="5E90133F" w:rsidR="00DB6528" w:rsidRPr="008C4E48" w:rsidRDefault="00DB6528" w:rsidP="00DB6528">
      <w:pPr>
        <w:pStyle w:val="ListParagraph"/>
        <w:numPr>
          <w:ilvl w:val="1"/>
          <w:numId w:val="23"/>
        </w:numPr>
      </w:pPr>
      <w:r>
        <w:rPr>
          <w:sz w:val="20"/>
        </w:rPr>
        <w:t>BJR may still be invoked to discourage judicial intervention in close corporations</w:t>
      </w:r>
    </w:p>
    <w:p w14:paraId="583F2E81" w14:textId="3B404B9D" w:rsidR="008C4E48" w:rsidRPr="005F1AE2" w:rsidRDefault="008C4E48" w:rsidP="008C4E48">
      <w:pPr>
        <w:pStyle w:val="ListParagraph"/>
        <w:numPr>
          <w:ilvl w:val="0"/>
          <w:numId w:val="23"/>
        </w:numPr>
      </w:pPr>
      <w:r>
        <w:rPr>
          <w:i/>
          <w:sz w:val="20"/>
        </w:rPr>
        <w:t>Haley v. Talcott</w:t>
      </w:r>
      <w:r w:rsidR="00A14E59">
        <w:rPr>
          <w:sz w:val="20"/>
        </w:rPr>
        <w:t xml:space="preserve"> (DE 2004) </w:t>
      </w:r>
      <w:r w:rsidR="00216F9B">
        <w:rPr>
          <w:sz w:val="20"/>
        </w:rPr>
        <w:t>(</w:t>
      </w:r>
      <w:proofErr w:type="spellStart"/>
      <w:r w:rsidR="00216F9B">
        <w:rPr>
          <w:sz w:val="20"/>
        </w:rPr>
        <w:t>Redfin</w:t>
      </w:r>
      <w:proofErr w:type="spellEnd"/>
      <w:r w:rsidR="00216F9B">
        <w:rPr>
          <w:sz w:val="20"/>
        </w:rPr>
        <w:t xml:space="preserve"> Grill dispute between two partners) </w:t>
      </w:r>
      <w:r w:rsidR="00434A88">
        <w:rPr>
          <w:sz w:val="20"/>
        </w:rPr>
        <w:t>is a</w:t>
      </w:r>
      <w:r w:rsidR="00A14E59">
        <w:rPr>
          <w:sz w:val="20"/>
        </w:rPr>
        <w:t xml:space="preserve"> purely equitable decision – dissolution of an LLC </w:t>
      </w:r>
      <w:r w:rsidR="00434A88">
        <w:rPr>
          <w:sz w:val="20"/>
        </w:rPr>
        <w:t xml:space="preserve">whenever </w:t>
      </w:r>
      <w:r w:rsidR="00A14E59">
        <w:rPr>
          <w:sz w:val="20"/>
        </w:rPr>
        <w:t>“not reasonably practicable to carry on the business in conformity with the LLC agreement”</w:t>
      </w:r>
      <w:r w:rsidR="00434A88">
        <w:rPr>
          <w:sz w:val="20"/>
        </w:rPr>
        <w:t xml:space="preserve"> (similar to UPA §32(1)(d))</w:t>
      </w:r>
    </w:p>
    <w:p w14:paraId="4ADEDE2F" w14:textId="311CD8BB" w:rsidR="005F1AE2" w:rsidRPr="005A67FA" w:rsidRDefault="00D9116E" w:rsidP="005F1AE2">
      <w:pPr>
        <w:pStyle w:val="ListParagraph"/>
        <w:numPr>
          <w:ilvl w:val="1"/>
          <w:numId w:val="23"/>
        </w:numPr>
      </w:pPr>
      <w:r>
        <w:rPr>
          <w:sz w:val="20"/>
        </w:rPr>
        <w:t>Because contracted-for protections do not provide an equitable outcome (exiting partner remains personally liable for mortgage), court may order dissolution</w:t>
      </w:r>
    </w:p>
    <w:p w14:paraId="3AB35287" w14:textId="1906CB9F" w:rsidR="005A67FA" w:rsidRPr="00496FC0" w:rsidRDefault="005A67FA" w:rsidP="005F1AE2">
      <w:pPr>
        <w:pStyle w:val="ListParagraph"/>
        <w:numPr>
          <w:ilvl w:val="1"/>
          <w:numId w:val="23"/>
        </w:numPr>
      </w:pPr>
      <w:r>
        <w:rPr>
          <w:sz w:val="20"/>
        </w:rPr>
        <w:t>Almost seems to be default rule that court may order involuntary dissolution!</w:t>
      </w:r>
    </w:p>
    <w:p w14:paraId="34BE5AEB" w14:textId="77777777" w:rsidR="00496FC0" w:rsidRPr="00E63108" w:rsidRDefault="00496FC0" w:rsidP="00496FC0"/>
    <w:p w14:paraId="78E807DC" w14:textId="34D494AC" w:rsidR="00FF1C71" w:rsidRDefault="00FF1C71" w:rsidP="00FF1C71">
      <w:pPr>
        <w:pStyle w:val="Heading4"/>
        <w:rPr>
          <w:sz w:val="20"/>
        </w:rPr>
      </w:pPr>
      <w:r>
        <w:rPr>
          <w:sz w:val="20"/>
        </w:rPr>
        <w:t>Transfer of Control</w:t>
      </w:r>
    </w:p>
    <w:p w14:paraId="701D057F" w14:textId="07C75D0C" w:rsidR="00ED591D" w:rsidRDefault="007D20AD" w:rsidP="00496FC0">
      <w:pPr>
        <w:pStyle w:val="ListParagraph"/>
        <w:numPr>
          <w:ilvl w:val="0"/>
          <w:numId w:val="24"/>
        </w:numPr>
        <w:rPr>
          <w:sz w:val="20"/>
        </w:rPr>
      </w:pPr>
      <w:r>
        <w:rPr>
          <w:sz w:val="20"/>
        </w:rPr>
        <w:t>Control premiums permitted in sale</w:t>
      </w:r>
      <w:r w:rsidR="00BA7B5C">
        <w:rPr>
          <w:sz w:val="20"/>
        </w:rPr>
        <w:t xml:space="preserve"> o</w:t>
      </w:r>
      <w:r>
        <w:rPr>
          <w:sz w:val="20"/>
        </w:rPr>
        <w:t>f corporate assets/shares if</w:t>
      </w:r>
      <w:r w:rsidR="00ED591D">
        <w:rPr>
          <w:sz w:val="20"/>
        </w:rPr>
        <w:t xml:space="preserve"> there is not: (</w:t>
      </w:r>
      <w:proofErr w:type="spellStart"/>
      <w:r w:rsidR="00ED591D">
        <w:rPr>
          <w:i/>
          <w:sz w:val="20"/>
        </w:rPr>
        <w:t>Zetlin</w:t>
      </w:r>
      <w:proofErr w:type="spellEnd"/>
      <w:r w:rsidR="00ED591D">
        <w:rPr>
          <w:i/>
          <w:sz w:val="20"/>
        </w:rPr>
        <w:t xml:space="preserve"> v. Hanson Holdings</w:t>
      </w:r>
      <w:r w:rsidR="00ED591D">
        <w:rPr>
          <w:sz w:val="20"/>
        </w:rPr>
        <w:t>)</w:t>
      </w:r>
    </w:p>
    <w:p w14:paraId="26E84FF2" w14:textId="77777777" w:rsidR="00ED591D" w:rsidRDefault="00ED591D" w:rsidP="00ED591D">
      <w:pPr>
        <w:pStyle w:val="ListParagraph"/>
        <w:numPr>
          <w:ilvl w:val="1"/>
          <w:numId w:val="24"/>
        </w:numPr>
        <w:rPr>
          <w:sz w:val="20"/>
        </w:rPr>
      </w:pPr>
      <w:r>
        <w:rPr>
          <w:sz w:val="20"/>
        </w:rPr>
        <w:t>A</w:t>
      </w:r>
      <w:r w:rsidR="00BA7B5C">
        <w:rPr>
          <w:sz w:val="20"/>
        </w:rPr>
        <w:t xml:space="preserve"> sale to a known corporate looter</w:t>
      </w:r>
    </w:p>
    <w:p w14:paraId="253B3222" w14:textId="023DE9B4" w:rsidR="00ED591D" w:rsidRDefault="00ED591D" w:rsidP="00ED591D">
      <w:pPr>
        <w:pStyle w:val="ListParagraph"/>
        <w:numPr>
          <w:ilvl w:val="1"/>
          <w:numId w:val="24"/>
        </w:numPr>
        <w:rPr>
          <w:sz w:val="20"/>
        </w:rPr>
      </w:pPr>
      <w:r>
        <w:rPr>
          <w:sz w:val="20"/>
        </w:rPr>
        <w:t>C</w:t>
      </w:r>
      <w:r w:rsidR="00BA7B5C">
        <w:rPr>
          <w:sz w:val="20"/>
        </w:rPr>
        <w:t>onversion of a corporate opportunity</w:t>
      </w:r>
    </w:p>
    <w:p w14:paraId="5C90744D" w14:textId="77777777" w:rsidR="00696EF4" w:rsidRDefault="00696EF4" w:rsidP="00696EF4">
      <w:pPr>
        <w:pStyle w:val="ListParagraph"/>
        <w:numPr>
          <w:ilvl w:val="2"/>
          <w:numId w:val="24"/>
        </w:numPr>
        <w:rPr>
          <w:sz w:val="20"/>
        </w:rPr>
      </w:pPr>
      <w:r>
        <w:rPr>
          <w:sz w:val="20"/>
        </w:rPr>
        <w:t>Buyer’s offer to purchase entire corporation, seller convinces to purchase only a control premium may be conversion of a corporate opportunity</w:t>
      </w:r>
    </w:p>
    <w:p w14:paraId="1C3B5FCE" w14:textId="17C3A58B" w:rsidR="00696EF4" w:rsidRDefault="0081165F" w:rsidP="00696EF4">
      <w:pPr>
        <w:pStyle w:val="ListParagraph"/>
        <w:numPr>
          <w:ilvl w:val="2"/>
          <w:numId w:val="24"/>
        </w:numPr>
        <w:rPr>
          <w:sz w:val="20"/>
        </w:rPr>
      </w:pPr>
      <w:r>
        <w:rPr>
          <w:sz w:val="20"/>
        </w:rPr>
        <w:t xml:space="preserve">If the control premium actually represents a corporate opportunity to take advantage of special conditions, premium may be invalidated – </w:t>
      </w:r>
      <w:r>
        <w:rPr>
          <w:i/>
          <w:sz w:val="20"/>
        </w:rPr>
        <w:t>Perlman v. Feldman</w:t>
      </w:r>
      <w:r>
        <w:rPr>
          <w:sz w:val="20"/>
        </w:rPr>
        <w:t xml:space="preserve"> (steel shortage during Korean War foreclosed premium for selling to consumers of steel products)</w:t>
      </w:r>
    </w:p>
    <w:p w14:paraId="47B276CC" w14:textId="1D6C9B17" w:rsidR="00674024" w:rsidRDefault="00674024" w:rsidP="00674024">
      <w:pPr>
        <w:pStyle w:val="ListParagraph"/>
        <w:numPr>
          <w:ilvl w:val="3"/>
          <w:numId w:val="24"/>
        </w:numPr>
        <w:rPr>
          <w:sz w:val="20"/>
        </w:rPr>
      </w:pPr>
      <w:r>
        <w:rPr>
          <w:sz w:val="20"/>
        </w:rPr>
        <w:t xml:space="preserve">Analogy to Corporate Opportunity Doctrine – payment of </w:t>
      </w:r>
      <w:r>
        <w:rPr>
          <w:i/>
          <w:sz w:val="20"/>
        </w:rPr>
        <w:t xml:space="preserve">stock </w:t>
      </w:r>
      <w:r>
        <w:rPr>
          <w:sz w:val="20"/>
        </w:rPr>
        <w:t xml:space="preserve">premium to obtain cheaper </w:t>
      </w:r>
      <w:r>
        <w:rPr>
          <w:i/>
          <w:sz w:val="20"/>
        </w:rPr>
        <w:t xml:space="preserve">steel </w:t>
      </w:r>
      <w:r>
        <w:rPr>
          <w:sz w:val="20"/>
        </w:rPr>
        <w:t>does not benefit all SHs ratably</w:t>
      </w:r>
    </w:p>
    <w:p w14:paraId="19390336" w14:textId="77777777" w:rsidR="00ED591D" w:rsidRDefault="00ED591D" w:rsidP="00ED591D">
      <w:pPr>
        <w:pStyle w:val="ListParagraph"/>
        <w:numPr>
          <w:ilvl w:val="1"/>
          <w:numId w:val="24"/>
        </w:numPr>
        <w:rPr>
          <w:sz w:val="20"/>
        </w:rPr>
      </w:pPr>
      <w:r>
        <w:rPr>
          <w:sz w:val="20"/>
        </w:rPr>
        <w:t>F</w:t>
      </w:r>
      <w:r w:rsidR="00BA7B5C">
        <w:rPr>
          <w:sz w:val="20"/>
        </w:rPr>
        <w:t>raud</w:t>
      </w:r>
    </w:p>
    <w:p w14:paraId="78F75887" w14:textId="6F239ECC" w:rsidR="000C753C" w:rsidRDefault="00ED591D" w:rsidP="00ED591D">
      <w:pPr>
        <w:pStyle w:val="ListParagraph"/>
        <w:numPr>
          <w:ilvl w:val="1"/>
          <w:numId w:val="24"/>
        </w:numPr>
        <w:rPr>
          <w:sz w:val="20"/>
        </w:rPr>
      </w:pPr>
      <w:r>
        <w:rPr>
          <w:sz w:val="20"/>
        </w:rPr>
        <w:t>O</w:t>
      </w:r>
      <w:r w:rsidR="00BA7B5C">
        <w:rPr>
          <w:sz w:val="20"/>
        </w:rPr>
        <w:t>ther misconduct</w:t>
      </w:r>
    </w:p>
    <w:p w14:paraId="448FDF36" w14:textId="6F3EA43C" w:rsidR="007D20AD" w:rsidRDefault="007D20AD" w:rsidP="007D20AD">
      <w:pPr>
        <w:pStyle w:val="ListParagraph"/>
        <w:numPr>
          <w:ilvl w:val="2"/>
          <w:numId w:val="24"/>
        </w:numPr>
        <w:rPr>
          <w:sz w:val="20"/>
        </w:rPr>
      </w:pPr>
      <w:r>
        <w:rPr>
          <w:sz w:val="20"/>
        </w:rPr>
        <w:t>If misconduct is found, court may give premium to either SHs or corporation</w:t>
      </w:r>
    </w:p>
    <w:p w14:paraId="53C4928D" w14:textId="291E3536" w:rsidR="00BA7B5C" w:rsidRPr="007D20AD" w:rsidRDefault="000C753C" w:rsidP="007D20AD">
      <w:pPr>
        <w:pStyle w:val="ListParagraph"/>
        <w:numPr>
          <w:ilvl w:val="0"/>
          <w:numId w:val="24"/>
        </w:numPr>
        <w:rPr>
          <w:sz w:val="20"/>
        </w:rPr>
      </w:pPr>
      <w:r>
        <w:rPr>
          <w:sz w:val="20"/>
        </w:rPr>
        <w:t>“Equal opportunity rule” (premi</w:t>
      </w:r>
      <w:r w:rsidR="00401E9A">
        <w:rPr>
          <w:sz w:val="20"/>
        </w:rPr>
        <w:t>um</w:t>
      </w:r>
      <w:r>
        <w:rPr>
          <w:sz w:val="20"/>
        </w:rPr>
        <w:t xml:space="preserve"> must be shared with minority SHs) </w:t>
      </w:r>
      <w:r w:rsidR="00401E9A">
        <w:rPr>
          <w:sz w:val="20"/>
        </w:rPr>
        <w:t>is the norm</w:t>
      </w:r>
      <w:r>
        <w:rPr>
          <w:sz w:val="20"/>
        </w:rPr>
        <w:t xml:space="preserve"> – U.S. is the exception</w:t>
      </w:r>
      <w:r w:rsidR="00BA7B5C">
        <w:rPr>
          <w:sz w:val="20"/>
        </w:rPr>
        <w:t xml:space="preserve"> </w:t>
      </w:r>
    </w:p>
    <w:p w14:paraId="7E64E99B" w14:textId="2D29ECE5" w:rsidR="00BA7B5C" w:rsidRDefault="00BA7B5C" w:rsidP="00BA7B5C">
      <w:pPr>
        <w:pStyle w:val="ListParagraph"/>
        <w:numPr>
          <w:ilvl w:val="0"/>
          <w:numId w:val="24"/>
        </w:numPr>
        <w:rPr>
          <w:sz w:val="20"/>
        </w:rPr>
      </w:pPr>
      <w:r>
        <w:rPr>
          <w:sz w:val="20"/>
        </w:rPr>
        <w:t xml:space="preserve">Although minority SHs may contract for provisions to protect themselves in the event of a sale of corporate assets, courts will generally construe these protections narrowly – </w:t>
      </w:r>
      <w:proofErr w:type="spellStart"/>
      <w:r>
        <w:rPr>
          <w:i/>
          <w:sz w:val="20"/>
        </w:rPr>
        <w:t>Frandsen</w:t>
      </w:r>
      <w:proofErr w:type="spellEnd"/>
      <w:r>
        <w:rPr>
          <w:i/>
          <w:sz w:val="20"/>
        </w:rPr>
        <w:t xml:space="preserve"> v. Jensen-</w:t>
      </w:r>
      <w:proofErr w:type="spellStart"/>
      <w:r>
        <w:rPr>
          <w:i/>
          <w:sz w:val="20"/>
        </w:rPr>
        <w:t>Sundquist</w:t>
      </w:r>
      <w:proofErr w:type="spellEnd"/>
    </w:p>
    <w:p w14:paraId="3088F5E0" w14:textId="3A9E5A41" w:rsidR="004D436B" w:rsidRPr="004D436B" w:rsidRDefault="00BA7B5C" w:rsidP="004D436B">
      <w:pPr>
        <w:pStyle w:val="ListParagraph"/>
        <w:numPr>
          <w:ilvl w:val="1"/>
          <w:numId w:val="24"/>
        </w:numPr>
        <w:rPr>
          <w:sz w:val="20"/>
        </w:rPr>
      </w:pPr>
      <w:r>
        <w:rPr>
          <w:sz w:val="20"/>
        </w:rPr>
        <w:t>Court construes right of first refusal to protect only investor’s reasonable expectations (not to be frozen-out by new majority), not ongoing participation following complete buy-ou</w:t>
      </w:r>
      <w:r w:rsidR="004D436B">
        <w:rPr>
          <w:sz w:val="20"/>
        </w:rPr>
        <w:t>t</w:t>
      </w:r>
    </w:p>
    <w:p w14:paraId="54D1C9E1" w14:textId="47595216" w:rsidR="004D436B" w:rsidRDefault="004D436B" w:rsidP="00BA7B5C">
      <w:pPr>
        <w:pStyle w:val="ListParagraph"/>
        <w:numPr>
          <w:ilvl w:val="1"/>
          <w:numId w:val="24"/>
        </w:numPr>
        <w:rPr>
          <w:sz w:val="20"/>
        </w:rPr>
      </w:pPr>
      <w:r>
        <w:rPr>
          <w:sz w:val="20"/>
        </w:rPr>
        <w:t>Court has to elevate form over substance here (sale of assets + liquidation ≠ sale of shares?)</w:t>
      </w:r>
    </w:p>
    <w:p w14:paraId="48AEF347" w14:textId="43FB6104" w:rsidR="004D436B" w:rsidRDefault="004D436B" w:rsidP="004D436B">
      <w:pPr>
        <w:pStyle w:val="ListParagraph"/>
        <w:numPr>
          <w:ilvl w:val="2"/>
          <w:numId w:val="24"/>
        </w:numPr>
        <w:rPr>
          <w:sz w:val="20"/>
        </w:rPr>
      </w:pPr>
      <w:r>
        <w:rPr>
          <w:sz w:val="20"/>
        </w:rPr>
        <w:lastRenderedPageBreak/>
        <w:t>Skeptical of elevating substance over form when detailed contract is involved?</w:t>
      </w:r>
    </w:p>
    <w:p w14:paraId="150E80BC" w14:textId="77777777" w:rsidR="00416EA3" w:rsidRDefault="00DB1094" w:rsidP="00DB1094">
      <w:pPr>
        <w:pStyle w:val="ListParagraph"/>
        <w:numPr>
          <w:ilvl w:val="1"/>
          <w:numId w:val="24"/>
        </w:numPr>
        <w:rPr>
          <w:sz w:val="20"/>
        </w:rPr>
      </w:pPr>
      <w:r>
        <w:rPr>
          <w:sz w:val="20"/>
        </w:rPr>
        <w:t xml:space="preserve">Typical contractual restrictions on transfer include: </w:t>
      </w:r>
    </w:p>
    <w:p w14:paraId="22913A39" w14:textId="77777777" w:rsidR="00416EA3" w:rsidRDefault="00DB1094" w:rsidP="00416EA3">
      <w:pPr>
        <w:pStyle w:val="ListParagraph"/>
        <w:numPr>
          <w:ilvl w:val="2"/>
          <w:numId w:val="24"/>
        </w:numPr>
        <w:rPr>
          <w:sz w:val="20"/>
        </w:rPr>
      </w:pPr>
      <w:r>
        <w:rPr>
          <w:sz w:val="20"/>
        </w:rPr>
        <w:t>Flat prohibitions (l</w:t>
      </w:r>
      <w:r w:rsidR="00416EA3">
        <w:rPr>
          <w:sz w:val="20"/>
        </w:rPr>
        <w:t>ikely invalid)</w:t>
      </w:r>
    </w:p>
    <w:p w14:paraId="4E04274D" w14:textId="77777777" w:rsidR="00416EA3" w:rsidRDefault="00DB1094" w:rsidP="00416EA3">
      <w:pPr>
        <w:pStyle w:val="ListParagraph"/>
        <w:numPr>
          <w:ilvl w:val="2"/>
          <w:numId w:val="24"/>
        </w:numPr>
        <w:rPr>
          <w:sz w:val="20"/>
        </w:rPr>
      </w:pPr>
      <w:r>
        <w:rPr>
          <w:sz w:val="20"/>
        </w:rPr>
        <w:t>SH approval</w:t>
      </w:r>
    </w:p>
    <w:p w14:paraId="3EF52E5A" w14:textId="77777777" w:rsidR="00416EA3" w:rsidRDefault="00DB1094" w:rsidP="00416EA3">
      <w:pPr>
        <w:pStyle w:val="ListParagraph"/>
        <w:numPr>
          <w:ilvl w:val="2"/>
          <w:numId w:val="24"/>
        </w:numPr>
        <w:rPr>
          <w:sz w:val="20"/>
        </w:rPr>
      </w:pPr>
      <w:r>
        <w:rPr>
          <w:sz w:val="20"/>
        </w:rPr>
        <w:t xml:space="preserve">Right of first refusal (SH must offer corporation or other SHs right to purchase before selling on </w:t>
      </w:r>
      <w:r w:rsidR="00416EA3">
        <w:rPr>
          <w:sz w:val="20"/>
        </w:rPr>
        <w:t>open market)</w:t>
      </w:r>
    </w:p>
    <w:p w14:paraId="7033D80B" w14:textId="77777777" w:rsidR="00416EA3" w:rsidRDefault="00DB1094" w:rsidP="00416EA3">
      <w:pPr>
        <w:pStyle w:val="ListParagraph"/>
        <w:numPr>
          <w:ilvl w:val="2"/>
          <w:numId w:val="24"/>
        </w:numPr>
        <w:rPr>
          <w:sz w:val="20"/>
        </w:rPr>
      </w:pPr>
      <w:r>
        <w:rPr>
          <w:sz w:val="20"/>
        </w:rPr>
        <w:t>First-purchase option (sale price determined</w:t>
      </w:r>
      <w:r w:rsidR="00416EA3">
        <w:rPr>
          <w:sz w:val="20"/>
        </w:rPr>
        <w:t xml:space="preserve"> by previous agreement)</w:t>
      </w:r>
    </w:p>
    <w:p w14:paraId="1FBA1B48" w14:textId="77777777" w:rsidR="00416EA3" w:rsidRDefault="00DB1094" w:rsidP="00416EA3">
      <w:pPr>
        <w:pStyle w:val="ListParagraph"/>
        <w:numPr>
          <w:ilvl w:val="2"/>
          <w:numId w:val="24"/>
        </w:numPr>
        <w:rPr>
          <w:sz w:val="20"/>
        </w:rPr>
      </w:pPr>
      <w:r>
        <w:rPr>
          <w:sz w:val="20"/>
        </w:rPr>
        <w:t>Stock buy-back (contingent right (not obligation) for corporation to repurchase)</w:t>
      </w:r>
    </w:p>
    <w:p w14:paraId="63D86FEC" w14:textId="3981D9FD" w:rsidR="00DB1094" w:rsidRDefault="00DB1094" w:rsidP="00416EA3">
      <w:pPr>
        <w:pStyle w:val="ListParagraph"/>
        <w:numPr>
          <w:ilvl w:val="2"/>
          <w:numId w:val="24"/>
        </w:numPr>
        <w:rPr>
          <w:sz w:val="20"/>
        </w:rPr>
      </w:pPr>
      <w:r>
        <w:rPr>
          <w:sz w:val="20"/>
        </w:rPr>
        <w:t>Mandatory buy-sell</w:t>
      </w:r>
      <w:r w:rsidR="00416EA3">
        <w:rPr>
          <w:sz w:val="20"/>
        </w:rPr>
        <w:t xml:space="preserve"> (same as above, but can also be offer to purchase/obligation to sell at a specific price</w:t>
      </w:r>
      <w:r w:rsidR="00512B29">
        <w:rPr>
          <w:sz w:val="20"/>
        </w:rPr>
        <w:t xml:space="preserve"> among SHs or corporation</w:t>
      </w:r>
      <w:r w:rsidR="00416EA3">
        <w:rPr>
          <w:sz w:val="20"/>
        </w:rPr>
        <w:t>)</w:t>
      </w:r>
    </w:p>
    <w:p w14:paraId="09D660BA" w14:textId="6B421969" w:rsidR="00D33FFE" w:rsidRDefault="00D33FFE" w:rsidP="00D33FFE">
      <w:pPr>
        <w:pStyle w:val="ListParagraph"/>
        <w:numPr>
          <w:ilvl w:val="0"/>
          <w:numId w:val="24"/>
        </w:numPr>
        <w:rPr>
          <w:sz w:val="20"/>
        </w:rPr>
      </w:pPr>
      <w:r>
        <w:rPr>
          <w:sz w:val="20"/>
        </w:rPr>
        <w:t xml:space="preserve">Controlling SHs may receive payment to ensure immediate transfer of management control to new SH – </w:t>
      </w:r>
      <w:r>
        <w:rPr>
          <w:i/>
          <w:sz w:val="20"/>
        </w:rPr>
        <w:t>Essex v. Yates</w:t>
      </w:r>
    </w:p>
    <w:p w14:paraId="61D5B6D2" w14:textId="3EB145F8" w:rsidR="006979BC" w:rsidRDefault="006979BC" w:rsidP="006979BC">
      <w:pPr>
        <w:pStyle w:val="ListParagraph"/>
        <w:numPr>
          <w:ilvl w:val="1"/>
          <w:numId w:val="24"/>
        </w:numPr>
        <w:rPr>
          <w:sz w:val="20"/>
        </w:rPr>
      </w:pPr>
      <w:r>
        <w:rPr>
          <w:sz w:val="20"/>
        </w:rPr>
        <w:t>“Naked” sale of corporate office is forbidden as a conflict of directors’ fiduciary duties</w:t>
      </w:r>
    </w:p>
    <w:p w14:paraId="31D601FB" w14:textId="1ABE7963" w:rsidR="000C753C" w:rsidRPr="00496FC0" w:rsidRDefault="00401E9A" w:rsidP="006979BC">
      <w:pPr>
        <w:pStyle w:val="ListParagraph"/>
        <w:numPr>
          <w:ilvl w:val="1"/>
          <w:numId w:val="24"/>
        </w:numPr>
        <w:rPr>
          <w:sz w:val="20"/>
        </w:rPr>
      </w:pPr>
      <w:r>
        <w:rPr>
          <w:sz w:val="20"/>
        </w:rPr>
        <w:t xml:space="preserve">Effective working control </w:t>
      </w:r>
      <w:r>
        <w:rPr>
          <w:i/>
          <w:sz w:val="20"/>
        </w:rPr>
        <w:t xml:space="preserve">might </w:t>
      </w:r>
      <w:r>
        <w:rPr>
          <w:sz w:val="20"/>
        </w:rPr>
        <w:t>be sufficient to allow immediate transfer – burden of proof is on party attacking transaction to show a block of stock is not large enough to constitute control</w:t>
      </w:r>
    </w:p>
    <w:p w14:paraId="0B8A1276" w14:textId="6BB85B95" w:rsidR="00FF1C71" w:rsidRDefault="00FF1C71" w:rsidP="00FF1C71">
      <w:pPr>
        <w:pStyle w:val="Heading3"/>
        <w:rPr>
          <w:sz w:val="22"/>
        </w:rPr>
      </w:pPr>
      <w:r w:rsidRPr="00FF1C71">
        <w:rPr>
          <w:sz w:val="22"/>
        </w:rPr>
        <w:t>Mergers &amp; Acquisitions</w:t>
      </w:r>
    </w:p>
    <w:p w14:paraId="1A9E4A75" w14:textId="3D0AFC24" w:rsidR="003301BB" w:rsidRPr="003301BB" w:rsidRDefault="003301BB" w:rsidP="003301BB">
      <w:pPr>
        <w:pStyle w:val="ListParagraph"/>
        <w:numPr>
          <w:ilvl w:val="0"/>
          <w:numId w:val="25"/>
        </w:numPr>
      </w:pPr>
      <w:r>
        <w:rPr>
          <w:sz w:val="20"/>
        </w:rPr>
        <w:t>Seven possible standards of review for mergers/acquisitions (in Delaware):</w:t>
      </w:r>
    </w:p>
    <w:p w14:paraId="6977C140" w14:textId="6F8FF62B" w:rsidR="003301BB" w:rsidRPr="000E6DF1" w:rsidRDefault="003301BB" w:rsidP="003301BB">
      <w:pPr>
        <w:pStyle w:val="ListParagraph"/>
        <w:numPr>
          <w:ilvl w:val="1"/>
          <w:numId w:val="25"/>
        </w:numPr>
      </w:pPr>
      <w:r>
        <w:rPr>
          <w:sz w:val="20"/>
        </w:rPr>
        <w:t>Business Judgment Rule</w:t>
      </w:r>
      <w:r w:rsidR="000E6DF1">
        <w:rPr>
          <w:sz w:val="20"/>
        </w:rPr>
        <w:t xml:space="preserve"> – related to duty of care (</w:t>
      </w:r>
      <w:r w:rsidR="000E6DF1">
        <w:rPr>
          <w:i/>
          <w:sz w:val="20"/>
        </w:rPr>
        <w:t xml:space="preserve">Van </w:t>
      </w:r>
      <w:proofErr w:type="spellStart"/>
      <w:r w:rsidR="000E6DF1">
        <w:rPr>
          <w:i/>
          <w:sz w:val="20"/>
        </w:rPr>
        <w:t>Gorkom</w:t>
      </w:r>
      <w:proofErr w:type="spellEnd"/>
      <w:r w:rsidR="000E6DF1">
        <w:rPr>
          <w:sz w:val="20"/>
        </w:rPr>
        <w:t>)</w:t>
      </w:r>
    </w:p>
    <w:p w14:paraId="00E3B1AB" w14:textId="368B175F" w:rsidR="000E6DF1" w:rsidRPr="003301BB" w:rsidRDefault="000E6DF1" w:rsidP="000E6DF1">
      <w:pPr>
        <w:pStyle w:val="ListParagraph"/>
        <w:numPr>
          <w:ilvl w:val="2"/>
          <w:numId w:val="25"/>
        </w:numPr>
      </w:pPr>
      <w:r>
        <w:rPr>
          <w:sz w:val="20"/>
        </w:rPr>
        <w:t>Plaintiffs must allege either process defect or irrationality/waste</w:t>
      </w:r>
    </w:p>
    <w:p w14:paraId="48F20D74" w14:textId="1392855A" w:rsidR="003301BB" w:rsidRPr="003301BB" w:rsidRDefault="003301BB" w:rsidP="003301BB">
      <w:pPr>
        <w:pStyle w:val="ListParagraph"/>
        <w:numPr>
          <w:ilvl w:val="1"/>
          <w:numId w:val="25"/>
        </w:numPr>
      </w:pPr>
      <w:r>
        <w:rPr>
          <w:sz w:val="20"/>
        </w:rPr>
        <w:t>Inequitable action (bad motive)</w:t>
      </w:r>
      <w:r w:rsidR="006F2196">
        <w:rPr>
          <w:sz w:val="20"/>
        </w:rPr>
        <w:t xml:space="preserve"> – </w:t>
      </w:r>
      <w:r w:rsidR="006F2196">
        <w:rPr>
          <w:i/>
          <w:sz w:val="20"/>
        </w:rPr>
        <w:t>Schnell v. Chris-Craft</w:t>
      </w:r>
      <w:r w:rsidR="00261608">
        <w:rPr>
          <w:i/>
          <w:sz w:val="20"/>
        </w:rPr>
        <w:t xml:space="preserve"> </w:t>
      </w:r>
      <w:r w:rsidR="00261608">
        <w:rPr>
          <w:sz w:val="20"/>
        </w:rPr>
        <w:t>(courts intervene if corporate action is technically legal but sketchy)</w:t>
      </w:r>
    </w:p>
    <w:p w14:paraId="3033872C" w14:textId="71E33A0E" w:rsidR="003301BB" w:rsidRPr="003301BB" w:rsidRDefault="003301BB" w:rsidP="003301BB">
      <w:pPr>
        <w:pStyle w:val="ListParagraph"/>
        <w:numPr>
          <w:ilvl w:val="1"/>
          <w:numId w:val="25"/>
        </w:numPr>
        <w:rPr>
          <w:i/>
        </w:rPr>
      </w:pPr>
      <w:r w:rsidRPr="003301BB">
        <w:rPr>
          <w:i/>
          <w:sz w:val="20"/>
        </w:rPr>
        <w:t>Unocal</w:t>
      </w:r>
      <w:r w:rsidR="001F19C2">
        <w:rPr>
          <w:i/>
          <w:sz w:val="20"/>
        </w:rPr>
        <w:t xml:space="preserve"> </w:t>
      </w:r>
      <w:r w:rsidR="001F19C2">
        <w:rPr>
          <w:sz w:val="20"/>
        </w:rPr>
        <w:t>(“Enhanced scrutiny”) – requires 1) Finding of threat; and 2) Defenses must be within “range of reasonableness”</w:t>
      </w:r>
    </w:p>
    <w:p w14:paraId="44F9E150" w14:textId="3568E232" w:rsidR="003301BB" w:rsidRPr="003301BB" w:rsidRDefault="003301BB" w:rsidP="003301BB">
      <w:pPr>
        <w:pStyle w:val="ListParagraph"/>
        <w:numPr>
          <w:ilvl w:val="1"/>
          <w:numId w:val="25"/>
        </w:numPr>
        <w:rPr>
          <w:i/>
        </w:rPr>
      </w:pPr>
      <w:r>
        <w:rPr>
          <w:i/>
          <w:sz w:val="20"/>
        </w:rPr>
        <w:t>Revlon</w:t>
      </w:r>
      <w:r w:rsidR="00131F06">
        <w:rPr>
          <w:i/>
          <w:sz w:val="20"/>
        </w:rPr>
        <w:t xml:space="preserve"> </w:t>
      </w:r>
      <w:r w:rsidR="00131F06">
        <w:rPr>
          <w:sz w:val="20"/>
        </w:rPr>
        <w:t>– Directors must get the best deal for SHs</w:t>
      </w:r>
    </w:p>
    <w:p w14:paraId="57365D16" w14:textId="49093D7B" w:rsidR="003301BB" w:rsidRPr="003301BB" w:rsidRDefault="003301BB" w:rsidP="003301BB">
      <w:pPr>
        <w:pStyle w:val="ListParagraph"/>
        <w:numPr>
          <w:ilvl w:val="1"/>
          <w:numId w:val="25"/>
        </w:numPr>
        <w:rPr>
          <w:i/>
        </w:rPr>
      </w:pPr>
      <w:r>
        <w:rPr>
          <w:i/>
          <w:sz w:val="20"/>
        </w:rPr>
        <w:t>Blasius</w:t>
      </w:r>
      <w:r w:rsidR="00131F06">
        <w:rPr>
          <w:i/>
          <w:sz w:val="20"/>
        </w:rPr>
        <w:t xml:space="preserve"> </w:t>
      </w:r>
      <w:r w:rsidR="00131F06">
        <w:rPr>
          <w:sz w:val="20"/>
        </w:rPr>
        <w:t>– “Compelling justification” for defensive measures designed to disenfranchise SHs</w:t>
      </w:r>
    </w:p>
    <w:p w14:paraId="20688B95" w14:textId="4F74D851" w:rsidR="003301BB" w:rsidRPr="00B7480E" w:rsidRDefault="003301BB" w:rsidP="003301BB">
      <w:pPr>
        <w:pStyle w:val="ListParagraph"/>
        <w:numPr>
          <w:ilvl w:val="1"/>
          <w:numId w:val="25"/>
        </w:numPr>
        <w:rPr>
          <w:i/>
        </w:rPr>
      </w:pPr>
      <w:r>
        <w:rPr>
          <w:sz w:val="20"/>
        </w:rPr>
        <w:t>No impermissible restrictions on BoD authority, fiduciary duties</w:t>
      </w:r>
    </w:p>
    <w:p w14:paraId="509B75F0" w14:textId="7D6A5852" w:rsidR="00B7480E" w:rsidRPr="003301BB" w:rsidRDefault="00B7480E" w:rsidP="00B7480E">
      <w:pPr>
        <w:pStyle w:val="ListParagraph"/>
        <w:numPr>
          <w:ilvl w:val="2"/>
          <w:numId w:val="25"/>
        </w:numPr>
        <w:rPr>
          <w:i/>
        </w:rPr>
      </w:pPr>
      <w:r>
        <w:rPr>
          <w:sz w:val="20"/>
        </w:rPr>
        <w:t xml:space="preserve">Mechanisms cannot interfere with </w:t>
      </w:r>
      <w:proofErr w:type="spellStart"/>
      <w:r>
        <w:rPr>
          <w:sz w:val="20"/>
        </w:rPr>
        <w:t>BoD’s</w:t>
      </w:r>
      <w:proofErr w:type="spellEnd"/>
      <w:r>
        <w:rPr>
          <w:sz w:val="20"/>
        </w:rPr>
        <w:t xml:space="preserve"> fiduciary duties (i.e., no-hand poison pills, dead-hand poison pills), must always have fiduciary out</w:t>
      </w:r>
    </w:p>
    <w:p w14:paraId="7C09BC7D" w14:textId="7AD5D311" w:rsidR="003301BB" w:rsidRPr="00164B58" w:rsidRDefault="003301BB" w:rsidP="003301BB">
      <w:pPr>
        <w:pStyle w:val="ListParagraph"/>
        <w:numPr>
          <w:ilvl w:val="1"/>
          <w:numId w:val="25"/>
        </w:numPr>
        <w:rPr>
          <w:i/>
        </w:rPr>
      </w:pPr>
      <w:r>
        <w:rPr>
          <w:sz w:val="20"/>
        </w:rPr>
        <w:t>Entire fairness</w:t>
      </w:r>
      <w:r w:rsidR="0005570C">
        <w:rPr>
          <w:sz w:val="20"/>
        </w:rPr>
        <w:t xml:space="preserve"> (Freeze-out mergers)</w:t>
      </w:r>
    </w:p>
    <w:p w14:paraId="3477D3D1" w14:textId="522C29B0" w:rsidR="00164B58" w:rsidRPr="00164B58" w:rsidRDefault="00164B58" w:rsidP="00164B58">
      <w:pPr>
        <w:pStyle w:val="ListParagraph"/>
        <w:numPr>
          <w:ilvl w:val="0"/>
          <w:numId w:val="25"/>
        </w:numPr>
        <w:rPr>
          <w:i/>
        </w:rPr>
      </w:pPr>
      <w:r>
        <w:rPr>
          <w:sz w:val="20"/>
        </w:rPr>
        <w:t xml:space="preserve">Reasons for acquisitions include: </w:t>
      </w:r>
    </w:p>
    <w:p w14:paraId="034815F0" w14:textId="3F1F4C80" w:rsidR="00164B58" w:rsidRPr="00C13E4D" w:rsidRDefault="00C13E4D" w:rsidP="00164B58">
      <w:pPr>
        <w:pStyle w:val="ListParagraph"/>
        <w:numPr>
          <w:ilvl w:val="1"/>
          <w:numId w:val="25"/>
        </w:numPr>
        <w:rPr>
          <w:i/>
        </w:rPr>
      </w:pPr>
      <w:r>
        <w:rPr>
          <w:sz w:val="20"/>
        </w:rPr>
        <w:t>Increasing economic value: create synergies, produce economics of scope and scale</w:t>
      </w:r>
    </w:p>
    <w:p w14:paraId="2EC69D99" w14:textId="57327079" w:rsidR="00C13E4D" w:rsidRPr="00C13E4D" w:rsidRDefault="00C13E4D" w:rsidP="00164B58">
      <w:pPr>
        <w:pStyle w:val="ListParagraph"/>
        <w:numPr>
          <w:ilvl w:val="1"/>
          <w:numId w:val="25"/>
        </w:numPr>
        <w:rPr>
          <w:i/>
        </w:rPr>
      </w:pPr>
      <w:r>
        <w:rPr>
          <w:sz w:val="20"/>
        </w:rPr>
        <w:t>Take advantage of undervalued stock</w:t>
      </w:r>
    </w:p>
    <w:p w14:paraId="4511B157" w14:textId="55A099F8" w:rsidR="00C13E4D" w:rsidRPr="00C13E4D" w:rsidRDefault="00C13E4D" w:rsidP="00164B58">
      <w:pPr>
        <w:pStyle w:val="ListParagraph"/>
        <w:numPr>
          <w:ilvl w:val="1"/>
          <w:numId w:val="25"/>
        </w:numPr>
        <w:rPr>
          <w:i/>
        </w:rPr>
      </w:pPr>
      <w:r>
        <w:rPr>
          <w:sz w:val="20"/>
        </w:rPr>
        <w:t>Suppress competition (but might create antitrust problems</w:t>
      </w:r>
    </w:p>
    <w:p w14:paraId="0D3FAE84" w14:textId="174326A0" w:rsidR="00C13E4D" w:rsidRPr="00C13E4D" w:rsidRDefault="00C13E4D" w:rsidP="00164B58">
      <w:pPr>
        <w:pStyle w:val="ListParagraph"/>
        <w:numPr>
          <w:ilvl w:val="1"/>
          <w:numId w:val="25"/>
        </w:numPr>
        <w:rPr>
          <w:i/>
        </w:rPr>
      </w:pPr>
      <w:r>
        <w:rPr>
          <w:sz w:val="20"/>
        </w:rPr>
        <w:t>Empire building (vertical/horizontal integration)</w:t>
      </w:r>
    </w:p>
    <w:p w14:paraId="062D8A4A" w14:textId="7E12217D" w:rsidR="00C13E4D" w:rsidRPr="003301BB" w:rsidRDefault="00C13E4D" w:rsidP="00164B58">
      <w:pPr>
        <w:pStyle w:val="ListParagraph"/>
        <w:numPr>
          <w:ilvl w:val="1"/>
          <w:numId w:val="25"/>
        </w:numPr>
        <w:rPr>
          <w:i/>
        </w:rPr>
      </w:pPr>
      <w:r>
        <w:rPr>
          <w:sz w:val="20"/>
        </w:rPr>
        <w:t>Tax consideration – using losses to offset other income</w:t>
      </w:r>
    </w:p>
    <w:p w14:paraId="706D0461" w14:textId="7B5D87E3" w:rsidR="00FF1C71" w:rsidRDefault="00FF1C71" w:rsidP="00FF1C71">
      <w:pPr>
        <w:pStyle w:val="Heading4"/>
        <w:rPr>
          <w:sz w:val="20"/>
        </w:rPr>
      </w:pPr>
      <w:r w:rsidRPr="00FF1C71">
        <w:rPr>
          <w:sz w:val="20"/>
        </w:rPr>
        <w:t>Mergers</w:t>
      </w:r>
    </w:p>
    <w:p w14:paraId="5EF7CE96" w14:textId="77777777" w:rsidR="00662775" w:rsidRPr="0043188B" w:rsidRDefault="00662775" w:rsidP="00662775">
      <w:pPr>
        <w:pStyle w:val="ListParagraph"/>
        <w:numPr>
          <w:ilvl w:val="0"/>
          <w:numId w:val="26"/>
        </w:numPr>
      </w:pPr>
      <w:r>
        <w:rPr>
          <w:sz w:val="20"/>
        </w:rPr>
        <w:t xml:space="preserve">There are multiple potential merger techniques: </w:t>
      </w:r>
    </w:p>
    <w:p w14:paraId="63BD2B61" w14:textId="77777777" w:rsidR="00662775" w:rsidRPr="00AD5CA0" w:rsidRDefault="00662775" w:rsidP="00662775">
      <w:pPr>
        <w:pStyle w:val="ListParagraph"/>
        <w:numPr>
          <w:ilvl w:val="1"/>
          <w:numId w:val="26"/>
        </w:numPr>
      </w:pPr>
      <w:r>
        <w:rPr>
          <w:sz w:val="20"/>
        </w:rPr>
        <w:t xml:space="preserve">Sale of all (or substantially all) assets followed by liquidation </w:t>
      </w:r>
    </w:p>
    <w:p w14:paraId="6B360EBD" w14:textId="77777777" w:rsidR="00662775" w:rsidRPr="00AD5CA0" w:rsidRDefault="00662775" w:rsidP="00662775">
      <w:pPr>
        <w:pStyle w:val="ListParagraph"/>
        <w:numPr>
          <w:ilvl w:val="2"/>
          <w:numId w:val="26"/>
        </w:numPr>
      </w:pPr>
      <w:r>
        <w:rPr>
          <w:sz w:val="20"/>
        </w:rPr>
        <w:t>Allows acquirer to avoid inheriting unforeseen liabilities</w:t>
      </w:r>
    </w:p>
    <w:p w14:paraId="13E05516" w14:textId="77777777" w:rsidR="00662775" w:rsidRPr="00316388" w:rsidRDefault="00662775" w:rsidP="00662775">
      <w:pPr>
        <w:pStyle w:val="ListParagraph"/>
        <w:numPr>
          <w:ilvl w:val="2"/>
          <w:numId w:val="26"/>
        </w:numPr>
      </w:pPr>
      <w:r>
        <w:rPr>
          <w:sz w:val="20"/>
        </w:rPr>
        <w:t>Usually requires majority SH approval for seller, not for purchaser– DGCL §271</w:t>
      </w:r>
    </w:p>
    <w:p w14:paraId="202CDA2D" w14:textId="77777777" w:rsidR="00662775" w:rsidRPr="0065699E" w:rsidRDefault="00662775" w:rsidP="00662775">
      <w:pPr>
        <w:pStyle w:val="ListParagraph"/>
        <w:numPr>
          <w:ilvl w:val="3"/>
          <w:numId w:val="26"/>
        </w:numPr>
      </w:pPr>
      <w:r>
        <w:rPr>
          <w:sz w:val="20"/>
        </w:rPr>
        <w:t>Vote not required in DE if sale is to a subsidiary</w:t>
      </w:r>
    </w:p>
    <w:p w14:paraId="73BAB820" w14:textId="77777777" w:rsidR="00662775" w:rsidRPr="00316388" w:rsidRDefault="00662775" w:rsidP="00662775">
      <w:pPr>
        <w:pStyle w:val="ListParagraph"/>
        <w:numPr>
          <w:ilvl w:val="3"/>
          <w:numId w:val="26"/>
        </w:numPr>
        <w:spacing w:after="0"/>
      </w:pPr>
      <w:r>
        <w:rPr>
          <w:sz w:val="20"/>
        </w:rPr>
        <w:t>BoD can abandon proposed sale at any time without SH authorization</w:t>
      </w:r>
    </w:p>
    <w:p w14:paraId="5D36A447" w14:textId="77777777" w:rsidR="00662775" w:rsidRPr="000C77AB" w:rsidRDefault="00662775" w:rsidP="00662775">
      <w:pPr>
        <w:pStyle w:val="ListParagraph"/>
        <w:numPr>
          <w:ilvl w:val="2"/>
          <w:numId w:val="26"/>
        </w:numPr>
        <w:spacing w:after="0"/>
      </w:pPr>
      <w:r>
        <w:rPr>
          <w:sz w:val="20"/>
        </w:rPr>
        <w:t>States differ on appraisal rights (no in Delaware, yes in Pennsylvania)</w:t>
      </w:r>
    </w:p>
    <w:p w14:paraId="14490CFD" w14:textId="77777777" w:rsidR="00662775" w:rsidRPr="00D7388A" w:rsidRDefault="00662775" w:rsidP="00662775">
      <w:pPr>
        <w:pStyle w:val="ListParagraph"/>
        <w:numPr>
          <w:ilvl w:val="2"/>
          <w:numId w:val="26"/>
        </w:numPr>
        <w:spacing w:after="0"/>
      </w:pPr>
      <w:r>
        <w:rPr>
          <w:sz w:val="20"/>
        </w:rPr>
        <w:t>Dissolution is governed by DGCL §275, and requires a majority vote from both the BoD and the SHs (or unanimous vote of SHs)</w:t>
      </w:r>
    </w:p>
    <w:p w14:paraId="51840D8A" w14:textId="77777777" w:rsidR="00662775" w:rsidRPr="00062386" w:rsidRDefault="00662775" w:rsidP="00662775">
      <w:pPr>
        <w:pStyle w:val="ListParagraph"/>
        <w:numPr>
          <w:ilvl w:val="3"/>
          <w:numId w:val="26"/>
        </w:numPr>
        <w:spacing w:after="0"/>
      </w:pPr>
      <w:r>
        <w:rPr>
          <w:sz w:val="20"/>
        </w:rPr>
        <w:t>Proxy statement rules (Rules 14a) apply to requests for SH vote</w:t>
      </w:r>
    </w:p>
    <w:p w14:paraId="520859D9" w14:textId="77777777" w:rsidR="00662775" w:rsidRPr="00882FD1" w:rsidRDefault="00662775" w:rsidP="00662775">
      <w:pPr>
        <w:pStyle w:val="ListParagraph"/>
        <w:numPr>
          <w:ilvl w:val="1"/>
          <w:numId w:val="26"/>
        </w:numPr>
        <w:spacing w:after="0"/>
      </w:pPr>
      <w:r>
        <w:rPr>
          <w:sz w:val="20"/>
        </w:rPr>
        <w:t>Statutory merger – governed by DGCL §251</w:t>
      </w:r>
    </w:p>
    <w:p w14:paraId="256BB732" w14:textId="77777777" w:rsidR="00662775" w:rsidRPr="00F90739" w:rsidRDefault="00662775" w:rsidP="00662775">
      <w:pPr>
        <w:pStyle w:val="ListParagraph"/>
        <w:numPr>
          <w:ilvl w:val="2"/>
          <w:numId w:val="26"/>
        </w:numPr>
        <w:spacing w:after="0"/>
      </w:pPr>
      <w:r>
        <w:rPr>
          <w:sz w:val="20"/>
        </w:rPr>
        <w:lastRenderedPageBreak/>
        <w:t xml:space="preserve">Both company’s SHs and </w:t>
      </w:r>
      <w:proofErr w:type="spellStart"/>
      <w:r>
        <w:rPr>
          <w:sz w:val="20"/>
        </w:rPr>
        <w:t>BoDs</w:t>
      </w:r>
      <w:proofErr w:type="spellEnd"/>
      <w:r>
        <w:rPr>
          <w:sz w:val="20"/>
        </w:rPr>
        <w:t xml:space="preserve"> must approve by majority vote</w:t>
      </w:r>
    </w:p>
    <w:p w14:paraId="305FB914" w14:textId="77777777" w:rsidR="00662775" w:rsidRPr="00F90739" w:rsidRDefault="00662775" w:rsidP="00662775">
      <w:pPr>
        <w:pStyle w:val="ListParagraph"/>
        <w:numPr>
          <w:ilvl w:val="3"/>
          <w:numId w:val="26"/>
        </w:numPr>
        <w:spacing w:after="0"/>
      </w:pPr>
      <w:r>
        <w:rPr>
          <w:sz w:val="20"/>
        </w:rPr>
        <w:t>No vote of survivor’s SHs is required if: (§251(f))</w:t>
      </w:r>
    </w:p>
    <w:p w14:paraId="634C0BC8" w14:textId="77777777" w:rsidR="00662775" w:rsidRPr="00F90739" w:rsidRDefault="00662775" w:rsidP="00662775">
      <w:pPr>
        <w:pStyle w:val="ListParagraph"/>
        <w:numPr>
          <w:ilvl w:val="4"/>
          <w:numId w:val="26"/>
        </w:numPr>
        <w:spacing w:after="0"/>
      </w:pPr>
      <w:r>
        <w:rPr>
          <w:sz w:val="20"/>
        </w:rPr>
        <w:t>Agreement does not amend articles of incorporation</w:t>
      </w:r>
    </w:p>
    <w:p w14:paraId="776CD77D" w14:textId="77777777" w:rsidR="00662775" w:rsidRPr="00F90739" w:rsidRDefault="00662775" w:rsidP="00662775">
      <w:pPr>
        <w:pStyle w:val="ListParagraph"/>
        <w:numPr>
          <w:ilvl w:val="4"/>
          <w:numId w:val="26"/>
        </w:numPr>
        <w:spacing w:after="0"/>
      </w:pPr>
      <w:r>
        <w:rPr>
          <w:sz w:val="20"/>
        </w:rPr>
        <w:t>Each share of stock remains unchanged after the merger</w:t>
      </w:r>
    </w:p>
    <w:p w14:paraId="2593BC77" w14:textId="77777777" w:rsidR="00662775" w:rsidRPr="00F90739" w:rsidRDefault="00662775" w:rsidP="00662775">
      <w:pPr>
        <w:pStyle w:val="ListParagraph"/>
        <w:numPr>
          <w:ilvl w:val="4"/>
          <w:numId w:val="26"/>
        </w:numPr>
        <w:spacing w:after="0"/>
      </w:pPr>
      <w:r>
        <w:rPr>
          <w:sz w:val="20"/>
        </w:rPr>
        <w:t>No more than 20% of number of current shares outstanding will be issued as a result of the merger</w:t>
      </w:r>
    </w:p>
    <w:p w14:paraId="2FB1E3FE" w14:textId="77777777" w:rsidR="00662775" w:rsidRPr="00476EBB" w:rsidRDefault="00662775" w:rsidP="00662775">
      <w:pPr>
        <w:pStyle w:val="ListParagraph"/>
        <w:numPr>
          <w:ilvl w:val="2"/>
          <w:numId w:val="26"/>
        </w:numPr>
        <w:spacing w:after="0"/>
      </w:pPr>
      <w:r>
        <w:rPr>
          <w:sz w:val="20"/>
        </w:rPr>
        <w:t xml:space="preserve">SHs desiring appraisal must go through complex process: (DGCL §262) </w:t>
      </w:r>
    </w:p>
    <w:p w14:paraId="56845B0B" w14:textId="77777777" w:rsidR="00662775" w:rsidRPr="00476EBB" w:rsidRDefault="00662775" w:rsidP="00662775">
      <w:pPr>
        <w:pStyle w:val="ListParagraph"/>
        <w:numPr>
          <w:ilvl w:val="3"/>
          <w:numId w:val="26"/>
        </w:numPr>
        <w:spacing w:after="0"/>
      </w:pPr>
      <w:r>
        <w:rPr>
          <w:sz w:val="20"/>
        </w:rPr>
        <w:t>Before vote on merger, SHs submit written demand for appraisal</w:t>
      </w:r>
    </w:p>
    <w:p w14:paraId="2EA591AF" w14:textId="77777777" w:rsidR="00662775" w:rsidRPr="00B57F6A" w:rsidRDefault="00662775" w:rsidP="00662775">
      <w:pPr>
        <w:pStyle w:val="ListParagraph"/>
        <w:numPr>
          <w:ilvl w:val="3"/>
          <w:numId w:val="26"/>
        </w:numPr>
        <w:spacing w:after="0"/>
      </w:pPr>
      <w:r>
        <w:rPr>
          <w:sz w:val="20"/>
        </w:rPr>
        <w:t>SHs do not vote in favor of merger, and continuously hold shares post-merger</w:t>
      </w:r>
    </w:p>
    <w:p w14:paraId="20D2B480" w14:textId="77777777" w:rsidR="00662775" w:rsidRPr="00B57F6A" w:rsidRDefault="00662775" w:rsidP="00662775">
      <w:pPr>
        <w:pStyle w:val="ListParagraph"/>
        <w:numPr>
          <w:ilvl w:val="3"/>
          <w:numId w:val="26"/>
        </w:numPr>
        <w:spacing w:after="0"/>
      </w:pPr>
      <w:r>
        <w:rPr>
          <w:sz w:val="20"/>
        </w:rPr>
        <w:t xml:space="preserve">SH must demand appraisal </w:t>
      </w:r>
      <w:r>
        <w:rPr>
          <w:i/>
          <w:sz w:val="20"/>
        </w:rPr>
        <w:t xml:space="preserve">again </w:t>
      </w:r>
      <w:r>
        <w:rPr>
          <w:sz w:val="20"/>
        </w:rPr>
        <w:t xml:space="preserve">within 20 days after merger is </w:t>
      </w:r>
      <w:proofErr w:type="spellStart"/>
      <w:r>
        <w:rPr>
          <w:sz w:val="20"/>
        </w:rPr>
        <w:t>excuted</w:t>
      </w:r>
      <w:proofErr w:type="spellEnd"/>
    </w:p>
    <w:p w14:paraId="4E6368BE" w14:textId="77777777" w:rsidR="00662775" w:rsidRPr="002A03A6" w:rsidRDefault="00662775" w:rsidP="00662775">
      <w:pPr>
        <w:pStyle w:val="ListParagraph"/>
        <w:numPr>
          <w:ilvl w:val="4"/>
          <w:numId w:val="26"/>
        </w:numPr>
        <w:spacing w:after="0"/>
      </w:pPr>
      <w:r>
        <w:rPr>
          <w:sz w:val="20"/>
        </w:rPr>
        <w:t>No appraisal rights if stock was listed on national securities exchange on date of notice of merger vote, if held by 2,000+ SHs, or if SH vote was not required to effectuate merger – §262(b)(1)</w:t>
      </w:r>
    </w:p>
    <w:p w14:paraId="56B61D7C" w14:textId="77777777" w:rsidR="00662775" w:rsidRPr="007737FC" w:rsidRDefault="00662775" w:rsidP="00662775">
      <w:pPr>
        <w:pStyle w:val="ListParagraph"/>
        <w:numPr>
          <w:ilvl w:val="4"/>
          <w:numId w:val="26"/>
        </w:numPr>
        <w:spacing w:after="0"/>
      </w:pPr>
      <w:r>
        <w:rPr>
          <w:sz w:val="20"/>
        </w:rPr>
        <w:t>But SHs may receive appraisal rights if required to accept anything other than stock (or cash in lieu of fractional shares of stock) – (b)(2)</w:t>
      </w:r>
    </w:p>
    <w:p w14:paraId="2395FD6F" w14:textId="77777777" w:rsidR="00662775" w:rsidRPr="007C0AF3" w:rsidRDefault="00662775" w:rsidP="00662775">
      <w:pPr>
        <w:pStyle w:val="ListParagraph"/>
        <w:numPr>
          <w:ilvl w:val="3"/>
          <w:numId w:val="26"/>
        </w:numPr>
        <w:spacing w:after="0"/>
      </w:pPr>
      <w:r>
        <w:rPr>
          <w:sz w:val="20"/>
        </w:rPr>
        <w:t>Court will determine fair value of shares, plus interest – may also shift fees</w:t>
      </w:r>
    </w:p>
    <w:p w14:paraId="4C284791" w14:textId="77777777" w:rsidR="00662775" w:rsidRPr="00032731" w:rsidRDefault="00662775" w:rsidP="00662775">
      <w:pPr>
        <w:pStyle w:val="ListParagraph"/>
        <w:numPr>
          <w:ilvl w:val="3"/>
          <w:numId w:val="26"/>
        </w:numPr>
        <w:spacing w:after="0"/>
      </w:pPr>
      <w:r>
        <w:rPr>
          <w:sz w:val="20"/>
        </w:rPr>
        <w:t>Appraisal may not be an adequate remedy – many traps for the unwary, and no ability to get to a class-action</w:t>
      </w:r>
    </w:p>
    <w:p w14:paraId="404E6104" w14:textId="77777777" w:rsidR="00662775" w:rsidRPr="00E328FA" w:rsidRDefault="00662775" w:rsidP="00662775">
      <w:pPr>
        <w:pStyle w:val="ListParagraph"/>
        <w:numPr>
          <w:ilvl w:val="2"/>
          <w:numId w:val="26"/>
        </w:numPr>
        <w:spacing w:after="0"/>
      </w:pPr>
      <w:r>
        <w:rPr>
          <w:sz w:val="20"/>
        </w:rPr>
        <w:t>Unless vote is not required, both companies must issue proxy statements, surviving company must issue new registration statement for any newly issued shares</w:t>
      </w:r>
    </w:p>
    <w:tbl>
      <w:tblPr>
        <w:tblStyle w:val="GridTable4"/>
        <w:tblW w:w="5000" w:type="pct"/>
        <w:tblLook w:val="0420" w:firstRow="1" w:lastRow="0" w:firstColumn="0" w:lastColumn="0" w:noHBand="0" w:noVBand="1"/>
      </w:tblPr>
      <w:tblGrid>
        <w:gridCol w:w="3351"/>
        <w:gridCol w:w="2442"/>
        <w:gridCol w:w="3557"/>
      </w:tblGrid>
      <w:tr w:rsidR="00D7388A" w:rsidRPr="00FA3609" w14:paraId="480810CF" w14:textId="77777777" w:rsidTr="00D7388A">
        <w:trPr>
          <w:cnfStyle w:val="100000000000" w:firstRow="1" w:lastRow="0" w:firstColumn="0" w:lastColumn="0" w:oddVBand="0" w:evenVBand="0" w:oddHBand="0" w:evenHBand="0" w:firstRowFirstColumn="0" w:firstRowLastColumn="0" w:lastRowFirstColumn="0" w:lastRowLastColumn="0"/>
          <w:trHeight w:val="20"/>
        </w:trPr>
        <w:tc>
          <w:tcPr>
            <w:tcW w:w="1792" w:type="pct"/>
          </w:tcPr>
          <w:p w14:paraId="41C262F8" w14:textId="77777777" w:rsidR="00D7388A" w:rsidRPr="00D7388A" w:rsidRDefault="00D7388A" w:rsidP="00D7388A">
            <w:pPr>
              <w:widowControl w:val="0"/>
              <w:jc w:val="center"/>
              <w:rPr>
                <w:rFonts w:cs="Times New Roman"/>
                <w:sz w:val="20"/>
                <w:szCs w:val="20"/>
              </w:rPr>
            </w:pPr>
            <w:r w:rsidRPr="00D7388A">
              <w:rPr>
                <w:rFonts w:cs="Times New Roman"/>
                <w:sz w:val="20"/>
                <w:szCs w:val="20"/>
              </w:rPr>
              <w:t xml:space="preserve">Summary of Sale </w:t>
            </w:r>
            <w:proofErr w:type="gramStart"/>
            <w:r w:rsidRPr="00D7388A">
              <w:rPr>
                <w:rFonts w:cs="Times New Roman"/>
                <w:sz w:val="20"/>
                <w:szCs w:val="20"/>
              </w:rPr>
              <w:t>v.</w:t>
            </w:r>
            <w:proofErr w:type="gramEnd"/>
            <w:r w:rsidRPr="00D7388A">
              <w:rPr>
                <w:rFonts w:cs="Times New Roman"/>
                <w:sz w:val="20"/>
                <w:szCs w:val="20"/>
              </w:rPr>
              <w:t xml:space="preserve"> Merger:</w:t>
            </w:r>
          </w:p>
        </w:tc>
        <w:tc>
          <w:tcPr>
            <w:tcW w:w="1306" w:type="pct"/>
          </w:tcPr>
          <w:p w14:paraId="595BA07B" w14:textId="77777777" w:rsidR="00D7388A" w:rsidRPr="00D7388A" w:rsidRDefault="00D7388A" w:rsidP="00D7388A">
            <w:pPr>
              <w:widowControl w:val="0"/>
              <w:jc w:val="center"/>
              <w:rPr>
                <w:rFonts w:cs="Times New Roman"/>
                <w:b w:val="0"/>
                <w:sz w:val="20"/>
                <w:szCs w:val="20"/>
                <w:u w:val="single"/>
              </w:rPr>
            </w:pPr>
            <w:r w:rsidRPr="00D7388A">
              <w:rPr>
                <w:rFonts w:cs="Times New Roman"/>
                <w:sz w:val="20"/>
                <w:szCs w:val="20"/>
                <w:u w:val="single"/>
              </w:rPr>
              <w:t>Sale (for cash)</w:t>
            </w:r>
          </w:p>
        </w:tc>
        <w:tc>
          <w:tcPr>
            <w:tcW w:w="1902" w:type="pct"/>
          </w:tcPr>
          <w:p w14:paraId="2B28671A" w14:textId="77777777" w:rsidR="00D7388A" w:rsidRPr="00D7388A" w:rsidRDefault="00D7388A" w:rsidP="00D7388A">
            <w:pPr>
              <w:widowControl w:val="0"/>
              <w:jc w:val="center"/>
              <w:rPr>
                <w:rFonts w:cs="Times New Roman"/>
                <w:b w:val="0"/>
                <w:sz w:val="20"/>
                <w:szCs w:val="20"/>
                <w:u w:val="single"/>
              </w:rPr>
            </w:pPr>
            <w:r w:rsidRPr="00D7388A">
              <w:rPr>
                <w:rFonts w:cs="Times New Roman"/>
                <w:sz w:val="20"/>
                <w:szCs w:val="20"/>
                <w:u w:val="single"/>
              </w:rPr>
              <w:t>Merger (for stock)</w:t>
            </w:r>
          </w:p>
        </w:tc>
      </w:tr>
      <w:tr w:rsidR="00D7388A" w:rsidRPr="003E74C6" w14:paraId="300709C9" w14:textId="77777777" w:rsidTr="00EF3BC0">
        <w:trPr>
          <w:cnfStyle w:val="000000100000" w:firstRow="0" w:lastRow="0" w:firstColumn="0" w:lastColumn="0" w:oddVBand="0" w:evenVBand="0" w:oddHBand="1" w:evenHBand="0" w:firstRowFirstColumn="0" w:firstRowLastColumn="0" w:lastRowFirstColumn="0" w:lastRowLastColumn="0"/>
          <w:trHeight w:val="20"/>
        </w:trPr>
        <w:tc>
          <w:tcPr>
            <w:tcW w:w="1792" w:type="pct"/>
            <w:vAlign w:val="center"/>
          </w:tcPr>
          <w:p w14:paraId="7879B029" w14:textId="77777777" w:rsidR="00D7388A" w:rsidRPr="00D7388A" w:rsidRDefault="00D7388A" w:rsidP="00EF3BC0">
            <w:pPr>
              <w:widowControl w:val="0"/>
              <w:jc w:val="center"/>
              <w:rPr>
                <w:rFonts w:cs="Times New Roman"/>
                <w:sz w:val="20"/>
                <w:szCs w:val="20"/>
              </w:rPr>
            </w:pPr>
            <w:r w:rsidRPr="00D7388A">
              <w:rPr>
                <w:rFonts w:cs="Times New Roman"/>
                <w:sz w:val="20"/>
                <w:szCs w:val="20"/>
              </w:rPr>
              <w:t>1)</w:t>
            </w:r>
            <w:r w:rsidRPr="00D7388A">
              <w:rPr>
                <w:rFonts w:cs="Times New Roman"/>
                <w:b/>
                <w:sz w:val="20"/>
                <w:szCs w:val="20"/>
              </w:rPr>
              <w:t xml:space="preserve"> </w:t>
            </w:r>
            <w:r w:rsidRPr="00D7388A">
              <w:rPr>
                <w:rFonts w:cs="Times New Roman"/>
                <w:sz w:val="20"/>
                <w:szCs w:val="20"/>
              </w:rPr>
              <w:t>T’s SHs’ investment</w:t>
            </w:r>
          </w:p>
        </w:tc>
        <w:tc>
          <w:tcPr>
            <w:tcW w:w="1306" w:type="pct"/>
            <w:vAlign w:val="center"/>
          </w:tcPr>
          <w:p w14:paraId="6F68025D" w14:textId="77777777" w:rsidR="00D7388A" w:rsidRPr="00D7388A" w:rsidRDefault="00D7388A" w:rsidP="00EF3BC0">
            <w:pPr>
              <w:widowControl w:val="0"/>
              <w:jc w:val="center"/>
              <w:rPr>
                <w:rFonts w:cs="Times New Roman"/>
                <w:sz w:val="20"/>
                <w:szCs w:val="20"/>
              </w:rPr>
            </w:pPr>
            <w:r w:rsidRPr="00D7388A">
              <w:rPr>
                <w:rFonts w:cs="Times New Roman"/>
                <w:sz w:val="20"/>
                <w:szCs w:val="20"/>
              </w:rPr>
              <w:t>Terminated</w:t>
            </w:r>
          </w:p>
        </w:tc>
        <w:tc>
          <w:tcPr>
            <w:tcW w:w="1902" w:type="pct"/>
            <w:vAlign w:val="center"/>
          </w:tcPr>
          <w:p w14:paraId="042F922A" w14:textId="290613BD" w:rsidR="00D7388A" w:rsidRPr="00D7388A" w:rsidRDefault="00EF3BC0" w:rsidP="00EF3BC0">
            <w:pPr>
              <w:widowControl w:val="0"/>
              <w:jc w:val="center"/>
              <w:rPr>
                <w:rFonts w:cs="Times New Roman"/>
                <w:sz w:val="20"/>
                <w:szCs w:val="20"/>
              </w:rPr>
            </w:pPr>
            <w:r>
              <w:rPr>
                <w:rFonts w:cs="Times New Roman"/>
                <w:sz w:val="20"/>
                <w:szCs w:val="20"/>
              </w:rPr>
              <w:t>Continued, though in A, not T</w:t>
            </w:r>
          </w:p>
        </w:tc>
      </w:tr>
      <w:tr w:rsidR="00D7388A" w:rsidRPr="003E74C6" w14:paraId="1CE1DB80" w14:textId="77777777" w:rsidTr="00EF3BC0">
        <w:trPr>
          <w:trHeight w:val="20"/>
        </w:trPr>
        <w:tc>
          <w:tcPr>
            <w:tcW w:w="1792" w:type="pct"/>
            <w:vAlign w:val="center"/>
          </w:tcPr>
          <w:p w14:paraId="190F2429" w14:textId="77777777" w:rsidR="00D7388A" w:rsidRPr="00D7388A" w:rsidRDefault="00D7388A" w:rsidP="00EF3BC0">
            <w:pPr>
              <w:widowControl w:val="0"/>
              <w:jc w:val="center"/>
              <w:rPr>
                <w:rFonts w:cs="Times New Roman"/>
                <w:sz w:val="20"/>
                <w:szCs w:val="20"/>
              </w:rPr>
            </w:pPr>
            <w:r w:rsidRPr="00D7388A">
              <w:rPr>
                <w:rFonts w:cs="Times New Roman"/>
                <w:sz w:val="20"/>
                <w:szCs w:val="20"/>
              </w:rPr>
              <w:t>2) A’s consideration given</w:t>
            </w:r>
          </w:p>
        </w:tc>
        <w:tc>
          <w:tcPr>
            <w:tcW w:w="1306" w:type="pct"/>
            <w:vAlign w:val="center"/>
          </w:tcPr>
          <w:p w14:paraId="74EAFEF3" w14:textId="77777777" w:rsidR="00D7388A" w:rsidRPr="00D7388A" w:rsidRDefault="00D7388A" w:rsidP="00EF3BC0">
            <w:pPr>
              <w:widowControl w:val="0"/>
              <w:jc w:val="center"/>
              <w:rPr>
                <w:rFonts w:cs="Times New Roman"/>
                <w:sz w:val="20"/>
                <w:szCs w:val="20"/>
              </w:rPr>
            </w:pPr>
            <w:r w:rsidRPr="00D7388A">
              <w:rPr>
                <w:rFonts w:cs="Times New Roman"/>
                <w:sz w:val="20"/>
                <w:szCs w:val="20"/>
              </w:rPr>
              <w:t>Replaces assets</w:t>
            </w:r>
          </w:p>
        </w:tc>
        <w:tc>
          <w:tcPr>
            <w:tcW w:w="1902" w:type="pct"/>
            <w:vAlign w:val="center"/>
          </w:tcPr>
          <w:p w14:paraId="7643AA1C" w14:textId="77777777" w:rsidR="00D7388A" w:rsidRPr="00D7388A" w:rsidRDefault="00D7388A" w:rsidP="00EF3BC0">
            <w:pPr>
              <w:widowControl w:val="0"/>
              <w:jc w:val="center"/>
              <w:rPr>
                <w:rFonts w:cs="Times New Roman"/>
                <w:sz w:val="20"/>
                <w:szCs w:val="20"/>
              </w:rPr>
            </w:pPr>
            <w:r w:rsidRPr="00D7388A">
              <w:rPr>
                <w:rFonts w:cs="Times New Roman"/>
                <w:sz w:val="20"/>
                <w:szCs w:val="20"/>
              </w:rPr>
              <w:t>Extends assets</w:t>
            </w:r>
          </w:p>
        </w:tc>
      </w:tr>
      <w:tr w:rsidR="00D7388A" w:rsidRPr="003E74C6" w14:paraId="44D472C5" w14:textId="77777777" w:rsidTr="00EF3BC0">
        <w:trPr>
          <w:cnfStyle w:val="000000100000" w:firstRow="0" w:lastRow="0" w:firstColumn="0" w:lastColumn="0" w:oddVBand="0" w:evenVBand="0" w:oddHBand="1" w:evenHBand="0" w:firstRowFirstColumn="0" w:firstRowLastColumn="0" w:lastRowFirstColumn="0" w:lastRowLastColumn="0"/>
          <w:trHeight w:val="20"/>
        </w:trPr>
        <w:tc>
          <w:tcPr>
            <w:tcW w:w="1792" w:type="pct"/>
            <w:vAlign w:val="center"/>
          </w:tcPr>
          <w:p w14:paraId="1FAE838F" w14:textId="60C582EE" w:rsidR="00D7388A" w:rsidRPr="00D7388A" w:rsidRDefault="00D7388A" w:rsidP="00EF3BC0">
            <w:pPr>
              <w:widowControl w:val="0"/>
              <w:jc w:val="center"/>
              <w:rPr>
                <w:rFonts w:cs="Times New Roman"/>
                <w:sz w:val="20"/>
                <w:szCs w:val="20"/>
              </w:rPr>
            </w:pPr>
            <w:r w:rsidRPr="00D7388A">
              <w:rPr>
                <w:rFonts w:cs="Times New Roman"/>
                <w:sz w:val="20"/>
                <w:szCs w:val="20"/>
              </w:rPr>
              <w:t xml:space="preserve">3) A’s SHs’ investment </w:t>
            </w:r>
            <w:r w:rsidR="00EF3BC0">
              <w:rPr>
                <w:rFonts w:cs="Times New Roman"/>
                <w:sz w:val="20"/>
                <w:szCs w:val="20"/>
              </w:rPr>
              <w:br/>
            </w:r>
            <w:r w:rsidRPr="00D7388A">
              <w:rPr>
                <w:rFonts w:cs="Times New Roman"/>
                <w:sz w:val="20"/>
                <w:szCs w:val="20"/>
              </w:rPr>
              <w:t>and voting rights</w:t>
            </w:r>
          </w:p>
        </w:tc>
        <w:tc>
          <w:tcPr>
            <w:tcW w:w="1306" w:type="pct"/>
            <w:vAlign w:val="center"/>
          </w:tcPr>
          <w:p w14:paraId="04F9D86C" w14:textId="77777777" w:rsidR="00D7388A" w:rsidRPr="00D7388A" w:rsidRDefault="00D7388A" w:rsidP="00EF3BC0">
            <w:pPr>
              <w:widowControl w:val="0"/>
              <w:jc w:val="center"/>
              <w:rPr>
                <w:rFonts w:cs="Times New Roman"/>
                <w:sz w:val="20"/>
                <w:szCs w:val="20"/>
              </w:rPr>
            </w:pPr>
            <w:r w:rsidRPr="00D7388A">
              <w:rPr>
                <w:rFonts w:cs="Times New Roman"/>
                <w:sz w:val="20"/>
                <w:szCs w:val="20"/>
              </w:rPr>
              <w:t>Smaller impact</w:t>
            </w:r>
          </w:p>
        </w:tc>
        <w:tc>
          <w:tcPr>
            <w:tcW w:w="1902" w:type="pct"/>
            <w:vAlign w:val="center"/>
          </w:tcPr>
          <w:p w14:paraId="7FF0680B" w14:textId="77777777" w:rsidR="00D7388A" w:rsidRPr="00D7388A" w:rsidRDefault="00D7388A" w:rsidP="00EF3BC0">
            <w:pPr>
              <w:widowControl w:val="0"/>
              <w:jc w:val="center"/>
              <w:rPr>
                <w:rFonts w:cs="Times New Roman"/>
                <w:sz w:val="20"/>
                <w:szCs w:val="20"/>
              </w:rPr>
            </w:pPr>
            <w:r w:rsidRPr="00D7388A">
              <w:rPr>
                <w:rFonts w:cs="Times New Roman"/>
                <w:sz w:val="20"/>
                <w:szCs w:val="20"/>
              </w:rPr>
              <w:t>Larger impact</w:t>
            </w:r>
          </w:p>
        </w:tc>
      </w:tr>
      <w:tr w:rsidR="00D7388A" w:rsidRPr="003E74C6" w14:paraId="064C1CD9" w14:textId="77777777" w:rsidTr="00EF3BC0">
        <w:trPr>
          <w:trHeight w:val="20"/>
        </w:trPr>
        <w:tc>
          <w:tcPr>
            <w:tcW w:w="1792" w:type="pct"/>
            <w:vAlign w:val="center"/>
          </w:tcPr>
          <w:p w14:paraId="2543C450" w14:textId="6988E42D" w:rsidR="00D7388A" w:rsidRPr="00D7388A" w:rsidRDefault="00D7388A" w:rsidP="00EF3BC0">
            <w:pPr>
              <w:widowControl w:val="0"/>
              <w:jc w:val="center"/>
              <w:rPr>
                <w:rFonts w:cs="Times New Roman"/>
                <w:sz w:val="20"/>
                <w:szCs w:val="20"/>
              </w:rPr>
            </w:pPr>
            <w:r w:rsidRPr="00D7388A">
              <w:rPr>
                <w:rFonts w:cs="Times New Roman"/>
                <w:sz w:val="20"/>
                <w:szCs w:val="20"/>
              </w:rPr>
              <w:t xml:space="preserve">4) </w:t>
            </w:r>
            <w:r>
              <w:rPr>
                <w:rFonts w:cs="Times New Roman"/>
                <w:sz w:val="20"/>
                <w:szCs w:val="20"/>
              </w:rPr>
              <w:t>Target</w:t>
            </w:r>
          </w:p>
        </w:tc>
        <w:tc>
          <w:tcPr>
            <w:tcW w:w="1306" w:type="pct"/>
            <w:vAlign w:val="center"/>
          </w:tcPr>
          <w:p w14:paraId="33CEF540" w14:textId="41D0514B" w:rsidR="00D7388A" w:rsidRPr="00D7388A" w:rsidRDefault="00D7388A" w:rsidP="00EF3BC0">
            <w:pPr>
              <w:widowControl w:val="0"/>
              <w:jc w:val="center"/>
              <w:rPr>
                <w:rFonts w:cs="Times New Roman"/>
                <w:sz w:val="20"/>
                <w:szCs w:val="20"/>
              </w:rPr>
            </w:pPr>
            <w:r w:rsidRPr="00D7388A">
              <w:rPr>
                <w:rFonts w:cs="Times New Roman"/>
                <w:sz w:val="20"/>
                <w:szCs w:val="20"/>
              </w:rPr>
              <w:t>Corp</w:t>
            </w:r>
            <w:r>
              <w:rPr>
                <w:rFonts w:cs="Times New Roman"/>
                <w:sz w:val="20"/>
                <w:szCs w:val="20"/>
              </w:rPr>
              <w:t xml:space="preserve">oration’s </w:t>
            </w:r>
            <w:r w:rsidR="00EF3BC0">
              <w:rPr>
                <w:rFonts w:cs="Times New Roman"/>
                <w:sz w:val="20"/>
                <w:szCs w:val="20"/>
              </w:rPr>
              <w:t xml:space="preserve">life </w:t>
            </w:r>
            <w:r>
              <w:rPr>
                <w:rFonts w:cs="Times New Roman"/>
                <w:i/>
                <w:sz w:val="20"/>
                <w:szCs w:val="20"/>
              </w:rPr>
              <w:t xml:space="preserve">might </w:t>
            </w:r>
            <w:r>
              <w:rPr>
                <w:rFonts w:cs="Times New Roman"/>
                <w:sz w:val="20"/>
                <w:szCs w:val="20"/>
              </w:rPr>
              <w:t>end (if liquidated)</w:t>
            </w:r>
          </w:p>
        </w:tc>
        <w:tc>
          <w:tcPr>
            <w:tcW w:w="1902" w:type="pct"/>
            <w:vAlign w:val="center"/>
          </w:tcPr>
          <w:p w14:paraId="25A356F8" w14:textId="61B17019" w:rsidR="00D7388A" w:rsidRPr="00D7388A" w:rsidRDefault="00D7388A" w:rsidP="00EF3BC0">
            <w:pPr>
              <w:widowControl w:val="0"/>
              <w:jc w:val="center"/>
              <w:rPr>
                <w:rFonts w:cs="Times New Roman"/>
                <w:sz w:val="20"/>
                <w:szCs w:val="20"/>
              </w:rPr>
            </w:pPr>
            <w:r w:rsidRPr="00D7388A">
              <w:rPr>
                <w:rFonts w:cs="Times New Roman"/>
                <w:sz w:val="20"/>
                <w:szCs w:val="20"/>
              </w:rPr>
              <w:t>Corp</w:t>
            </w:r>
            <w:r w:rsidR="00EF3BC0">
              <w:rPr>
                <w:rFonts w:cs="Times New Roman"/>
                <w:sz w:val="20"/>
                <w:szCs w:val="20"/>
              </w:rPr>
              <w:t>oration’s</w:t>
            </w:r>
            <w:r>
              <w:rPr>
                <w:rFonts w:cs="Times New Roman"/>
                <w:sz w:val="20"/>
                <w:szCs w:val="20"/>
              </w:rPr>
              <w:t xml:space="preserve"> life </w:t>
            </w:r>
            <w:r w:rsidR="00EF3BC0">
              <w:rPr>
                <w:rFonts w:cs="Times New Roman"/>
                <w:sz w:val="20"/>
                <w:szCs w:val="20"/>
              </w:rPr>
              <w:t>ends</w:t>
            </w:r>
          </w:p>
        </w:tc>
      </w:tr>
      <w:tr w:rsidR="00D7388A" w:rsidRPr="003E74C6" w14:paraId="3F7CDC2B" w14:textId="77777777" w:rsidTr="00EF3BC0">
        <w:trPr>
          <w:cnfStyle w:val="000000100000" w:firstRow="0" w:lastRow="0" w:firstColumn="0" w:lastColumn="0" w:oddVBand="0" w:evenVBand="0" w:oddHBand="1" w:evenHBand="0" w:firstRowFirstColumn="0" w:firstRowLastColumn="0" w:lastRowFirstColumn="0" w:lastRowLastColumn="0"/>
          <w:trHeight w:val="20"/>
        </w:trPr>
        <w:tc>
          <w:tcPr>
            <w:tcW w:w="1792" w:type="pct"/>
            <w:vAlign w:val="center"/>
          </w:tcPr>
          <w:p w14:paraId="30FB5F83" w14:textId="521450D2" w:rsidR="00D7388A" w:rsidRPr="00D7388A" w:rsidRDefault="00D7388A" w:rsidP="00EF3BC0">
            <w:pPr>
              <w:widowControl w:val="0"/>
              <w:jc w:val="center"/>
              <w:rPr>
                <w:rFonts w:cs="Times New Roman"/>
                <w:sz w:val="20"/>
                <w:szCs w:val="20"/>
              </w:rPr>
            </w:pPr>
            <w:r w:rsidRPr="00D7388A">
              <w:rPr>
                <w:rFonts w:cs="Times New Roman"/>
                <w:sz w:val="20"/>
                <w:szCs w:val="20"/>
              </w:rPr>
              <w:t xml:space="preserve">5) </w:t>
            </w:r>
            <w:r>
              <w:rPr>
                <w:rFonts w:cs="Times New Roman"/>
                <w:sz w:val="20"/>
                <w:szCs w:val="20"/>
              </w:rPr>
              <w:t>Management</w:t>
            </w:r>
          </w:p>
        </w:tc>
        <w:tc>
          <w:tcPr>
            <w:tcW w:w="3208" w:type="pct"/>
            <w:gridSpan w:val="2"/>
            <w:vAlign w:val="center"/>
          </w:tcPr>
          <w:p w14:paraId="349B28E6" w14:textId="64CE6F61" w:rsidR="00D7388A" w:rsidRPr="00D7388A" w:rsidRDefault="00D7388A" w:rsidP="00EF3BC0">
            <w:pPr>
              <w:widowControl w:val="0"/>
              <w:jc w:val="center"/>
              <w:rPr>
                <w:rFonts w:cs="Times New Roman"/>
                <w:sz w:val="20"/>
                <w:szCs w:val="20"/>
              </w:rPr>
            </w:pPr>
            <w:r>
              <w:rPr>
                <w:rFonts w:cs="Times New Roman"/>
                <w:sz w:val="20"/>
                <w:szCs w:val="20"/>
              </w:rPr>
              <w:t>Dual -&gt; Unitary</w:t>
            </w:r>
          </w:p>
        </w:tc>
      </w:tr>
      <w:tr w:rsidR="00D7388A" w:rsidRPr="003E74C6" w14:paraId="7D188DE1" w14:textId="77777777" w:rsidTr="00EF3BC0">
        <w:trPr>
          <w:trHeight w:val="20"/>
        </w:trPr>
        <w:tc>
          <w:tcPr>
            <w:tcW w:w="1792" w:type="pct"/>
            <w:vAlign w:val="center"/>
          </w:tcPr>
          <w:p w14:paraId="34172494" w14:textId="77777777" w:rsidR="00D7388A" w:rsidRPr="00D7388A" w:rsidRDefault="00D7388A" w:rsidP="00EF3BC0">
            <w:pPr>
              <w:widowControl w:val="0"/>
              <w:jc w:val="center"/>
              <w:rPr>
                <w:rFonts w:cs="Times New Roman"/>
                <w:sz w:val="20"/>
                <w:szCs w:val="20"/>
              </w:rPr>
            </w:pPr>
            <w:r w:rsidRPr="00D7388A">
              <w:rPr>
                <w:rFonts w:cs="Times New Roman"/>
                <w:sz w:val="20"/>
                <w:szCs w:val="20"/>
              </w:rPr>
              <w:t>6) Technical: inclusion of assets and liabilities in the transfer</w:t>
            </w:r>
          </w:p>
        </w:tc>
        <w:tc>
          <w:tcPr>
            <w:tcW w:w="1306" w:type="pct"/>
            <w:vAlign w:val="center"/>
          </w:tcPr>
          <w:p w14:paraId="76E31C20" w14:textId="25C59AE3" w:rsidR="00D7388A" w:rsidRPr="00D7388A" w:rsidRDefault="00D7388A" w:rsidP="00EF3BC0">
            <w:pPr>
              <w:widowControl w:val="0"/>
              <w:jc w:val="center"/>
              <w:rPr>
                <w:rFonts w:cs="Times New Roman"/>
                <w:sz w:val="20"/>
                <w:szCs w:val="20"/>
              </w:rPr>
            </w:pPr>
            <w:r w:rsidRPr="00D7388A">
              <w:rPr>
                <w:rFonts w:cs="Times New Roman"/>
                <w:sz w:val="20"/>
                <w:szCs w:val="20"/>
              </w:rPr>
              <w:t xml:space="preserve">Piecemeal, </w:t>
            </w:r>
            <w:r w:rsidR="00EF3BC0">
              <w:rPr>
                <w:rFonts w:cs="Times New Roman"/>
                <w:sz w:val="20"/>
                <w:szCs w:val="20"/>
              </w:rPr>
              <w:br/>
            </w:r>
            <w:r w:rsidRPr="00D7388A">
              <w:rPr>
                <w:rFonts w:cs="Times New Roman"/>
                <w:sz w:val="20"/>
                <w:szCs w:val="20"/>
              </w:rPr>
              <w:t>by affirmative acts</w:t>
            </w:r>
          </w:p>
        </w:tc>
        <w:tc>
          <w:tcPr>
            <w:tcW w:w="1902" w:type="pct"/>
            <w:vAlign w:val="center"/>
          </w:tcPr>
          <w:p w14:paraId="01BAFA14" w14:textId="52AC183D" w:rsidR="00D7388A" w:rsidRPr="00D7388A" w:rsidRDefault="00D7388A" w:rsidP="00EF3BC0">
            <w:pPr>
              <w:widowControl w:val="0"/>
              <w:jc w:val="center"/>
              <w:rPr>
                <w:rFonts w:cs="Times New Roman"/>
                <w:sz w:val="20"/>
                <w:szCs w:val="20"/>
              </w:rPr>
            </w:pPr>
            <w:r w:rsidRPr="00D7388A">
              <w:rPr>
                <w:rFonts w:cs="Times New Roman"/>
                <w:sz w:val="20"/>
                <w:szCs w:val="20"/>
              </w:rPr>
              <w:t>Global (corp</w:t>
            </w:r>
            <w:r w:rsidR="00EF3BC0">
              <w:rPr>
                <w:rFonts w:cs="Times New Roman"/>
                <w:sz w:val="20"/>
                <w:szCs w:val="20"/>
              </w:rPr>
              <w:t>oration gets assets and liabilities)</w:t>
            </w:r>
            <w:r w:rsidRPr="00D7388A">
              <w:rPr>
                <w:rFonts w:cs="Times New Roman"/>
                <w:sz w:val="20"/>
                <w:szCs w:val="20"/>
              </w:rPr>
              <w:t xml:space="preserve"> by operation of statute</w:t>
            </w:r>
          </w:p>
        </w:tc>
      </w:tr>
      <w:tr w:rsidR="00D7388A" w:rsidRPr="003E74C6" w14:paraId="3ADF294F" w14:textId="77777777" w:rsidTr="00EF3BC0">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3"/>
            <w:vAlign w:val="center"/>
          </w:tcPr>
          <w:p w14:paraId="55C9D437" w14:textId="0872A236" w:rsidR="00D7388A" w:rsidRPr="00D7388A" w:rsidRDefault="00D7388A" w:rsidP="00EF3BC0">
            <w:pPr>
              <w:widowControl w:val="0"/>
              <w:jc w:val="center"/>
              <w:rPr>
                <w:rFonts w:cs="Times New Roman"/>
                <w:sz w:val="20"/>
                <w:szCs w:val="20"/>
              </w:rPr>
            </w:pPr>
            <w:r w:rsidRPr="00D7388A">
              <w:rPr>
                <w:rFonts w:cs="Times New Roman"/>
                <w:b/>
                <w:sz w:val="20"/>
                <w:szCs w:val="20"/>
              </w:rPr>
              <w:t>Consequences</w:t>
            </w:r>
          </w:p>
        </w:tc>
      </w:tr>
      <w:tr w:rsidR="00D7388A" w:rsidRPr="003E74C6" w14:paraId="3102F190" w14:textId="77777777" w:rsidTr="00EF3BC0">
        <w:trPr>
          <w:trHeight w:val="20"/>
        </w:trPr>
        <w:tc>
          <w:tcPr>
            <w:tcW w:w="1792" w:type="pct"/>
            <w:vAlign w:val="center"/>
          </w:tcPr>
          <w:p w14:paraId="1E4081AF" w14:textId="4637110C" w:rsidR="00D7388A" w:rsidRPr="00D7388A" w:rsidRDefault="00EF3BC0" w:rsidP="00EF3BC0">
            <w:pPr>
              <w:widowControl w:val="0"/>
              <w:jc w:val="center"/>
              <w:rPr>
                <w:rFonts w:cs="Times New Roman"/>
                <w:sz w:val="20"/>
                <w:szCs w:val="20"/>
              </w:rPr>
            </w:pPr>
            <w:r>
              <w:rPr>
                <w:rFonts w:cs="Times New Roman"/>
                <w:sz w:val="20"/>
                <w:szCs w:val="20"/>
              </w:rPr>
              <w:t xml:space="preserve">Tax (Cf. Difference </w:t>
            </w:r>
            <w:r w:rsidR="004069C0">
              <w:rPr>
                <w:rFonts w:cs="Times New Roman"/>
                <w:sz w:val="20"/>
                <w:szCs w:val="20"/>
              </w:rPr>
              <w:t>#</w:t>
            </w:r>
            <w:r>
              <w:rPr>
                <w:rFonts w:cs="Times New Roman"/>
                <w:sz w:val="20"/>
                <w:szCs w:val="20"/>
              </w:rPr>
              <w:t>1)</w:t>
            </w:r>
          </w:p>
        </w:tc>
        <w:tc>
          <w:tcPr>
            <w:tcW w:w="1306" w:type="pct"/>
            <w:vAlign w:val="center"/>
          </w:tcPr>
          <w:p w14:paraId="2BBBE314" w14:textId="77777777" w:rsidR="00D7388A" w:rsidRPr="00D7388A" w:rsidRDefault="00D7388A" w:rsidP="00EF3BC0">
            <w:pPr>
              <w:widowControl w:val="0"/>
              <w:jc w:val="center"/>
              <w:rPr>
                <w:rFonts w:cs="Times New Roman"/>
                <w:sz w:val="20"/>
                <w:szCs w:val="20"/>
              </w:rPr>
            </w:pPr>
            <w:r w:rsidRPr="00D7388A">
              <w:rPr>
                <w:rFonts w:cs="Times New Roman"/>
                <w:sz w:val="20"/>
                <w:szCs w:val="20"/>
              </w:rPr>
              <w:t>Taxable “sale” – SH pay tax</w:t>
            </w:r>
          </w:p>
        </w:tc>
        <w:tc>
          <w:tcPr>
            <w:tcW w:w="1902" w:type="pct"/>
            <w:vAlign w:val="center"/>
          </w:tcPr>
          <w:p w14:paraId="62033B33" w14:textId="77777777" w:rsidR="00D7388A" w:rsidRPr="00D7388A" w:rsidRDefault="00D7388A" w:rsidP="00EF3BC0">
            <w:pPr>
              <w:widowControl w:val="0"/>
              <w:jc w:val="center"/>
              <w:rPr>
                <w:rFonts w:cs="Times New Roman"/>
                <w:sz w:val="20"/>
                <w:szCs w:val="20"/>
              </w:rPr>
            </w:pPr>
            <w:r w:rsidRPr="00D7388A">
              <w:rPr>
                <w:rFonts w:cs="Times New Roman"/>
                <w:sz w:val="20"/>
                <w:szCs w:val="20"/>
              </w:rPr>
              <w:t>Tax-</w:t>
            </w:r>
            <w:r w:rsidRPr="00D7388A">
              <w:rPr>
                <w:rFonts w:cs="Times New Roman"/>
                <w:b/>
                <w:sz w:val="20"/>
                <w:szCs w:val="20"/>
              </w:rPr>
              <w:t>deferred</w:t>
            </w:r>
            <w:r w:rsidRPr="00D7388A">
              <w:rPr>
                <w:rFonts w:cs="Times New Roman"/>
                <w:sz w:val="20"/>
                <w:szCs w:val="20"/>
              </w:rPr>
              <w:t xml:space="preserve"> “reorganization”</w:t>
            </w:r>
          </w:p>
        </w:tc>
      </w:tr>
      <w:tr w:rsidR="0049709E" w:rsidRPr="003E74C6" w14:paraId="6F28071A" w14:textId="77777777" w:rsidTr="0049709E">
        <w:trPr>
          <w:cnfStyle w:val="000000100000" w:firstRow="0" w:lastRow="0" w:firstColumn="0" w:lastColumn="0" w:oddVBand="0" w:evenVBand="0" w:oddHBand="1" w:evenHBand="0" w:firstRowFirstColumn="0" w:firstRowLastColumn="0" w:lastRowFirstColumn="0" w:lastRowLastColumn="0"/>
          <w:trHeight w:val="20"/>
        </w:trPr>
        <w:tc>
          <w:tcPr>
            <w:tcW w:w="1792" w:type="pct"/>
            <w:vAlign w:val="center"/>
          </w:tcPr>
          <w:p w14:paraId="58F9F994" w14:textId="331CC7EF" w:rsidR="0049709E" w:rsidRPr="00D7388A" w:rsidRDefault="0049709E" w:rsidP="00EF3BC0">
            <w:pPr>
              <w:widowControl w:val="0"/>
              <w:jc w:val="center"/>
              <w:rPr>
                <w:rFonts w:cs="Times New Roman"/>
                <w:sz w:val="20"/>
                <w:szCs w:val="20"/>
              </w:rPr>
            </w:pPr>
            <w:r w:rsidRPr="00D7388A">
              <w:rPr>
                <w:rFonts w:cs="Times New Roman"/>
                <w:sz w:val="20"/>
                <w:szCs w:val="20"/>
              </w:rPr>
              <w:t>Ac</w:t>
            </w:r>
            <w:r>
              <w:rPr>
                <w:rFonts w:cs="Times New Roman"/>
                <w:sz w:val="20"/>
                <w:szCs w:val="20"/>
              </w:rPr>
              <w:t xml:space="preserve">counting treatment </w:t>
            </w:r>
            <w:r>
              <w:rPr>
                <w:rFonts w:cs="Times New Roman"/>
                <w:sz w:val="20"/>
                <w:szCs w:val="20"/>
              </w:rPr>
              <w:br/>
            </w:r>
            <w:r w:rsidR="004069C0">
              <w:rPr>
                <w:rFonts w:cs="Times New Roman"/>
                <w:sz w:val="20"/>
                <w:szCs w:val="20"/>
              </w:rPr>
              <w:t>(Cf. #</w:t>
            </w:r>
            <w:r>
              <w:rPr>
                <w:rFonts w:cs="Times New Roman"/>
                <w:sz w:val="20"/>
                <w:szCs w:val="20"/>
              </w:rPr>
              <w:t>2)</w:t>
            </w:r>
          </w:p>
        </w:tc>
        <w:tc>
          <w:tcPr>
            <w:tcW w:w="3208" w:type="pct"/>
            <w:gridSpan w:val="2"/>
            <w:vAlign w:val="center"/>
          </w:tcPr>
          <w:p w14:paraId="59D8D9CA" w14:textId="41F0F68A" w:rsidR="0049709E" w:rsidRPr="00D7388A" w:rsidRDefault="0049709E" w:rsidP="0049709E">
            <w:pPr>
              <w:widowControl w:val="0"/>
              <w:jc w:val="center"/>
              <w:rPr>
                <w:rFonts w:cs="Times New Roman"/>
                <w:sz w:val="20"/>
                <w:szCs w:val="20"/>
              </w:rPr>
            </w:pPr>
            <w:r w:rsidRPr="00D7388A">
              <w:rPr>
                <w:rFonts w:cs="Times New Roman"/>
                <w:sz w:val="20"/>
                <w:szCs w:val="20"/>
              </w:rPr>
              <w:t>Purchase accounting</w:t>
            </w:r>
          </w:p>
        </w:tc>
      </w:tr>
      <w:tr w:rsidR="00EF3BC0" w:rsidRPr="003E74C6" w14:paraId="51B954F2" w14:textId="77777777" w:rsidTr="00EF3BC0">
        <w:trPr>
          <w:trHeight w:val="20"/>
        </w:trPr>
        <w:tc>
          <w:tcPr>
            <w:tcW w:w="1792" w:type="pct"/>
            <w:vAlign w:val="center"/>
          </w:tcPr>
          <w:p w14:paraId="6DA55FC9" w14:textId="18B9796A" w:rsidR="00EF3BC0" w:rsidRPr="00D7388A" w:rsidRDefault="004069C0" w:rsidP="004069C0">
            <w:pPr>
              <w:widowControl w:val="0"/>
              <w:jc w:val="center"/>
              <w:rPr>
                <w:rFonts w:cs="Times New Roman"/>
                <w:sz w:val="20"/>
                <w:szCs w:val="20"/>
              </w:rPr>
            </w:pPr>
            <w:r>
              <w:rPr>
                <w:rFonts w:cs="Times New Roman"/>
                <w:sz w:val="20"/>
                <w:szCs w:val="20"/>
              </w:rPr>
              <w:t xml:space="preserve">Antitrust (cf. </w:t>
            </w:r>
            <w:r w:rsidR="00EF3BC0" w:rsidRPr="00D7388A">
              <w:rPr>
                <w:rFonts w:cs="Times New Roman"/>
                <w:sz w:val="20"/>
                <w:szCs w:val="20"/>
              </w:rPr>
              <w:t>#5)</w:t>
            </w:r>
          </w:p>
        </w:tc>
        <w:tc>
          <w:tcPr>
            <w:tcW w:w="3208" w:type="pct"/>
            <w:gridSpan w:val="2"/>
            <w:vAlign w:val="center"/>
          </w:tcPr>
          <w:p w14:paraId="6EE13BA0" w14:textId="4E40BD15" w:rsidR="00EF3BC0" w:rsidRPr="00D7388A" w:rsidRDefault="00EF3BC0" w:rsidP="00EF3BC0">
            <w:pPr>
              <w:widowControl w:val="0"/>
              <w:jc w:val="center"/>
              <w:rPr>
                <w:rFonts w:cs="Times New Roman"/>
                <w:sz w:val="20"/>
                <w:szCs w:val="20"/>
              </w:rPr>
            </w:pPr>
            <w:r w:rsidRPr="00D7388A">
              <w:rPr>
                <w:rFonts w:cs="Times New Roman"/>
                <w:sz w:val="20"/>
                <w:szCs w:val="20"/>
              </w:rPr>
              <w:t>Anticompetitive?</w:t>
            </w:r>
          </w:p>
        </w:tc>
      </w:tr>
      <w:tr w:rsidR="00D7388A" w:rsidRPr="003E74C6" w14:paraId="3470C889" w14:textId="77777777" w:rsidTr="00EF3BC0">
        <w:trPr>
          <w:cnfStyle w:val="000000100000" w:firstRow="0" w:lastRow="0" w:firstColumn="0" w:lastColumn="0" w:oddVBand="0" w:evenVBand="0" w:oddHBand="1" w:evenHBand="0" w:firstRowFirstColumn="0" w:firstRowLastColumn="0" w:lastRowFirstColumn="0" w:lastRowLastColumn="0"/>
          <w:trHeight w:val="20"/>
        </w:trPr>
        <w:tc>
          <w:tcPr>
            <w:tcW w:w="1792" w:type="pct"/>
            <w:vAlign w:val="center"/>
          </w:tcPr>
          <w:p w14:paraId="4DFCB070" w14:textId="77777777" w:rsidR="00D7388A" w:rsidRPr="00D7388A" w:rsidRDefault="00D7388A" w:rsidP="00EF3BC0">
            <w:pPr>
              <w:widowControl w:val="0"/>
              <w:jc w:val="center"/>
              <w:rPr>
                <w:rFonts w:cs="Times New Roman"/>
                <w:sz w:val="20"/>
                <w:szCs w:val="20"/>
              </w:rPr>
            </w:pPr>
            <w:r w:rsidRPr="00D7388A">
              <w:rPr>
                <w:rFonts w:cs="Times New Roman"/>
                <w:sz w:val="20"/>
                <w:szCs w:val="20"/>
              </w:rPr>
              <w:t>Securities Regulations</w:t>
            </w:r>
          </w:p>
        </w:tc>
        <w:tc>
          <w:tcPr>
            <w:tcW w:w="1306" w:type="pct"/>
            <w:vAlign w:val="center"/>
          </w:tcPr>
          <w:p w14:paraId="7209A16F" w14:textId="217A3A79" w:rsidR="00D7388A" w:rsidRPr="00D7388A" w:rsidRDefault="00D7388A" w:rsidP="00EF3BC0">
            <w:pPr>
              <w:widowControl w:val="0"/>
              <w:jc w:val="center"/>
              <w:rPr>
                <w:rFonts w:cs="Times New Roman"/>
                <w:sz w:val="20"/>
                <w:szCs w:val="20"/>
              </w:rPr>
            </w:pPr>
            <w:r w:rsidRPr="00D7388A">
              <w:rPr>
                <w:rFonts w:cs="Times New Roman"/>
                <w:sz w:val="20"/>
                <w:szCs w:val="20"/>
              </w:rPr>
              <w:t xml:space="preserve">Proxy statement by </w:t>
            </w:r>
            <w:r w:rsidR="00EF3BC0">
              <w:rPr>
                <w:rFonts w:cs="Times New Roman"/>
                <w:sz w:val="20"/>
                <w:szCs w:val="20"/>
              </w:rPr>
              <w:t>T</w:t>
            </w:r>
          </w:p>
        </w:tc>
        <w:tc>
          <w:tcPr>
            <w:tcW w:w="1902" w:type="pct"/>
            <w:vAlign w:val="center"/>
          </w:tcPr>
          <w:p w14:paraId="76831CFA" w14:textId="473B6DA1" w:rsidR="00D7388A" w:rsidRPr="00D7388A" w:rsidRDefault="00062386" w:rsidP="00EF3BC0">
            <w:pPr>
              <w:widowControl w:val="0"/>
              <w:jc w:val="center"/>
              <w:rPr>
                <w:rFonts w:cs="Times New Roman"/>
                <w:sz w:val="20"/>
                <w:szCs w:val="20"/>
              </w:rPr>
            </w:pPr>
            <w:r>
              <w:rPr>
                <w:rFonts w:cs="Times New Roman"/>
                <w:sz w:val="20"/>
                <w:szCs w:val="20"/>
              </w:rPr>
              <w:t>1) Proxy statements by T &amp; A (’34 Act)</w:t>
            </w:r>
          </w:p>
          <w:p w14:paraId="1EFB9430" w14:textId="44ACDCBF" w:rsidR="00D7388A" w:rsidRPr="00D7388A" w:rsidRDefault="00D7388A" w:rsidP="00EF3BC0">
            <w:pPr>
              <w:widowControl w:val="0"/>
              <w:jc w:val="center"/>
              <w:rPr>
                <w:rFonts w:cs="Times New Roman"/>
                <w:sz w:val="20"/>
                <w:szCs w:val="20"/>
              </w:rPr>
            </w:pPr>
            <w:r w:rsidRPr="00D7388A">
              <w:rPr>
                <w:rFonts w:cs="Times New Roman"/>
                <w:sz w:val="20"/>
                <w:szCs w:val="20"/>
              </w:rPr>
              <w:t xml:space="preserve">2) Registration statement </w:t>
            </w:r>
            <w:r w:rsidR="00EF3BC0">
              <w:rPr>
                <w:rFonts w:cs="Times New Roman"/>
                <w:sz w:val="20"/>
                <w:szCs w:val="20"/>
              </w:rPr>
              <w:br/>
            </w:r>
            <w:r w:rsidRPr="00D7388A">
              <w:rPr>
                <w:rFonts w:cs="Times New Roman"/>
                <w:sz w:val="20"/>
                <w:szCs w:val="20"/>
              </w:rPr>
              <w:t>from A</w:t>
            </w:r>
            <w:r w:rsidR="00062386">
              <w:rPr>
                <w:rFonts w:cs="Times New Roman"/>
                <w:sz w:val="20"/>
                <w:szCs w:val="20"/>
              </w:rPr>
              <w:t xml:space="preserve"> (if issuing new stock) (’33 Act)</w:t>
            </w:r>
          </w:p>
        </w:tc>
      </w:tr>
      <w:tr w:rsidR="00D7388A" w:rsidRPr="003E74C6" w14:paraId="17DE8857" w14:textId="77777777" w:rsidTr="00EF3BC0">
        <w:trPr>
          <w:trHeight w:val="20"/>
        </w:trPr>
        <w:tc>
          <w:tcPr>
            <w:tcW w:w="1792" w:type="pct"/>
            <w:vAlign w:val="center"/>
          </w:tcPr>
          <w:p w14:paraId="65C9F41A" w14:textId="51D8DDA7" w:rsidR="00D7388A" w:rsidRPr="00D7388A" w:rsidRDefault="00EF3BC0" w:rsidP="00EF3BC0">
            <w:pPr>
              <w:widowControl w:val="0"/>
              <w:jc w:val="center"/>
              <w:rPr>
                <w:rFonts w:cs="Times New Roman"/>
                <w:sz w:val="20"/>
                <w:szCs w:val="20"/>
              </w:rPr>
            </w:pPr>
            <w:r>
              <w:rPr>
                <w:rFonts w:cs="Times New Roman"/>
                <w:sz w:val="20"/>
                <w:szCs w:val="20"/>
              </w:rPr>
              <w:t>DGCL – Note that a</w:t>
            </w:r>
            <w:r w:rsidRPr="00D7388A">
              <w:rPr>
                <w:rFonts w:cs="Times New Roman"/>
                <w:sz w:val="20"/>
                <w:szCs w:val="20"/>
              </w:rPr>
              <w:t xml:space="preserve">ppraisal is </w:t>
            </w:r>
            <w:r>
              <w:rPr>
                <w:rFonts w:cs="Times New Roman"/>
                <w:i/>
                <w:sz w:val="20"/>
                <w:szCs w:val="20"/>
              </w:rPr>
              <w:t xml:space="preserve">always </w:t>
            </w:r>
            <w:r w:rsidRPr="00D7388A">
              <w:rPr>
                <w:rFonts w:cs="Times New Roman"/>
                <w:sz w:val="20"/>
                <w:szCs w:val="20"/>
              </w:rPr>
              <w:t>sub</w:t>
            </w:r>
            <w:r>
              <w:rPr>
                <w:rFonts w:cs="Times New Roman"/>
                <w:sz w:val="20"/>
                <w:szCs w:val="20"/>
              </w:rPr>
              <w:t>ject to DGCL §262(b) exceptions</w:t>
            </w:r>
          </w:p>
        </w:tc>
        <w:tc>
          <w:tcPr>
            <w:tcW w:w="1306" w:type="pct"/>
            <w:vAlign w:val="center"/>
          </w:tcPr>
          <w:p w14:paraId="0FA67C77" w14:textId="61295D98" w:rsidR="00D7388A" w:rsidRPr="00D7388A" w:rsidRDefault="00EF3BC0" w:rsidP="00EF3BC0">
            <w:pPr>
              <w:widowControl w:val="0"/>
              <w:jc w:val="center"/>
              <w:rPr>
                <w:rFonts w:cs="Times New Roman"/>
                <w:sz w:val="20"/>
                <w:szCs w:val="20"/>
              </w:rPr>
            </w:pPr>
            <w:r w:rsidRPr="00EF3BC0">
              <w:rPr>
                <w:rFonts w:cs="Times New Roman"/>
                <w:b/>
                <w:sz w:val="20"/>
                <w:szCs w:val="20"/>
              </w:rPr>
              <w:t>T</w:t>
            </w:r>
            <w:r>
              <w:rPr>
                <w:rFonts w:cs="Times New Roman"/>
                <w:b/>
                <w:sz w:val="20"/>
                <w:szCs w:val="20"/>
              </w:rPr>
              <w:t>’s</w:t>
            </w:r>
            <w:r w:rsidR="00D7388A" w:rsidRPr="00EF3BC0">
              <w:rPr>
                <w:rFonts w:cs="Times New Roman"/>
                <w:b/>
                <w:sz w:val="20"/>
                <w:szCs w:val="20"/>
              </w:rPr>
              <w:t xml:space="preserve"> SHs</w:t>
            </w:r>
            <w:r w:rsidR="00D7388A" w:rsidRPr="00D7388A">
              <w:rPr>
                <w:rFonts w:cs="Times New Roman"/>
                <w:sz w:val="20"/>
                <w:szCs w:val="20"/>
              </w:rPr>
              <w:t>: vote, no appraisal</w:t>
            </w:r>
          </w:p>
          <w:p w14:paraId="01018DBE" w14:textId="71790020" w:rsidR="00EF3BC0" w:rsidRPr="00D7388A" w:rsidRDefault="00EF3BC0" w:rsidP="00EF3BC0">
            <w:pPr>
              <w:widowControl w:val="0"/>
              <w:jc w:val="center"/>
              <w:rPr>
                <w:rFonts w:cs="Times New Roman"/>
                <w:sz w:val="20"/>
                <w:szCs w:val="20"/>
              </w:rPr>
            </w:pPr>
            <w:r w:rsidRPr="00EF3BC0">
              <w:rPr>
                <w:rFonts w:cs="Times New Roman"/>
                <w:b/>
                <w:sz w:val="20"/>
                <w:szCs w:val="20"/>
              </w:rPr>
              <w:t>A</w:t>
            </w:r>
            <w:r>
              <w:rPr>
                <w:rFonts w:cs="Times New Roman"/>
                <w:b/>
                <w:sz w:val="20"/>
                <w:szCs w:val="20"/>
              </w:rPr>
              <w:t>’s</w:t>
            </w:r>
            <w:r w:rsidR="00D7388A" w:rsidRPr="00EF3BC0">
              <w:rPr>
                <w:rFonts w:cs="Times New Roman"/>
                <w:b/>
                <w:sz w:val="20"/>
                <w:szCs w:val="20"/>
              </w:rPr>
              <w:t xml:space="preserve"> SHs</w:t>
            </w:r>
            <w:r>
              <w:rPr>
                <w:rFonts w:cs="Times New Roman"/>
                <w:sz w:val="20"/>
                <w:szCs w:val="20"/>
              </w:rPr>
              <w:t>: no vote,</w:t>
            </w:r>
            <w:r>
              <w:rPr>
                <w:rFonts w:cs="Times New Roman"/>
                <w:sz w:val="20"/>
                <w:szCs w:val="20"/>
              </w:rPr>
              <w:br/>
              <w:t>no appraisal</w:t>
            </w:r>
          </w:p>
        </w:tc>
        <w:tc>
          <w:tcPr>
            <w:tcW w:w="1902" w:type="pct"/>
            <w:vAlign w:val="center"/>
          </w:tcPr>
          <w:p w14:paraId="33A76174" w14:textId="77777777" w:rsidR="00D7388A" w:rsidRPr="00D7388A" w:rsidRDefault="00D7388A" w:rsidP="00EF3BC0">
            <w:pPr>
              <w:widowControl w:val="0"/>
              <w:jc w:val="center"/>
              <w:rPr>
                <w:rFonts w:cs="Times New Roman"/>
                <w:sz w:val="20"/>
                <w:szCs w:val="20"/>
              </w:rPr>
            </w:pPr>
            <w:r w:rsidRPr="00EF3BC0">
              <w:rPr>
                <w:rFonts w:cs="Times New Roman"/>
                <w:b/>
                <w:sz w:val="20"/>
                <w:szCs w:val="20"/>
              </w:rPr>
              <w:t>T’s SHs</w:t>
            </w:r>
            <w:r w:rsidRPr="00D7388A">
              <w:rPr>
                <w:rFonts w:cs="Times New Roman"/>
                <w:sz w:val="20"/>
                <w:szCs w:val="20"/>
              </w:rPr>
              <w:t>: Vote, appraisal</w:t>
            </w:r>
          </w:p>
          <w:p w14:paraId="71D873C7" w14:textId="4492AC37" w:rsidR="00D7388A" w:rsidRPr="00D7388A" w:rsidRDefault="00D7388A" w:rsidP="00EF3BC0">
            <w:pPr>
              <w:widowControl w:val="0"/>
              <w:jc w:val="center"/>
              <w:rPr>
                <w:rFonts w:cs="Times New Roman"/>
                <w:sz w:val="20"/>
                <w:szCs w:val="20"/>
              </w:rPr>
            </w:pPr>
            <w:r w:rsidRPr="00EF3BC0">
              <w:rPr>
                <w:rFonts w:cs="Times New Roman"/>
                <w:b/>
                <w:sz w:val="20"/>
                <w:szCs w:val="20"/>
              </w:rPr>
              <w:t>A’s SHs</w:t>
            </w:r>
            <w:r w:rsidRPr="00D7388A">
              <w:rPr>
                <w:rFonts w:cs="Times New Roman"/>
                <w:sz w:val="20"/>
                <w:szCs w:val="20"/>
              </w:rPr>
              <w:t>: Vote, appraisal</w:t>
            </w:r>
          </w:p>
        </w:tc>
      </w:tr>
    </w:tbl>
    <w:p w14:paraId="7783D999" w14:textId="0E9B7645" w:rsidR="00E328FA" w:rsidRPr="00E328FA" w:rsidRDefault="00E328FA" w:rsidP="00E328FA">
      <w:pPr>
        <w:pStyle w:val="ListParagraph"/>
        <w:numPr>
          <w:ilvl w:val="1"/>
          <w:numId w:val="26"/>
        </w:numPr>
        <w:spacing w:after="0"/>
      </w:pPr>
      <w:r>
        <w:rPr>
          <w:sz w:val="20"/>
        </w:rPr>
        <w:t>Stock purchase through A’s direct solicitation of T’s SHs – may offer cash or shares of A</w:t>
      </w:r>
    </w:p>
    <w:p w14:paraId="6C9A708D" w14:textId="27E532BE" w:rsidR="00E328FA" w:rsidRPr="00E328FA" w:rsidRDefault="00E328FA" w:rsidP="00E328FA">
      <w:pPr>
        <w:pStyle w:val="ListParagraph"/>
        <w:numPr>
          <w:ilvl w:val="2"/>
          <w:numId w:val="26"/>
        </w:numPr>
        <w:spacing w:after="0"/>
      </w:pPr>
      <w:r>
        <w:rPr>
          <w:sz w:val="20"/>
        </w:rPr>
        <w:t>No need to get votes from either company’s SHs</w:t>
      </w:r>
    </w:p>
    <w:p w14:paraId="520BF646" w14:textId="70BC16E1" w:rsidR="00E328FA" w:rsidRPr="00E328FA" w:rsidRDefault="00E328FA" w:rsidP="00E328FA">
      <w:pPr>
        <w:pStyle w:val="ListParagraph"/>
        <w:numPr>
          <w:ilvl w:val="2"/>
          <w:numId w:val="26"/>
        </w:numPr>
        <w:spacing w:after="0"/>
      </w:pPr>
      <w:r>
        <w:rPr>
          <w:sz w:val="20"/>
        </w:rPr>
        <w:t xml:space="preserve">Upon acquiring 90% of outstanding shares, acquiring company may complete a </w:t>
      </w:r>
      <w:r w:rsidR="00032731">
        <w:rPr>
          <w:sz w:val="20"/>
        </w:rPr>
        <w:t xml:space="preserve">short-form merger </w:t>
      </w:r>
      <w:r>
        <w:rPr>
          <w:sz w:val="20"/>
        </w:rPr>
        <w:t xml:space="preserve">under DGCL §253 </w:t>
      </w:r>
    </w:p>
    <w:p w14:paraId="40D2C8D3" w14:textId="4E0DA7C6" w:rsidR="00032731" w:rsidRPr="00032731" w:rsidRDefault="00E328FA" w:rsidP="00E328FA">
      <w:pPr>
        <w:pStyle w:val="ListParagraph"/>
        <w:numPr>
          <w:ilvl w:val="3"/>
          <w:numId w:val="26"/>
        </w:numPr>
        <w:spacing w:after="0"/>
      </w:pPr>
      <w:r>
        <w:rPr>
          <w:sz w:val="20"/>
        </w:rPr>
        <w:t>O</w:t>
      </w:r>
      <w:r w:rsidR="00032731">
        <w:rPr>
          <w:sz w:val="20"/>
        </w:rPr>
        <w:t xml:space="preserve">ne of the </w:t>
      </w:r>
      <w:r>
        <w:rPr>
          <w:sz w:val="20"/>
        </w:rPr>
        <w:t>companies must be a</w:t>
      </w:r>
      <w:r w:rsidR="00032731">
        <w:rPr>
          <w:sz w:val="20"/>
        </w:rPr>
        <w:t xml:space="preserve"> DE</w:t>
      </w:r>
      <w:r>
        <w:rPr>
          <w:sz w:val="20"/>
        </w:rPr>
        <w:t xml:space="preserve"> corporation</w:t>
      </w:r>
    </w:p>
    <w:p w14:paraId="4864B1D9" w14:textId="5C773A2D" w:rsidR="00E328FA" w:rsidRPr="00FA54D1" w:rsidRDefault="00032731" w:rsidP="00FA54D1">
      <w:pPr>
        <w:pStyle w:val="ListParagraph"/>
        <w:numPr>
          <w:ilvl w:val="3"/>
          <w:numId w:val="26"/>
        </w:numPr>
        <w:spacing w:after="0"/>
      </w:pPr>
      <w:r>
        <w:rPr>
          <w:sz w:val="20"/>
        </w:rPr>
        <w:t>SHs may not vote on merger and do not have appraisal rights, unless subsidiary is a DE corporation and acquiring company does not own all shares</w:t>
      </w:r>
      <w:r w:rsidR="00BD18BF">
        <w:rPr>
          <w:sz w:val="20"/>
        </w:rPr>
        <w:t xml:space="preserve"> - </w:t>
      </w:r>
      <w:r w:rsidR="00F52564">
        <w:rPr>
          <w:sz w:val="20"/>
        </w:rPr>
        <w:t>§263(d)</w:t>
      </w:r>
    </w:p>
    <w:p w14:paraId="7A6DEBE4" w14:textId="6E91DA87" w:rsidR="00FA54D1" w:rsidRPr="00FA54D1" w:rsidRDefault="00FA54D1" w:rsidP="00FA54D1">
      <w:pPr>
        <w:pStyle w:val="ListParagraph"/>
        <w:numPr>
          <w:ilvl w:val="1"/>
          <w:numId w:val="26"/>
        </w:numPr>
        <w:spacing w:after="0"/>
      </w:pPr>
      <w:r>
        <w:rPr>
          <w:sz w:val="20"/>
        </w:rPr>
        <w:t>Subsidiary merger – A forms a new sub (S) that merges with T</w:t>
      </w:r>
    </w:p>
    <w:p w14:paraId="6C795E8F" w14:textId="3C3863AF" w:rsidR="00FA54D1" w:rsidRPr="00FA54D1" w:rsidRDefault="00FA54D1" w:rsidP="00FA54D1">
      <w:pPr>
        <w:pStyle w:val="ListParagraph"/>
        <w:numPr>
          <w:ilvl w:val="2"/>
          <w:numId w:val="26"/>
        </w:numPr>
        <w:spacing w:after="0"/>
      </w:pPr>
      <w:r>
        <w:rPr>
          <w:sz w:val="20"/>
        </w:rPr>
        <w:t xml:space="preserve">Rationales include: </w:t>
      </w:r>
    </w:p>
    <w:p w14:paraId="5A550E4F" w14:textId="38B6730D" w:rsidR="00FA54D1" w:rsidRPr="00FA54D1" w:rsidRDefault="007C0AF3" w:rsidP="00FA54D1">
      <w:pPr>
        <w:pStyle w:val="ListParagraph"/>
        <w:numPr>
          <w:ilvl w:val="3"/>
          <w:numId w:val="26"/>
        </w:numPr>
        <w:spacing w:after="0"/>
      </w:pPr>
      <w:r>
        <w:rPr>
          <w:sz w:val="20"/>
        </w:rPr>
        <w:lastRenderedPageBreak/>
        <w:t xml:space="preserve">Avoiding </w:t>
      </w:r>
      <w:r w:rsidR="00FA54D1">
        <w:rPr>
          <w:sz w:val="20"/>
        </w:rPr>
        <w:t>vote</w:t>
      </w:r>
      <w:r>
        <w:rPr>
          <w:sz w:val="20"/>
        </w:rPr>
        <w:t xml:space="preserve">/proxy statement for </w:t>
      </w:r>
      <w:r w:rsidR="00FA54D1">
        <w:rPr>
          <w:sz w:val="20"/>
        </w:rPr>
        <w:t>A’s SHs (only BoD needs to approve)</w:t>
      </w:r>
    </w:p>
    <w:p w14:paraId="6965739E" w14:textId="51E8DA47" w:rsidR="00FA54D1" w:rsidRPr="007C0AF3" w:rsidRDefault="007C0AF3" w:rsidP="00FA54D1">
      <w:pPr>
        <w:pStyle w:val="ListParagraph"/>
        <w:numPr>
          <w:ilvl w:val="3"/>
          <w:numId w:val="26"/>
        </w:numPr>
        <w:spacing w:after="0"/>
      </w:pPr>
      <w:r>
        <w:rPr>
          <w:sz w:val="20"/>
        </w:rPr>
        <w:t>Maintains advantages of mergers (easier to deal with T’s holdouts than buying shares individually, automatic transfer of all assets)</w:t>
      </w:r>
    </w:p>
    <w:p w14:paraId="6D0AB972" w14:textId="4FC3AF49" w:rsidR="007C0AF3" w:rsidRPr="007C0AF3" w:rsidRDefault="007C0AF3" w:rsidP="00FA54D1">
      <w:pPr>
        <w:pStyle w:val="ListParagraph"/>
        <w:numPr>
          <w:ilvl w:val="3"/>
          <w:numId w:val="26"/>
        </w:numPr>
        <w:spacing w:after="0"/>
      </w:pPr>
      <w:r>
        <w:rPr>
          <w:sz w:val="20"/>
        </w:rPr>
        <w:t>Keeps T’s liabilities in a separate corporate entity from A</w:t>
      </w:r>
    </w:p>
    <w:p w14:paraId="21286B39" w14:textId="66473A64" w:rsidR="007C0AF3" w:rsidRPr="006E3143" w:rsidRDefault="007C0AF3" w:rsidP="007C0AF3">
      <w:pPr>
        <w:pStyle w:val="ListParagraph"/>
        <w:numPr>
          <w:ilvl w:val="2"/>
          <w:numId w:val="26"/>
        </w:numPr>
        <w:spacing w:after="0"/>
      </w:pPr>
      <w:r>
        <w:rPr>
          <w:sz w:val="20"/>
        </w:rPr>
        <w:t xml:space="preserve">Could also do </w:t>
      </w:r>
      <w:r w:rsidR="006E3143">
        <w:rPr>
          <w:sz w:val="20"/>
        </w:rPr>
        <w:t>a “reverse sub merger” where S &amp; T merge, with T as survivor</w:t>
      </w:r>
    </w:p>
    <w:p w14:paraId="5061FF65" w14:textId="18E8A03B" w:rsidR="006670C2" w:rsidRPr="00D75B52" w:rsidRDefault="006E3143" w:rsidP="00D75B52">
      <w:pPr>
        <w:pStyle w:val="ListParagraph"/>
        <w:numPr>
          <w:ilvl w:val="3"/>
          <w:numId w:val="26"/>
        </w:numPr>
        <w:spacing w:after="0"/>
      </w:pPr>
      <w:r>
        <w:rPr>
          <w:sz w:val="20"/>
        </w:rPr>
        <w:t xml:space="preserve">Maintains advantages of standard sub merger, but </w:t>
      </w:r>
      <w:r>
        <w:rPr>
          <w:i/>
          <w:sz w:val="20"/>
        </w:rPr>
        <w:t xml:space="preserve">also </w:t>
      </w:r>
      <w:r>
        <w:rPr>
          <w:sz w:val="20"/>
        </w:rPr>
        <w:t>extinguishes minority SHs and preserves T as an entity (preserving contract and tax advantages)</w:t>
      </w:r>
    </w:p>
    <w:p w14:paraId="2F57A91D" w14:textId="3CEACEDC" w:rsidR="00D75B52" w:rsidRPr="00D75B52" w:rsidRDefault="00D75B52" w:rsidP="00D75B52">
      <w:pPr>
        <w:pStyle w:val="ListParagraph"/>
        <w:numPr>
          <w:ilvl w:val="0"/>
          <w:numId w:val="26"/>
        </w:numPr>
        <w:spacing w:after="0"/>
      </w:pPr>
      <w:r>
        <w:rPr>
          <w:sz w:val="20"/>
        </w:rPr>
        <w:t xml:space="preserve">Courts occasionally blur line between sale of assets and mergers through the de facto merger doctrine – if it looks like a merger, courts treat it as one – </w:t>
      </w:r>
      <w:r>
        <w:rPr>
          <w:i/>
          <w:sz w:val="20"/>
        </w:rPr>
        <w:t>Farris v. Glen Alden</w:t>
      </w:r>
      <w:r>
        <w:rPr>
          <w:sz w:val="20"/>
        </w:rPr>
        <w:t xml:space="preserve"> (PA)</w:t>
      </w:r>
    </w:p>
    <w:p w14:paraId="08DDA45F" w14:textId="4E9A5287" w:rsidR="00D75B52" w:rsidRPr="00D75B52" w:rsidRDefault="00D75B52" w:rsidP="009D0B8D">
      <w:pPr>
        <w:pStyle w:val="ListParagraph"/>
        <w:numPr>
          <w:ilvl w:val="1"/>
          <w:numId w:val="26"/>
        </w:numPr>
        <w:spacing w:after="0"/>
      </w:pPr>
      <w:r w:rsidRPr="00D75B52">
        <w:rPr>
          <w:sz w:val="20"/>
        </w:rPr>
        <w:t>Elevates substance over form</w:t>
      </w:r>
      <w:r>
        <w:rPr>
          <w:sz w:val="20"/>
        </w:rPr>
        <w:t xml:space="preserve"> – attempts to </w:t>
      </w:r>
      <w:r w:rsidRPr="00D75B52">
        <w:rPr>
          <w:sz w:val="20"/>
        </w:rPr>
        <w:t>stop corporations from avoiding statutory requirements of SH vote or appraisal rights by constructing a favorable “form” of merger</w:t>
      </w:r>
    </w:p>
    <w:p w14:paraId="115CD3CC" w14:textId="7DFBD7F3" w:rsidR="00D75B52" w:rsidRPr="007A68B4" w:rsidRDefault="00D75B52" w:rsidP="009D0B8D">
      <w:pPr>
        <w:pStyle w:val="ListParagraph"/>
        <w:numPr>
          <w:ilvl w:val="1"/>
          <w:numId w:val="26"/>
        </w:numPr>
        <w:spacing w:after="0"/>
      </w:pPr>
      <w:r>
        <w:rPr>
          <w:sz w:val="20"/>
        </w:rPr>
        <w:t xml:space="preserve">Delaware courts have </w:t>
      </w:r>
      <w:r w:rsidR="003C78EE">
        <w:rPr>
          <w:sz w:val="20"/>
        </w:rPr>
        <w:t>refused to create</w:t>
      </w:r>
      <w:r>
        <w:rPr>
          <w:sz w:val="20"/>
        </w:rPr>
        <w:t xml:space="preserve"> a de facto merger doctrine</w:t>
      </w:r>
      <w:r w:rsidR="003C78EE">
        <w:rPr>
          <w:sz w:val="20"/>
        </w:rPr>
        <w:t xml:space="preserve"> – </w:t>
      </w:r>
      <w:proofErr w:type="spellStart"/>
      <w:r w:rsidR="003C78EE">
        <w:rPr>
          <w:i/>
          <w:sz w:val="20"/>
        </w:rPr>
        <w:t>Hariton</w:t>
      </w:r>
      <w:proofErr w:type="spellEnd"/>
      <w:r w:rsidR="003C78EE">
        <w:rPr>
          <w:i/>
          <w:sz w:val="20"/>
        </w:rPr>
        <w:t xml:space="preserve"> v. Arco Electronics</w:t>
      </w:r>
    </w:p>
    <w:p w14:paraId="7D7923D4" w14:textId="0C6D8CED" w:rsidR="0070041D" w:rsidRPr="0022314B" w:rsidRDefault="004960C2" w:rsidP="0022314B">
      <w:pPr>
        <w:pStyle w:val="ListParagraph"/>
        <w:numPr>
          <w:ilvl w:val="2"/>
          <w:numId w:val="26"/>
        </w:numPr>
        <w:spacing w:after="0"/>
      </w:pPr>
      <w:r>
        <w:rPr>
          <w:sz w:val="20"/>
        </w:rPr>
        <w:t xml:space="preserve">Different statues maintain </w:t>
      </w:r>
      <w:r w:rsidR="007A68B4">
        <w:rPr>
          <w:sz w:val="20"/>
        </w:rPr>
        <w:t>“equal dignity” (§§271 and 275 vs. 251)</w:t>
      </w:r>
      <w:r>
        <w:rPr>
          <w:sz w:val="20"/>
        </w:rPr>
        <w:t xml:space="preserve"> – action taken under one section is independent of requirements of another, even if result is the same</w:t>
      </w:r>
    </w:p>
    <w:p w14:paraId="4D5D9147" w14:textId="67893A32" w:rsidR="0022314B" w:rsidRPr="0022314B" w:rsidRDefault="0022314B" w:rsidP="0022314B">
      <w:pPr>
        <w:pStyle w:val="ListParagraph"/>
        <w:numPr>
          <w:ilvl w:val="2"/>
          <w:numId w:val="26"/>
        </w:numPr>
        <w:spacing w:after="0"/>
      </w:pPr>
      <w:r>
        <w:rPr>
          <w:sz w:val="20"/>
        </w:rPr>
        <w:t xml:space="preserve">DE courts also decline to create de facto non-merger doctrine – </w:t>
      </w:r>
      <w:r>
        <w:rPr>
          <w:i/>
          <w:sz w:val="20"/>
        </w:rPr>
        <w:t>Rauch v. RCA</w:t>
      </w:r>
      <w:r w:rsidR="00FF69F6">
        <w:rPr>
          <w:i/>
          <w:sz w:val="20"/>
        </w:rPr>
        <w:t xml:space="preserve"> </w:t>
      </w:r>
      <w:r w:rsidR="00FF69F6">
        <w:rPr>
          <w:sz w:val="20"/>
        </w:rPr>
        <w:t>(</w:t>
      </w:r>
      <w:r w:rsidR="00900B20">
        <w:rPr>
          <w:sz w:val="20"/>
        </w:rPr>
        <w:t>§§151(b) and 160(a) (which allow corporations to redeem any shares it wants) are distinct from §251 (laying out requirements for conversion of shares to cash in a merger))</w:t>
      </w:r>
    </w:p>
    <w:p w14:paraId="457C9226" w14:textId="0D09B942" w:rsidR="008307FE" w:rsidRPr="00072A50" w:rsidRDefault="0022314B" w:rsidP="00072A50">
      <w:pPr>
        <w:pStyle w:val="ListParagraph"/>
        <w:numPr>
          <w:ilvl w:val="3"/>
          <w:numId w:val="26"/>
        </w:numPr>
        <w:spacing w:after="0"/>
      </w:pPr>
      <w:r>
        <w:rPr>
          <w:sz w:val="20"/>
        </w:rPr>
        <w:t>Clark thinks this is more accurately called a de facto redemption case</w:t>
      </w:r>
    </w:p>
    <w:p w14:paraId="4914DDD6" w14:textId="107345AB" w:rsidR="00072A50" w:rsidRPr="00072A50" w:rsidRDefault="00072A50" w:rsidP="00072A50">
      <w:pPr>
        <w:pStyle w:val="ListParagraph"/>
        <w:numPr>
          <w:ilvl w:val="0"/>
          <w:numId w:val="26"/>
        </w:numPr>
        <w:spacing w:after="0"/>
      </w:pPr>
      <w:r>
        <w:rPr>
          <w:sz w:val="20"/>
        </w:rPr>
        <w:t>Freeze-out mergers (controlling SH is on both sides of the merger) are reviewed for entire fairness</w:t>
      </w:r>
      <w:r w:rsidR="00FE7CC0">
        <w:rPr>
          <w:sz w:val="20"/>
        </w:rPr>
        <w:t xml:space="preserve"> – </w:t>
      </w:r>
      <w:r w:rsidR="00FE7CC0">
        <w:rPr>
          <w:i/>
          <w:sz w:val="20"/>
        </w:rPr>
        <w:t>Weinberger v. UOP</w:t>
      </w:r>
    </w:p>
    <w:p w14:paraId="3B4A9A80" w14:textId="7369E83B" w:rsidR="005D3FB1" w:rsidRPr="005D3FB1" w:rsidRDefault="005D3FB1" w:rsidP="005D3FB1">
      <w:pPr>
        <w:pStyle w:val="ListParagraph"/>
        <w:numPr>
          <w:ilvl w:val="1"/>
          <w:numId w:val="26"/>
        </w:numPr>
        <w:spacing w:after="0"/>
      </w:pPr>
      <w:r>
        <w:rPr>
          <w:sz w:val="20"/>
        </w:rPr>
        <w:t>SHs must allege fraud, misrepresentation, or other misconduct as burden of production</w:t>
      </w:r>
    </w:p>
    <w:p w14:paraId="7CCD430E" w14:textId="797FED0F" w:rsidR="00072A50" w:rsidRPr="00072A50" w:rsidRDefault="00072A50" w:rsidP="00072A50">
      <w:pPr>
        <w:pStyle w:val="ListParagraph"/>
        <w:numPr>
          <w:ilvl w:val="1"/>
          <w:numId w:val="26"/>
        </w:numPr>
        <w:spacing w:after="0"/>
      </w:pPr>
      <w:r>
        <w:rPr>
          <w:sz w:val="20"/>
        </w:rPr>
        <w:t xml:space="preserve">If transaction is approved by majority of minority SHs </w:t>
      </w:r>
      <w:r w:rsidR="0087748F">
        <w:rPr>
          <w:sz w:val="20"/>
        </w:rPr>
        <w:t>plaintiff</w:t>
      </w:r>
      <w:r>
        <w:rPr>
          <w:sz w:val="20"/>
        </w:rPr>
        <w:t xml:space="preserve"> must prove unfairness</w:t>
      </w:r>
    </w:p>
    <w:p w14:paraId="4B95AC9C" w14:textId="008F91B4" w:rsidR="00C867E3" w:rsidRPr="00C867E3" w:rsidRDefault="00072A50" w:rsidP="00C867E3">
      <w:pPr>
        <w:pStyle w:val="ListParagraph"/>
        <w:numPr>
          <w:ilvl w:val="2"/>
          <w:numId w:val="26"/>
        </w:numPr>
        <w:spacing w:after="0"/>
      </w:pPr>
      <w:r>
        <w:rPr>
          <w:sz w:val="20"/>
        </w:rPr>
        <w:t>Majority retains burden to prove SH vote was fully informed</w:t>
      </w:r>
    </w:p>
    <w:p w14:paraId="4F5F0A5D" w14:textId="278DFF10" w:rsidR="00C867E3" w:rsidRPr="00086AEA" w:rsidRDefault="00C867E3" w:rsidP="00C867E3">
      <w:pPr>
        <w:pStyle w:val="ListParagraph"/>
        <w:numPr>
          <w:ilvl w:val="1"/>
          <w:numId w:val="26"/>
        </w:numPr>
        <w:spacing w:after="0"/>
      </w:pPr>
      <w:r>
        <w:rPr>
          <w:sz w:val="20"/>
        </w:rPr>
        <w:t>Burden may also shi</w:t>
      </w:r>
      <w:r w:rsidR="005F7775">
        <w:rPr>
          <w:sz w:val="20"/>
        </w:rPr>
        <w:t>ft</w:t>
      </w:r>
      <w:r>
        <w:rPr>
          <w:sz w:val="20"/>
        </w:rPr>
        <w:t xml:space="preserve"> if </w:t>
      </w:r>
      <w:r w:rsidR="005F7775">
        <w:rPr>
          <w:sz w:val="20"/>
        </w:rPr>
        <w:t>merger</w:t>
      </w:r>
      <w:r>
        <w:rPr>
          <w:sz w:val="20"/>
        </w:rPr>
        <w:t xml:space="preserve"> is </w:t>
      </w:r>
      <w:r w:rsidR="00BB5CA7">
        <w:rPr>
          <w:sz w:val="20"/>
        </w:rPr>
        <w:t xml:space="preserve">negotiated </w:t>
      </w:r>
      <w:r w:rsidR="005F7775">
        <w:rPr>
          <w:sz w:val="20"/>
        </w:rPr>
        <w:t xml:space="preserve">by independent director committee </w:t>
      </w:r>
      <w:r>
        <w:rPr>
          <w:sz w:val="20"/>
        </w:rPr>
        <w:t xml:space="preserve">– </w:t>
      </w:r>
      <w:r>
        <w:rPr>
          <w:i/>
          <w:sz w:val="20"/>
        </w:rPr>
        <w:t>Kahn v. Lynch</w:t>
      </w:r>
    </w:p>
    <w:p w14:paraId="0FABCE50" w14:textId="3A40DC8E" w:rsidR="0016734F" w:rsidRPr="0016734F" w:rsidRDefault="0016734F" w:rsidP="0016734F">
      <w:pPr>
        <w:pStyle w:val="ListParagraph"/>
        <w:numPr>
          <w:ilvl w:val="1"/>
          <w:numId w:val="26"/>
        </w:numPr>
        <w:spacing w:after="0"/>
      </w:pPr>
      <w:r>
        <w:rPr>
          <w:sz w:val="20"/>
        </w:rPr>
        <w:t xml:space="preserve">The concept of “fairness” has two components: </w:t>
      </w:r>
      <w:r w:rsidR="00624850">
        <w:rPr>
          <w:sz w:val="20"/>
        </w:rPr>
        <w:t>(</w:t>
      </w:r>
      <w:r w:rsidR="00624850">
        <w:rPr>
          <w:i/>
          <w:sz w:val="20"/>
        </w:rPr>
        <w:t>Weinberger v. UOP</w:t>
      </w:r>
      <w:r w:rsidR="00624850">
        <w:rPr>
          <w:sz w:val="20"/>
        </w:rPr>
        <w:t>)</w:t>
      </w:r>
    </w:p>
    <w:p w14:paraId="1E7A2B54" w14:textId="1248AE8D" w:rsidR="0016734F" w:rsidRPr="0016734F" w:rsidRDefault="0016734F" w:rsidP="0016734F">
      <w:pPr>
        <w:pStyle w:val="ListParagraph"/>
        <w:numPr>
          <w:ilvl w:val="2"/>
          <w:numId w:val="26"/>
        </w:numPr>
        <w:spacing w:after="0"/>
      </w:pPr>
      <w:r>
        <w:rPr>
          <w:sz w:val="20"/>
        </w:rPr>
        <w:t>“Fair dealing” addresses transaction’s timing, process of negotiation, approval process</w:t>
      </w:r>
    </w:p>
    <w:p w14:paraId="095D20CE" w14:textId="3DDF71BB" w:rsidR="0016734F" w:rsidRPr="0016734F" w:rsidRDefault="0016734F" w:rsidP="0016734F">
      <w:pPr>
        <w:pStyle w:val="ListParagraph"/>
        <w:numPr>
          <w:ilvl w:val="3"/>
          <w:numId w:val="26"/>
        </w:numPr>
        <w:spacing w:after="0"/>
      </w:pPr>
      <w:r>
        <w:rPr>
          <w:sz w:val="20"/>
        </w:rPr>
        <w:t>Includes concept of “complete candor” – controlling SH must show that it disclosed all material facts</w:t>
      </w:r>
    </w:p>
    <w:p w14:paraId="401AE312" w14:textId="63CA51C4" w:rsidR="0016734F" w:rsidRPr="0016734F" w:rsidRDefault="0016734F" w:rsidP="0016734F">
      <w:pPr>
        <w:pStyle w:val="ListParagraph"/>
        <w:numPr>
          <w:ilvl w:val="3"/>
          <w:numId w:val="26"/>
        </w:numPr>
        <w:spacing w:after="0"/>
      </w:pPr>
      <w:r>
        <w:rPr>
          <w:sz w:val="20"/>
        </w:rPr>
        <w:t>Goal is to make the transaction appear to be an arm’s-length deal!</w:t>
      </w:r>
    </w:p>
    <w:p w14:paraId="63AFB8D9" w14:textId="2933A01C" w:rsidR="0016734F" w:rsidRPr="00624850" w:rsidRDefault="0016734F" w:rsidP="0016734F">
      <w:pPr>
        <w:pStyle w:val="ListParagraph"/>
        <w:numPr>
          <w:ilvl w:val="2"/>
          <w:numId w:val="26"/>
        </w:numPr>
        <w:spacing w:after="0"/>
      </w:pPr>
      <w:r>
        <w:rPr>
          <w:sz w:val="20"/>
        </w:rPr>
        <w:t>“Fair price” relates to economic and financial aspects – price is the dominant feature</w:t>
      </w:r>
    </w:p>
    <w:p w14:paraId="3C922737" w14:textId="4D2A47F5" w:rsidR="00624850" w:rsidRPr="009207BB" w:rsidRDefault="00624850" w:rsidP="00624850">
      <w:pPr>
        <w:pStyle w:val="ListParagraph"/>
        <w:numPr>
          <w:ilvl w:val="3"/>
          <w:numId w:val="26"/>
        </w:numPr>
        <w:spacing w:after="0"/>
      </w:pPr>
      <w:r>
        <w:rPr>
          <w:sz w:val="20"/>
        </w:rPr>
        <w:t>Fairness of price may be assessed by any generally accepted valuation method</w:t>
      </w:r>
    </w:p>
    <w:p w14:paraId="6A17650F" w14:textId="3503650D" w:rsidR="009207BB" w:rsidRPr="0016734F" w:rsidRDefault="009207BB" w:rsidP="009207BB">
      <w:pPr>
        <w:pStyle w:val="ListParagraph"/>
        <w:numPr>
          <w:ilvl w:val="4"/>
          <w:numId w:val="26"/>
        </w:numPr>
        <w:spacing w:after="0"/>
      </w:pPr>
      <w:r>
        <w:rPr>
          <w:sz w:val="20"/>
        </w:rPr>
        <w:t>However, DGCL §262(h) might restrict use of historic comparisons of prior mergers (price determined exclusive of merger-related value)</w:t>
      </w:r>
      <w:r w:rsidR="00AA0346">
        <w:rPr>
          <w:sz w:val="20"/>
        </w:rPr>
        <w:t>?</w:t>
      </w:r>
    </w:p>
    <w:p w14:paraId="09F4BD15" w14:textId="31D1FA96" w:rsidR="000A5067" w:rsidRPr="00C85449" w:rsidRDefault="000A5067" w:rsidP="000A5067">
      <w:pPr>
        <w:pStyle w:val="ListParagraph"/>
        <w:numPr>
          <w:ilvl w:val="1"/>
          <w:numId w:val="26"/>
        </w:numPr>
        <w:spacing w:after="0"/>
      </w:pPr>
      <w:r>
        <w:rPr>
          <w:sz w:val="20"/>
        </w:rPr>
        <w:t xml:space="preserve">Controlling SH does not need to demonstrate a “business purpose” to justify merger – entire fairness doctrine is strong enough to protect minority interests – </w:t>
      </w:r>
      <w:r>
        <w:rPr>
          <w:i/>
          <w:sz w:val="20"/>
        </w:rPr>
        <w:t>Weinberger v. UOP</w:t>
      </w:r>
    </w:p>
    <w:p w14:paraId="3FE1289C" w14:textId="6AEDBD9A" w:rsidR="00040C58" w:rsidRPr="00040C58" w:rsidRDefault="00C85449" w:rsidP="00040C58">
      <w:pPr>
        <w:pStyle w:val="ListParagraph"/>
        <w:numPr>
          <w:ilvl w:val="2"/>
          <w:numId w:val="26"/>
        </w:numPr>
        <w:spacing w:after="0"/>
      </w:pPr>
      <w:r>
        <w:rPr>
          <w:sz w:val="20"/>
        </w:rPr>
        <w:t>MA embraces business purpose test</w:t>
      </w:r>
      <w:r w:rsidR="00953777">
        <w:rPr>
          <w:sz w:val="20"/>
        </w:rPr>
        <w:t xml:space="preserve"> – court’s test extends general principles of </w:t>
      </w:r>
      <w:r w:rsidR="00953777">
        <w:rPr>
          <w:i/>
          <w:sz w:val="20"/>
        </w:rPr>
        <w:t xml:space="preserve">Wilkes </w:t>
      </w:r>
      <w:r w:rsidR="00953777">
        <w:rPr>
          <w:sz w:val="20"/>
        </w:rPr>
        <w:t>to freeze-out mergers generally</w:t>
      </w:r>
      <w:r w:rsidR="00EE4168">
        <w:rPr>
          <w:sz w:val="20"/>
        </w:rPr>
        <w:t xml:space="preserve"> – </w:t>
      </w:r>
      <w:r w:rsidR="00EE4168">
        <w:rPr>
          <w:i/>
          <w:sz w:val="20"/>
        </w:rPr>
        <w:t>Coggins v. New England Patriots</w:t>
      </w:r>
    </w:p>
    <w:p w14:paraId="3D8FBA13" w14:textId="39BAEA71" w:rsidR="00040C58" w:rsidRPr="00040C58" w:rsidRDefault="00040C58" w:rsidP="00040C58">
      <w:pPr>
        <w:pStyle w:val="ListParagraph"/>
        <w:numPr>
          <w:ilvl w:val="3"/>
          <w:numId w:val="26"/>
        </w:numPr>
        <w:spacing w:after="0"/>
      </w:pPr>
      <w:r>
        <w:rPr>
          <w:sz w:val="20"/>
        </w:rPr>
        <w:t>Two-prong test for freeze-out mergers in MA:</w:t>
      </w:r>
    </w:p>
    <w:p w14:paraId="52C0D17C" w14:textId="6C5E6664" w:rsidR="00040C58" w:rsidRPr="00040C58" w:rsidRDefault="00040C58" w:rsidP="00040C58">
      <w:pPr>
        <w:pStyle w:val="ListParagraph"/>
        <w:numPr>
          <w:ilvl w:val="4"/>
          <w:numId w:val="26"/>
        </w:numPr>
        <w:spacing w:after="0"/>
      </w:pPr>
      <w:r>
        <w:rPr>
          <w:sz w:val="20"/>
        </w:rPr>
        <w:t>Did merger further legitimate corporate goals?</w:t>
      </w:r>
    </w:p>
    <w:p w14:paraId="7C8AECDB" w14:textId="09B68415" w:rsidR="00040C58" w:rsidRPr="00040C58" w:rsidRDefault="00040C58" w:rsidP="00040C58">
      <w:pPr>
        <w:pStyle w:val="ListParagraph"/>
        <w:numPr>
          <w:ilvl w:val="5"/>
          <w:numId w:val="26"/>
        </w:numPr>
        <w:spacing w:after="0"/>
      </w:pPr>
      <w:r>
        <w:rPr>
          <w:sz w:val="20"/>
        </w:rPr>
        <w:t xml:space="preserve">Can avoiding SEC filings or holdup litigation be legitimate corporate purposes? </w:t>
      </w:r>
    </w:p>
    <w:p w14:paraId="39F5D8DE" w14:textId="67965248" w:rsidR="00040C58" w:rsidRPr="00040C58" w:rsidRDefault="00040C58" w:rsidP="00040C58">
      <w:pPr>
        <w:pStyle w:val="ListParagraph"/>
        <w:numPr>
          <w:ilvl w:val="4"/>
          <w:numId w:val="26"/>
        </w:numPr>
        <w:spacing w:after="0"/>
      </w:pPr>
      <w:r>
        <w:rPr>
          <w:sz w:val="20"/>
        </w:rPr>
        <w:t xml:space="preserve">Was transaction fair under the totality of the circumstances? </w:t>
      </w:r>
    </w:p>
    <w:p w14:paraId="0CDF80E2" w14:textId="1FEF9974" w:rsidR="00040C58" w:rsidRPr="00040C58" w:rsidRDefault="00040C58" w:rsidP="00040C58">
      <w:pPr>
        <w:pStyle w:val="ListParagraph"/>
        <w:numPr>
          <w:ilvl w:val="5"/>
          <w:numId w:val="26"/>
        </w:numPr>
        <w:spacing w:after="0"/>
      </w:pPr>
      <w:r>
        <w:rPr>
          <w:sz w:val="20"/>
        </w:rPr>
        <w:t>Factors to be examined include merger’s purpose, adequacy of disclosure, and price</w:t>
      </w:r>
    </w:p>
    <w:p w14:paraId="2B37888C" w14:textId="70081F87" w:rsidR="00040C58" w:rsidRPr="00C85449" w:rsidRDefault="00040C58" w:rsidP="00806488">
      <w:pPr>
        <w:pStyle w:val="ListParagraph"/>
        <w:numPr>
          <w:ilvl w:val="3"/>
          <w:numId w:val="26"/>
        </w:numPr>
        <w:spacing w:after="0"/>
      </w:pPr>
      <w:r>
        <w:rPr>
          <w:sz w:val="20"/>
        </w:rPr>
        <w:t xml:space="preserve">Dissenting SHs are not limited to appraisal if a fiduciary duty has been breached, but may receive </w:t>
      </w:r>
      <w:proofErr w:type="spellStart"/>
      <w:r>
        <w:rPr>
          <w:sz w:val="20"/>
        </w:rPr>
        <w:t>recissory</w:t>
      </w:r>
      <w:proofErr w:type="spellEnd"/>
      <w:r>
        <w:rPr>
          <w:sz w:val="20"/>
        </w:rPr>
        <w:t xml:space="preserve"> damages (what plaintiffs would have had without merger)</w:t>
      </w:r>
    </w:p>
    <w:p w14:paraId="0DEDF983" w14:textId="661167D4" w:rsidR="00C85449" w:rsidRPr="00FD2E89" w:rsidRDefault="00C85449" w:rsidP="00C85449">
      <w:pPr>
        <w:pStyle w:val="ListParagraph"/>
        <w:numPr>
          <w:ilvl w:val="1"/>
          <w:numId w:val="26"/>
        </w:numPr>
        <w:spacing w:after="0"/>
      </w:pPr>
      <w:r>
        <w:rPr>
          <w:sz w:val="20"/>
        </w:rPr>
        <w:t>Appraisal may not be an adequate remedy in cases of fraud, self-dealing, waste or overreaching. In these cases, courts may employ any form of appropriate equitable/monetary relief</w:t>
      </w:r>
      <w:r w:rsidR="0064706C">
        <w:rPr>
          <w:sz w:val="20"/>
        </w:rPr>
        <w:t xml:space="preserve"> - </w:t>
      </w:r>
      <w:proofErr w:type="spellStart"/>
      <w:r w:rsidR="0064706C">
        <w:rPr>
          <w:i/>
          <w:sz w:val="20"/>
        </w:rPr>
        <w:t>Rabkin</w:t>
      </w:r>
      <w:proofErr w:type="spellEnd"/>
    </w:p>
    <w:p w14:paraId="4809A62D" w14:textId="1588045B" w:rsidR="00FD2E89" w:rsidRPr="00D2740E" w:rsidRDefault="00FD2E89" w:rsidP="00FD2E89">
      <w:pPr>
        <w:pStyle w:val="ListParagraph"/>
        <w:numPr>
          <w:ilvl w:val="1"/>
          <w:numId w:val="26"/>
        </w:numPr>
        <w:spacing w:after="0"/>
      </w:pPr>
      <w:r>
        <w:rPr>
          <w:sz w:val="20"/>
        </w:rPr>
        <w:lastRenderedPageBreak/>
        <w:t>Defendants may shift burden and get BJR if the following conditions are met: (</w:t>
      </w:r>
      <w:r>
        <w:rPr>
          <w:i/>
          <w:sz w:val="20"/>
        </w:rPr>
        <w:t>Kahn v. MFW</w:t>
      </w:r>
      <w:r>
        <w:rPr>
          <w:sz w:val="20"/>
        </w:rPr>
        <w:t>)</w:t>
      </w:r>
    </w:p>
    <w:p w14:paraId="72A3B2C4" w14:textId="77777777" w:rsidR="00FD2E89" w:rsidRPr="00FD2E89" w:rsidRDefault="00FD2E89" w:rsidP="00FD2E89">
      <w:pPr>
        <w:pStyle w:val="ListParagraph"/>
        <w:numPr>
          <w:ilvl w:val="2"/>
          <w:numId w:val="26"/>
        </w:numPr>
        <w:spacing w:after="0"/>
      </w:pPr>
      <w:r>
        <w:rPr>
          <w:sz w:val="20"/>
        </w:rPr>
        <w:t xml:space="preserve">Controlling SHs </w:t>
      </w:r>
      <w:r>
        <w:rPr>
          <w:i/>
          <w:sz w:val="20"/>
        </w:rPr>
        <w:t xml:space="preserve">condition </w:t>
      </w:r>
      <w:r>
        <w:rPr>
          <w:sz w:val="20"/>
        </w:rPr>
        <w:t xml:space="preserve">merger on approval of </w:t>
      </w:r>
      <w:r>
        <w:rPr>
          <w:i/>
          <w:sz w:val="20"/>
        </w:rPr>
        <w:t xml:space="preserve">both </w:t>
      </w:r>
      <w:r>
        <w:rPr>
          <w:sz w:val="20"/>
        </w:rPr>
        <w:t>an independent committee and majority of minority SHs</w:t>
      </w:r>
    </w:p>
    <w:p w14:paraId="00CB1A7E" w14:textId="77777777" w:rsidR="00FD2E89" w:rsidRPr="00FD2E89" w:rsidRDefault="00FD2E89" w:rsidP="00FD2E89">
      <w:pPr>
        <w:pStyle w:val="ListParagraph"/>
        <w:numPr>
          <w:ilvl w:val="2"/>
          <w:numId w:val="26"/>
        </w:numPr>
        <w:spacing w:after="0"/>
      </w:pPr>
      <w:r>
        <w:rPr>
          <w:sz w:val="20"/>
        </w:rPr>
        <w:t xml:space="preserve">Independent committee is actually independent – can select advisors &amp; reject proposal </w:t>
      </w:r>
    </w:p>
    <w:p w14:paraId="7BFF8CEA" w14:textId="74B01580" w:rsidR="00FD2E89" w:rsidRPr="00FD2E89" w:rsidRDefault="00FD2E89" w:rsidP="00FD2E89">
      <w:pPr>
        <w:pStyle w:val="ListParagraph"/>
        <w:numPr>
          <w:ilvl w:val="2"/>
          <w:numId w:val="26"/>
        </w:numPr>
        <w:spacing w:after="0"/>
      </w:pPr>
      <w:r>
        <w:rPr>
          <w:sz w:val="20"/>
        </w:rPr>
        <w:t>Independent committee meets its duty of care in negotiations (adequate procedures)</w:t>
      </w:r>
    </w:p>
    <w:p w14:paraId="2235B6D4" w14:textId="7C4AA652" w:rsidR="00FD2E89" w:rsidRPr="00FD2E89" w:rsidRDefault="00FD2E89" w:rsidP="00FD2E89">
      <w:pPr>
        <w:pStyle w:val="ListParagraph"/>
        <w:numPr>
          <w:ilvl w:val="2"/>
          <w:numId w:val="26"/>
        </w:numPr>
        <w:spacing w:after="0"/>
      </w:pPr>
      <w:r>
        <w:rPr>
          <w:sz w:val="20"/>
        </w:rPr>
        <w:t xml:space="preserve">SHs are both fully informed </w:t>
      </w:r>
      <w:r>
        <w:rPr>
          <w:i/>
          <w:sz w:val="20"/>
        </w:rPr>
        <w:t xml:space="preserve">and </w:t>
      </w:r>
      <w:r>
        <w:rPr>
          <w:sz w:val="20"/>
        </w:rPr>
        <w:t>un</w:t>
      </w:r>
      <w:r w:rsidR="004E0A7B">
        <w:rPr>
          <w:sz w:val="20"/>
        </w:rPr>
        <w:t>-</w:t>
      </w:r>
      <w:r>
        <w:rPr>
          <w:sz w:val="20"/>
        </w:rPr>
        <w:t>coerced</w:t>
      </w:r>
    </w:p>
    <w:p w14:paraId="23914A01" w14:textId="6EFAAFD2" w:rsidR="00FD2E89" w:rsidRPr="005D08CF" w:rsidRDefault="00FD2E89" w:rsidP="0064706C">
      <w:pPr>
        <w:pStyle w:val="ListParagraph"/>
        <w:numPr>
          <w:ilvl w:val="3"/>
          <w:numId w:val="26"/>
        </w:numPr>
        <w:spacing w:after="0"/>
      </w:pPr>
      <w:r>
        <w:rPr>
          <w:sz w:val="20"/>
        </w:rPr>
        <w:t xml:space="preserve">Gives parties </w:t>
      </w:r>
      <w:r>
        <w:rPr>
          <w:i/>
          <w:sz w:val="20"/>
        </w:rPr>
        <w:t xml:space="preserve">incentives </w:t>
      </w:r>
      <w:r>
        <w:rPr>
          <w:sz w:val="20"/>
        </w:rPr>
        <w:t>to use both measures that ostensibly protect minorities</w:t>
      </w:r>
      <w:r w:rsidR="0051361F">
        <w:rPr>
          <w:sz w:val="20"/>
        </w:rPr>
        <w:t>, employ</w:t>
      </w:r>
      <w:r w:rsidR="004C5EF6">
        <w:rPr>
          <w:sz w:val="20"/>
        </w:rPr>
        <w:t>s</w:t>
      </w:r>
      <w:r w:rsidR="0051361F">
        <w:rPr>
          <w:sz w:val="20"/>
        </w:rPr>
        <w:t xml:space="preserve"> </w:t>
      </w:r>
      <w:proofErr w:type="gramStart"/>
      <w:r w:rsidR="00CA6E03">
        <w:rPr>
          <w:sz w:val="20"/>
        </w:rPr>
        <w:t>features</w:t>
      </w:r>
      <w:proofErr w:type="gramEnd"/>
      <w:r w:rsidR="00CA6E03">
        <w:rPr>
          <w:sz w:val="20"/>
        </w:rPr>
        <w:t xml:space="preserve"> of</w:t>
      </w:r>
      <w:r w:rsidR="0051361F">
        <w:rPr>
          <w:sz w:val="20"/>
        </w:rPr>
        <w:t xml:space="preserve"> normal, non-controlled merger</w:t>
      </w:r>
      <w:r w:rsidR="00CA6E03">
        <w:rPr>
          <w:sz w:val="20"/>
        </w:rPr>
        <w:t xml:space="preserve"> making </w:t>
      </w:r>
      <w:r w:rsidR="004C5EF6">
        <w:rPr>
          <w:sz w:val="20"/>
        </w:rPr>
        <w:t xml:space="preserve">traditional </w:t>
      </w:r>
      <w:r w:rsidR="00CA6E03">
        <w:rPr>
          <w:sz w:val="20"/>
        </w:rPr>
        <w:t>deference to directors’ decisions more approp</w:t>
      </w:r>
      <w:r w:rsidR="0064706C">
        <w:rPr>
          <w:sz w:val="20"/>
        </w:rPr>
        <w:t>riate</w:t>
      </w:r>
    </w:p>
    <w:p w14:paraId="2237F816" w14:textId="1ECFDE9A" w:rsidR="005D08CF" w:rsidRPr="005D08CF" w:rsidRDefault="005D08CF" w:rsidP="005D08CF">
      <w:pPr>
        <w:pStyle w:val="ListParagraph"/>
        <w:numPr>
          <w:ilvl w:val="1"/>
          <w:numId w:val="26"/>
        </w:numPr>
        <w:spacing w:after="0"/>
      </w:pPr>
      <w:r>
        <w:rPr>
          <w:sz w:val="20"/>
        </w:rPr>
        <w:t>A tender offer freeze-out occurs in two stages: an acquirer first launches a tender offer, then effects a short-form merger (under DGCL §253)</w:t>
      </w:r>
    </w:p>
    <w:p w14:paraId="279B730B" w14:textId="33C2401D" w:rsidR="005D08CF" w:rsidRPr="005D08CF" w:rsidRDefault="005D08CF" w:rsidP="005D08CF">
      <w:pPr>
        <w:pStyle w:val="ListParagraph"/>
        <w:numPr>
          <w:ilvl w:val="2"/>
          <w:numId w:val="26"/>
        </w:numPr>
        <w:spacing w:after="0"/>
      </w:pPr>
      <w:r>
        <w:rPr>
          <w:sz w:val="20"/>
        </w:rPr>
        <w:t>Tender offer freeze-outs get BJR protection if four conditions are met: (</w:t>
      </w:r>
      <w:r>
        <w:rPr>
          <w:i/>
          <w:sz w:val="20"/>
        </w:rPr>
        <w:t>Pure Resources</w:t>
      </w:r>
      <w:r>
        <w:rPr>
          <w:sz w:val="20"/>
        </w:rPr>
        <w:t>)</w:t>
      </w:r>
    </w:p>
    <w:p w14:paraId="3E226051" w14:textId="4336A75F" w:rsidR="005D08CF" w:rsidRPr="005D08CF" w:rsidRDefault="005D08CF" w:rsidP="005D08CF">
      <w:pPr>
        <w:pStyle w:val="ListParagraph"/>
        <w:numPr>
          <w:ilvl w:val="3"/>
          <w:numId w:val="26"/>
        </w:numPr>
        <w:spacing w:after="0"/>
      </w:pPr>
      <w:r>
        <w:rPr>
          <w:sz w:val="20"/>
        </w:rPr>
        <w:t>Tender offer cannot be coercive</w:t>
      </w:r>
    </w:p>
    <w:p w14:paraId="22BFD043" w14:textId="38144960" w:rsidR="005D08CF" w:rsidRPr="005D08CF" w:rsidRDefault="005D08CF" w:rsidP="005D08CF">
      <w:pPr>
        <w:pStyle w:val="ListParagraph"/>
        <w:numPr>
          <w:ilvl w:val="3"/>
          <w:numId w:val="26"/>
        </w:numPr>
        <w:spacing w:after="0"/>
      </w:pPr>
      <w:r>
        <w:rPr>
          <w:sz w:val="20"/>
        </w:rPr>
        <w:t>Freeze-out is conditioned on tender of majority of minority shares</w:t>
      </w:r>
    </w:p>
    <w:p w14:paraId="7D4FCC5A" w14:textId="054175D6" w:rsidR="005D08CF" w:rsidRPr="005D08CF" w:rsidRDefault="005D08CF" w:rsidP="005D08CF">
      <w:pPr>
        <w:pStyle w:val="ListParagraph"/>
        <w:numPr>
          <w:ilvl w:val="3"/>
          <w:numId w:val="26"/>
        </w:numPr>
        <w:spacing w:after="0"/>
      </w:pPr>
      <w:r>
        <w:rPr>
          <w:sz w:val="20"/>
        </w:rPr>
        <w:t>Short form merger is guaranteed to occur promptly after threshold is met</w:t>
      </w:r>
    </w:p>
    <w:p w14:paraId="3B524B50" w14:textId="4DC4E9A8" w:rsidR="005D08CF" w:rsidRPr="0043188B" w:rsidRDefault="005D08CF" w:rsidP="005D08CF">
      <w:pPr>
        <w:pStyle w:val="ListParagraph"/>
        <w:numPr>
          <w:ilvl w:val="3"/>
          <w:numId w:val="26"/>
        </w:numPr>
        <w:spacing w:after="0"/>
      </w:pPr>
      <w:r>
        <w:rPr>
          <w:sz w:val="20"/>
        </w:rPr>
        <w:t>No retributive threats against either target’s SHs or BoD are made</w:t>
      </w:r>
    </w:p>
    <w:p w14:paraId="12C8BCCD" w14:textId="5840BBA8" w:rsidR="00FF1C71" w:rsidRPr="00FF1C71" w:rsidRDefault="00FF1C71" w:rsidP="00FF1C71">
      <w:pPr>
        <w:pStyle w:val="Heading4"/>
        <w:rPr>
          <w:sz w:val="20"/>
        </w:rPr>
      </w:pPr>
      <w:r w:rsidRPr="00FF1C71">
        <w:rPr>
          <w:sz w:val="20"/>
        </w:rPr>
        <w:t>Takeovers</w:t>
      </w:r>
    </w:p>
    <w:p w14:paraId="466BF126" w14:textId="39ADFB9B" w:rsidR="00FF1C71" w:rsidRPr="009078BC" w:rsidRDefault="009078BC" w:rsidP="00D0638F">
      <w:pPr>
        <w:pStyle w:val="ListParagraph"/>
        <w:numPr>
          <w:ilvl w:val="0"/>
          <w:numId w:val="27"/>
        </w:numPr>
      </w:pPr>
      <w:r>
        <w:rPr>
          <w:sz w:val="20"/>
        </w:rPr>
        <w:t>The Williams Act is a series of amendments to the ’34 Act that focus on tender offers</w:t>
      </w:r>
    </w:p>
    <w:p w14:paraId="629A4ED6" w14:textId="224CBB13" w:rsidR="009078BC" w:rsidRPr="0061495E" w:rsidRDefault="009078BC" w:rsidP="009078BC">
      <w:pPr>
        <w:pStyle w:val="ListParagraph"/>
        <w:numPr>
          <w:ilvl w:val="1"/>
          <w:numId w:val="27"/>
        </w:numPr>
      </w:pPr>
      <w:r>
        <w:rPr>
          <w:sz w:val="20"/>
        </w:rPr>
        <w:t xml:space="preserve">§13(d) requires disclosure </w:t>
      </w:r>
      <w:r w:rsidR="0061495E">
        <w:rPr>
          <w:sz w:val="20"/>
        </w:rPr>
        <w:t>if</w:t>
      </w:r>
      <w:r>
        <w:rPr>
          <w:sz w:val="20"/>
        </w:rPr>
        <w:t xml:space="preserve"> </w:t>
      </w:r>
      <w:r w:rsidR="0061495E">
        <w:rPr>
          <w:sz w:val="20"/>
        </w:rPr>
        <w:t xml:space="preserve">buyer obtains </w:t>
      </w:r>
      <w:r>
        <w:rPr>
          <w:sz w:val="20"/>
        </w:rPr>
        <w:t>5</w:t>
      </w:r>
      <w:r w:rsidR="0061495E">
        <w:rPr>
          <w:sz w:val="20"/>
        </w:rPr>
        <w:t>+</w:t>
      </w:r>
      <w:r>
        <w:rPr>
          <w:sz w:val="20"/>
        </w:rPr>
        <w:t>% of a company’s stock</w:t>
      </w:r>
    </w:p>
    <w:p w14:paraId="74B17B3A" w14:textId="08F7C902" w:rsidR="0061495E" w:rsidRPr="009078BC" w:rsidRDefault="0061495E" w:rsidP="0061495E">
      <w:pPr>
        <w:pStyle w:val="ListParagraph"/>
        <w:numPr>
          <w:ilvl w:val="2"/>
          <w:numId w:val="27"/>
        </w:numPr>
      </w:pPr>
      <w:r>
        <w:rPr>
          <w:sz w:val="20"/>
        </w:rPr>
        <w:t>Disclosure must be made within 10 business days, must include source of funds and purpose for purchase</w:t>
      </w:r>
    </w:p>
    <w:p w14:paraId="6F258333" w14:textId="47591708" w:rsidR="009078BC" w:rsidRPr="00266DD2" w:rsidRDefault="009078BC" w:rsidP="009078BC">
      <w:pPr>
        <w:pStyle w:val="ListParagraph"/>
        <w:numPr>
          <w:ilvl w:val="1"/>
          <w:numId w:val="27"/>
        </w:numPr>
      </w:pPr>
      <w:r>
        <w:rPr>
          <w:sz w:val="20"/>
        </w:rPr>
        <w:t xml:space="preserve">§13(e) requires any issuer repurchases of stock </w:t>
      </w:r>
      <w:r w:rsidR="0061495E">
        <w:rPr>
          <w:sz w:val="20"/>
        </w:rPr>
        <w:t xml:space="preserve">(self-tender offers) </w:t>
      </w:r>
      <w:r>
        <w:rPr>
          <w:sz w:val="20"/>
        </w:rPr>
        <w:t>to be subject to SEC rules</w:t>
      </w:r>
    </w:p>
    <w:p w14:paraId="3FD56CEA" w14:textId="042746A5" w:rsidR="00266DD2" w:rsidRPr="009078BC" w:rsidRDefault="00266DD2" w:rsidP="00266DD2">
      <w:pPr>
        <w:pStyle w:val="ListParagraph"/>
        <w:numPr>
          <w:ilvl w:val="2"/>
          <w:numId w:val="27"/>
        </w:numPr>
      </w:pPr>
      <w:r>
        <w:rPr>
          <w:sz w:val="20"/>
        </w:rPr>
        <w:t xml:space="preserve">However, issuers may purchase </w:t>
      </w:r>
    </w:p>
    <w:p w14:paraId="4FDF893A" w14:textId="0AC53FFC" w:rsidR="009078BC" w:rsidRPr="00286DFC" w:rsidRDefault="009078BC" w:rsidP="009078BC">
      <w:pPr>
        <w:pStyle w:val="ListParagraph"/>
        <w:numPr>
          <w:ilvl w:val="1"/>
          <w:numId w:val="27"/>
        </w:numPr>
      </w:pPr>
      <w:r>
        <w:rPr>
          <w:sz w:val="20"/>
        </w:rPr>
        <w:t>§14(d) governs disclosure of tender offerors</w:t>
      </w:r>
    </w:p>
    <w:p w14:paraId="4231D3F3" w14:textId="2BFF0EFB" w:rsidR="00286DFC" w:rsidRPr="009078BC" w:rsidRDefault="00286DFC" w:rsidP="00286DFC">
      <w:pPr>
        <w:pStyle w:val="ListParagraph"/>
        <w:numPr>
          <w:ilvl w:val="1"/>
          <w:numId w:val="27"/>
        </w:numPr>
      </w:pPr>
      <w:r>
        <w:rPr>
          <w:sz w:val="20"/>
        </w:rPr>
        <w:t xml:space="preserve">§14(d)(5) allows offerees to withdraw their tenders as long as the offer window is open </w:t>
      </w:r>
    </w:p>
    <w:p w14:paraId="0C9CF2EA" w14:textId="77777777" w:rsidR="00286DFC" w:rsidRPr="009078BC" w:rsidRDefault="00286DFC" w:rsidP="00286DFC">
      <w:pPr>
        <w:pStyle w:val="ListParagraph"/>
        <w:numPr>
          <w:ilvl w:val="1"/>
          <w:numId w:val="27"/>
        </w:numPr>
      </w:pPr>
      <w:r>
        <w:rPr>
          <w:sz w:val="20"/>
        </w:rPr>
        <w:t>§14(d)(6) requires offerors to buy shares pro rata from all offerees if the offer is oversubscribed</w:t>
      </w:r>
    </w:p>
    <w:p w14:paraId="2810ABD2" w14:textId="77777777" w:rsidR="00286DFC" w:rsidRPr="009078BC" w:rsidRDefault="00286DFC" w:rsidP="00286DFC">
      <w:pPr>
        <w:pStyle w:val="ListParagraph"/>
        <w:numPr>
          <w:ilvl w:val="1"/>
          <w:numId w:val="27"/>
        </w:numPr>
      </w:pPr>
      <w:r>
        <w:rPr>
          <w:sz w:val="20"/>
        </w:rPr>
        <w:t>§14(d)(7)</w:t>
      </w:r>
      <w:r w:rsidRPr="009078BC">
        <w:rPr>
          <w:sz w:val="20"/>
        </w:rPr>
        <w:t xml:space="preserve"> requires all offerees receive the best price offered during the tender offer window</w:t>
      </w:r>
    </w:p>
    <w:p w14:paraId="74780FB2" w14:textId="642069E0" w:rsidR="009078BC" w:rsidRPr="00286DFC" w:rsidRDefault="009078BC" w:rsidP="009078BC">
      <w:pPr>
        <w:pStyle w:val="ListParagraph"/>
        <w:numPr>
          <w:ilvl w:val="1"/>
          <w:numId w:val="27"/>
        </w:numPr>
      </w:pPr>
      <w:r>
        <w:rPr>
          <w:sz w:val="20"/>
        </w:rPr>
        <w:t>§14(e) is a general antifraud provision with regard to tender offers</w:t>
      </w:r>
    </w:p>
    <w:p w14:paraId="4A8A9635" w14:textId="117E859F" w:rsidR="00286DFC" w:rsidRPr="009078BC" w:rsidRDefault="00286DFC" w:rsidP="00286DFC">
      <w:pPr>
        <w:pStyle w:val="ListParagraph"/>
        <w:numPr>
          <w:ilvl w:val="2"/>
          <w:numId w:val="27"/>
        </w:numPr>
      </w:pPr>
      <w:r>
        <w:rPr>
          <w:sz w:val="20"/>
        </w:rPr>
        <w:t>It is unlawful for anyone to make an MMO in connection with a tender offer</w:t>
      </w:r>
    </w:p>
    <w:p w14:paraId="3D64E0CA" w14:textId="2E04CA78" w:rsidR="009078BC" w:rsidRPr="009078BC" w:rsidRDefault="009078BC" w:rsidP="009078BC">
      <w:pPr>
        <w:pStyle w:val="ListParagraph"/>
        <w:numPr>
          <w:ilvl w:val="1"/>
          <w:numId w:val="27"/>
        </w:numPr>
      </w:pPr>
      <w:r>
        <w:rPr>
          <w:sz w:val="20"/>
        </w:rPr>
        <w:t>Rule 14d-10 require tender offers to be made available to all security holders in a class</w:t>
      </w:r>
    </w:p>
    <w:p w14:paraId="74B8D80C" w14:textId="29BA5A05" w:rsidR="00286DFC" w:rsidRPr="00286DFC" w:rsidRDefault="00286DFC" w:rsidP="00286DFC">
      <w:pPr>
        <w:pStyle w:val="ListParagraph"/>
        <w:numPr>
          <w:ilvl w:val="1"/>
          <w:numId w:val="27"/>
        </w:numPr>
      </w:pPr>
      <w:r>
        <w:rPr>
          <w:sz w:val="20"/>
        </w:rPr>
        <w:t>Rule 14e-1 creates a minimum offer period of 20 days</w:t>
      </w:r>
    </w:p>
    <w:p w14:paraId="1EA934C2" w14:textId="121A8191" w:rsidR="00D77259" w:rsidRPr="00D77259" w:rsidRDefault="009078BC" w:rsidP="00662775">
      <w:pPr>
        <w:pStyle w:val="ListParagraph"/>
        <w:numPr>
          <w:ilvl w:val="1"/>
          <w:numId w:val="27"/>
        </w:numPr>
      </w:pPr>
      <w:r>
        <w:rPr>
          <w:sz w:val="20"/>
        </w:rPr>
        <w:t xml:space="preserve">Rule 14e-5 prohibits offeror from buying shares </w:t>
      </w:r>
      <w:r>
        <w:rPr>
          <w:i/>
          <w:sz w:val="20"/>
        </w:rPr>
        <w:t xml:space="preserve">outside </w:t>
      </w:r>
      <w:r>
        <w:rPr>
          <w:sz w:val="20"/>
        </w:rPr>
        <w:t>the tender offer if</w:t>
      </w:r>
      <w:r w:rsidR="00D025F2">
        <w:rPr>
          <w:sz w:val="20"/>
        </w:rPr>
        <w:t xml:space="preserve"> offer </w:t>
      </w:r>
      <w:r>
        <w:rPr>
          <w:sz w:val="20"/>
        </w:rPr>
        <w:t>window is open</w:t>
      </w:r>
    </w:p>
    <w:p w14:paraId="0B3D4721" w14:textId="3C839A37" w:rsidR="00D77259" w:rsidRPr="00D77259" w:rsidRDefault="00D77259" w:rsidP="00D77259">
      <w:pPr>
        <w:pStyle w:val="ListParagraph"/>
        <w:numPr>
          <w:ilvl w:val="0"/>
          <w:numId w:val="27"/>
        </w:numPr>
      </w:pPr>
      <w:r>
        <w:rPr>
          <w:sz w:val="20"/>
        </w:rPr>
        <w:t>Many defensive measures are available to targets of hostile takeover attempts. The most common are:</w:t>
      </w:r>
    </w:p>
    <w:p w14:paraId="1FBFF18C" w14:textId="51BD6A5C" w:rsidR="00D77259" w:rsidRPr="00D77259" w:rsidRDefault="00D77259" w:rsidP="00D77259">
      <w:pPr>
        <w:pStyle w:val="ListParagraph"/>
        <w:numPr>
          <w:ilvl w:val="1"/>
          <w:numId w:val="27"/>
        </w:numPr>
      </w:pPr>
      <w:r>
        <w:rPr>
          <w:sz w:val="20"/>
        </w:rPr>
        <w:t>Exclusionary self-tender offers (</w:t>
      </w:r>
      <w:r>
        <w:rPr>
          <w:i/>
          <w:sz w:val="20"/>
        </w:rPr>
        <w:t>Unocal</w:t>
      </w:r>
      <w:r>
        <w:rPr>
          <w:sz w:val="20"/>
        </w:rPr>
        <w:t xml:space="preserve"> – now forbidden by Rule 13e-4(f)(8))</w:t>
      </w:r>
    </w:p>
    <w:p w14:paraId="1891C20C" w14:textId="77E1A3E0" w:rsidR="00D77259" w:rsidRPr="00D77259" w:rsidRDefault="00D77259" w:rsidP="00D77259">
      <w:pPr>
        <w:pStyle w:val="ListParagraph"/>
        <w:numPr>
          <w:ilvl w:val="1"/>
          <w:numId w:val="27"/>
        </w:numPr>
      </w:pPr>
      <w:r>
        <w:rPr>
          <w:sz w:val="20"/>
        </w:rPr>
        <w:t xml:space="preserve">Poison pills (permitted in Delaware by </w:t>
      </w:r>
      <w:r>
        <w:rPr>
          <w:i/>
          <w:sz w:val="20"/>
        </w:rPr>
        <w:t>Moran</w:t>
      </w:r>
      <w:r>
        <w:rPr>
          <w:sz w:val="20"/>
        </w:rPr>
        <w:t>)</w:t>
      </w:r>
    </w:p>
    <w:p w14:paraId="2658BC11" w14:textId="366D61E6" w:rsidR="00D77259" w:rsidRPr="00D77259" w:rsidRDefault="00D77259" w:rsidP="00D77259">
      <w:pPr>
        <w:pStyle w:val="ListParagraph"/>
        <w:numPr>
          <w:ilvl w:val="2"/>
          <w:numId w:val="27"/>
        </w:numPr>
      </w:pPr>
      <w:proofErr w:type="gramStart"/>
      <w:r>
        <w:rPr>
          <w:sz w:val="20"/>
        </w:rPr>
        <w:t>Generally</w:t>
      </w:r>
      <w:proofErr w:type="gramEnd"/>
      <w:r>
        <w:rPr>
          <w:sz w:val="20"/>
        </w:rPr>
        <w:t xml:space="preserve"> includes three elements:</w:t>
      </w:r>
    </w:p>
    <w:p w14:paraId="1D51943E" w14:textId="3E5E7401" w:rsidR="00D77259" w:rsidRPr="00D77259" w:rsidRDefault="00D77259" w:rsidP="00D77259">
      <w:pPr>
        <w:pStyle w:val="ListParagraph"/>
        <w:numPr>
          <w:ilvl w:val="3"/>
          <w:numId w:val="27"/>
        </w:numPr>
      </w:pPr>
      <w:r>
        <w:rPr>
          <w:sz w:val="20"/>
        </w:rPr>
        <w:t>“Flip-in” – If acquirer buys a specified percentage of shares, SHs (except acquirer) may buy two shares additional shares at ½ price –  dilutes target stock</w:t>
      </w:r>
    </w:p>
    <w:p w14:paraId="6A4C04BB" w14:textId="0C00FF29" w:rsidR="00D77259" w:rsidRPr="00D77259" w:rsidRDefault="00D77259" w:rsidP="00D77259">
      <w:pPr>
        <w:pStyle w:val="ListParagraph"/>
        <w:numPr>
          <w:ilvl w:val="3"/>
          <w:numId w:val="27"/>
        </w:numPr>
      </w:pPr>
      <w:r>
        <w:rPr>
          <w:sz w:val="20"/>
        </w:rPr>
        <w:t>“Flip-over” – Triggered when target merges into acquirer – SHs may buy two shares of acquirer’s stock at ½ price – massively dilutes acquirer’s stock</w:t>
      </w:r>
    </w:p>
    <w:p w14:paraId="1D4987D0" w14:textId="5EBBB247" w:rsidR="00D77259" w:rsidRPr="00D77259" w:rsidRDefault="00D77259" w:rsidP="00D77259">
      <w:pPr>
        <w:pStyle w:val="ListParagraph"/>
        <w:numPr>
          <w:ilvl w:val="3"/>
          <w:numId w:val="27"/>
        </w:numPr>
      </w:pPr>
      <w:r>
        <w:rPr>
          <w:sz w:val="20"/>
        </w:rPr>
        <w:t>“Redemption” – BoD may redeem rights at a nominal price before exercise</w:t>
      </w:r>
    </w:p>
    <w:p w14:paraId="61B334F8" w14:textId="4B511F25" w:rsidR="00D77259" w:rsidRPr="00D77259" w:rsidRDefault="00D77259" w:rsidP="00D77259">
      <w:pPr>
        <w:pStyle w:val="ListParagraph"/>
        <w:numPr>
          <w:ilvl w:val="2"/>
          <w:numId w:val="27"/>
        </w:numPr>
      </w:pPr>
      <w:r>
        <w:rPr>
          <w:sz w:val="20"/>
        </w:rPr>
        <w:t xml:space="preserve">Dead-hand pills can be redeemed only by directors who were in office when the pill became exercisable. Struck down in </w:t>
      </w:r>
      <w:proofErr w:type="spellStart"/>
      <w:r>
        <w:rPr>
          <w:i/>
          <w:sz w:val="20"/>
        </w:rPr>
        <w:t>Carmody</w:t>
      </w:r>
      <w:proofErr w:type="spellEnd"/>
      <w:r>
        <w:rPr>
          <w:i/>
          <w:sz w:val="20"/>
        </w:rPr>
        <w:t xml:space="preserve"> </w:t>
      </w:r>
      <w:r>
        <w:rPr>
          <w:sz w:val="20"/>
        </w:rPr>
        <w:t>as impermissible SH disenfranchisement</w:t>
      </w:r>
    </w:p>
    <w:p w14:paraId="0224ABF5" w14:textId="7F6F9610" w:rsidR="00D77259" w:rsidRPr="00B50008" w:rsidRDefault="00D77259" w:rsidP="00D77259">
      <w:pPr>
        <w:pStyle w:val="ListParagraph"/>
        <w:numPr>
          <w:ilvl w:val="2"/>
          <w:numId w:val="27"/>
        </w:numPr>
      </w:pPr>
      <w:r>
        <w:rPr>
          <w:sz w:val="20"/>
        </w:rPr>
        <w:t xml:space="preserve">No-hand pills prevent all members of BoD </w:t>
      </w:r>
      <w:r w:rsidR="00A323E4">
        <w:rPr>
          <w:sz w:val="20"/>
        </w:rPr>
        <w:t xml:space="preserve">(if majority is nominated/supported by hostile bidder) </w:t>
      </w:r>
      <w:r>
        <w:rPr>
          <w:sz w:val="20"/>
        </w:rPr>
        <w:t xml:space="preserve">from redeeming pill for a specified time period. Struck down in </w:t>
      </w:r>
      <w:proofErr w:type="spellStart"/>
      <w:r>
        <w:rPr>
          <w:i/>
          <w:sz w:val="20"/>
        </w:rPr>
        <w:t>Quickturn</w:t>
      </w:r>
      <w:proofErr w:type="spellEnd"/>
      <w:r>
        <w:rPr>
          <w:i/>
          <w:sz w:val="20"/>
        </w:rPr>
        <w:t xml:space="preserve"> </w:t>
      </w:r>
      <w:r>
        <w:rPr>
          <w:sz w:val="20"/>
        </w:rPr>
        <w:t xml:space="preserve">as impermissible infringement on </w:t>
      </w:r>
      <w:proofErr w:type="spellStart"/>
      <w:r>
        <w:rPr>
          <w:sz w:val="20"/>
        </w:rPr>
        <w:t>BoD’s</w:t>
      </w:r>
      <w:proofErr w:type="spellEnd"/>
      <w:r>
        <w:rPr>
          <w:sz w:val="20"/>
        </w:rPr>
        <w:t xml:space="preserve"> ability to discharge fiduciary duties</w:t>
      </w:r>
    </w:p>
    <w:p w14:paraId="71B2C8BA" w14:textId="00E2F60F" w:rsidR="00B50008" w:rsidRPr="00B50008" w:rsidRDefault="00B50008" w:rsidP="00B50008">
      <w:pPr>
        <w:pStyle w:val="ListParagraph"/>
        <w:numPr>
          <w:ilvl w:val="1"/>
          <w:numId w:val="27"/>
        </w:numPr>
      </w:pPr>
      <w:r>
        <w:rPr>
          <w:sz w:val="20"/>
        </w:rPr>
        <w:t>Asset lock-up (corporation agrees to sell assets at below-market price) (</w:t>
      </w:r>
      <w:r>
        <w:rPr>
          <w:i/>
          <w:sz w:val="20"/>
        </w:rPr>
        <w:t>Revlon</w:t>
      </w:r>
      <w:r>
        <w:rPr>
          <w:sz w:val="20"/>
        </w:rPr>
        <w:t>)</w:t>
      </w:r>
    </w:p>
    <w:p w14:paraId="773CE8EA" w14:textId="70789C2E" w:rsidR="00B50008" w:rsidRPr="00B50008" w:rsidRDefault="00B50008" w:rsidP="00B50008">
      <w:pPr>
        <w:pStyle w:val="ListParagraph"/>
        <w:numPr>
          <w:ilvl w:val="1"/>
          <w:numId w:val="27"/>
        </w:numPr>
      </w:pPr>
      <w:r>
        <w:rPr>
          <w:sz w:val="20"/>
        </w:rPr>
        <w:t>Share lock-up (if stock trades on NYSE, SHs must approve lock-up of 20+% of shares) (</w:t>
      </w:r>
      <w:r>
        <w:rPr>
          <w:i/>
          <w:sz w:val="20"/>
        </w:rPr>
        <w:t>QVC</w:t>
      </w:r>
      <w:r>
        <w:rPr>
          <w:sz w:val="20"/>
        </w:rPr>
        <w:t>)</w:t>
      </w:r>
    </w:p>
    <w:p w14:paraId="5E0C84C6" w14:textId="4E3E2970" w:rsidR="00B50008" w:rsidRPr="00B50008" w:rsidRDefault="00B50008" w:rsidP="00B50008">
      <w:pPr>
        <w:pStyle w:val="ListParagraph"/>
        <w:numPr>
          <w:ilvl w:val="1"/>
          <w:numId w:val="27"/>
        </w:numPr>
      </w:pPr>
      <w:r>
        <w:rPr>
          <w:sz w:val="20"/>
        </w:rPr>
        <w:t>Large termination fees (</w:t>
      </w:r>
      <w:r>
        <w:rPr>
          <w:i/>
          <w:sz w:val="20"/>
        </w:rPr>
        <w:t>Revlon</w:t>
      </w:r>
      <w:r>
        <w:rPr>
          <w:sz w:val="20"/>
        </w:rPr>
        <w:t>)</w:t>
      </w:r>
    </w:p>
    <w:p w14:paraId="41C882F5" w14:textId="0D7D539F" w:rsidR="00B50008" w:rsidRPr="00B50008" w:rsidRDefault="00B50008" w:rsidP="00B50008">
      <w:pPr>
        <w:pStyle w:val="ListParagraph"/>
        <w:numPr>
          <w:ilvl w:val="1"/>
          <w:numId w:val="27"/>
        </w:numPr>
      </w:pPr>
      <w:r>
        <w:rPr>
          <w:sz w:val="20"/>
        </w:rPr>
        <w:lastRenderedPageBreak/>
        <w:t>Contract preventing removal of existing defensive measures (</w:t>
      </w:r>
      <w:r>
        <w:rPr>
          <w:i/>
          <w:sz w:val="20"/>
        </w:rPr>
        <w:t>QVC</w:t>
      </w:r>
      <w:r>
        <w:rPr>
          <w:sz w:val="20"/>
        </w:rPr>
        <w:t xml:space="preserve"> – impermissible restriction on </w:t>
      </w:r>
      <w:proofErr w:type="spellStart"/>
      <w:r>
        <w:rPr>
          <w:sz w:val="20"/>
        </w:rPr>
        <w:t>BoD’s</w:t>
      </w:r>
      <w:proofErr w:type="spellEnd"/>
      <w:r>
        <w:rPr>
          <w:sz w:val="20"/>
        </w:rPr>
        <w:t xml:space="preserve"> ability to carry out fiduciary duties)</w:t>
      </w:r>
    </w:p>
    <w:p w14:paraId="1BFDC41E" w14:textId="5D68429B" w:rsidR="00B50008" w:rsidRPr="00D77259" w:rsidRDefault="00B50008" w:rsidP="00B50008">
      <w:pPr>
        <w:pStyle w:val="ListParagraph"/>
        <w:numPr>
          <w:ilvl w:val="1"/>
          <w:numId w:val="27"/>
        </w:numPr>
      </w:pPr>
      <w:r>
        <w:rPr>
          <w:sz w:val="20"/>
        </w:rPr>
        <w:t>Payment of greenmail (</w:t>
      </w:r>
      <w:proofErr w:type="spellStart"/>
      <w:r>
        <w:rPr>
          <w:i/>
          <w:sz w:val="20"/>
        </w:rPr>
        <w:t>Cheff</w:t>
      </w:r>
      <w:proofErr w:type="spellEnd"/>
      <w:r>
        <w:rPr>
          <w:i/>
          <w:sz w:val="20"/>
        </w:rPr>
        <w:t xml:space="preserve"> v. </w:t>
      </w:r>
      <w:proofErr w:type="spellStart"/>
      <w:r>
        <w:rPr>
          <w:i/>
          <w:sz w:val="20"/>
        </w:rPr>
        <w:t>Mathes</w:t>
      </w:r>
      <w:proofErr w:type="spellEnd"/>
      <w:r>
        <w:rPr>
          <w:sz w:val="20"/>
        </w:rPr>
        <w:t xml:space="preserve"> – no longer widely used du</w:t>
      </w:r>
      <w:r w:rsidR="00515FC9">
        <w:rPr>
          <w:sz w:val="20"/>
        </w:rPr>
        <w:t>e to 50%</w:t>
      </w:r>
      <w:r>
        <w:rPr>
          <w:sz w:val="20"/>
        </w:rPr>
        <w:t xml:space="preserve"> penalty tax)</w:t>
      </w:r>
    </w:p>
    <w:p w14:paraId="390600DD" w14:textId="6DD3F81E" w:rsidR="00C72778" w:rsidRPr="00C72778" w:rsidRDefault="001F75DF" w:rsidP="00C72778">
      <w:pPr>
        <w:pStyle w:val="ListParagraph"/>
        <w:numPr>
          <w:ilvl w:val="0"/>
          <w:numId w:val="27"/>
        </w:numPr>
      </w:pPr>
      <w:r>
        <w:rPr>
          <w:sz w:val="20"/>
        </w:rPr>
        <w:t xml:space="preserve">Corporation may purchase its own stock (DGCL §160) in response to hostile takeover attempt, but only if it has a sincere belief that the buyout is necessary to maintain proper business practices – </w:t>
      </w:r>
      <w:proofErr w:type="spellStart"/>
      <w:r>
        <w:rPr>
          <w:i/>
          <w:sz w:val="20"/>
        </w:rPr>
        <w:t>Cheff</w:t>
      </w:r>
      <w:proofErr w:type="spellEnd"/>
      <w:r>
        <w:rPr>
          <w:i/>
          <w:sz w:val="20"/>
        </w:rPr>
        <w:t xml:space="preserve"> v. </w:t>
      </w:r>
      <w:proofErr w:type="spellStart"/>
      <w:r>
        <w:rPr>
          <w:i/>
          <w:sz w:val="20"/>
        </w:rPr>
        <w:t>Mathes</w:t>
      </w:r>
      <w:proofErr w:type="spellEnd"/>
    </w:p>
    <w:p w14:paraId="35E1A0CF" w14:textId="305D3BE5" w:rsidR="00C72778" w:rsidRPr="00C72778" w:rsidRDefault="00C72778" w:rsidP="00C72778">
      <w:pPr>
        <w:pStyle w:val="ListParagraph"/>
        <w:numPr>
          <w:ilvl w:val="1"/>
          <w:numId w:val="27"/>
        </w:numPr>
      </w:pPr>
      <w:r>
        <w:rPr>
          <w:sz w:val="20"/>
        </w:rPr>
        <w:t>BoD initially bears burden of persuasion due to intrinsic conflict of interest involved in using corporate funds to perpetuate management control</w:t>
      </w:r>
      <w:r w:rsidR="0025139E">
        <w:rPr>
          <w:sz w:val="20"/>
        </w:rPr>
        <w:t>`</w:t>
      </w:r>
    </w:p>
    <w:p w14:paraId="66428796" w14:textId="2DF2EF88" w:rsidR="00781AC3" w:rsidRPr="00781AC3" w:rsidRDefault="00781AC3" w:rsidP="00781AC3">
      <w:pPr>
        <w:pStyle w:val="ListParagraph"/>
        <w:numPr>
          <w:ilvl w:val="1"/>
          <w:numId w:val="27"/>
        </w:numPr>
      </w:pPr>
      <w:r>
        <w:rPr>
          <w:sz w:val="20"/>
        </w:rPr>
        <w:t>The BoD will receive the benefit of the BJR if it can pass the following two-prong test:</w:t>
      </w:r>
    </w:p>
    <w:p w14:paraId="297D8D5A" w14:textId="0DAD68FB" w:rsidR="00781AC3" w:rsidRPr="00781AC3" w:rsidRDefault="00781AC3" w:rsidP="00781AC3">
      <w:pPr>
        <w:pStyle w:val="ListParagraph"/>
        <w:numPr>
          <w:ilvl w:val="2"/>
          <w:numId w:val="27"/>
        </w:numPr>
      </w:pPr>
      <w:r>
        <w:rPr>
          <w:sz w:val="20"/>
        </w:rPr>
        <w:t>BoD had reasonable grounds for believing the takeover to be a threat</w:t>
      </w:r>
    </w:p>
    <w:p w14:paraId="50A12219" w14:textId="2884FA61" w:rsidR="00781AC3" w:rsidRPr="005B7870" w:rsidRDefault="00781AC3" w:rsidP="00781AC3">
      <w:pPr>
        <w:pStyle w:val="ListParagraph"/>
        <w:numPr>
          <w:ilvl w:val="3"/>
          <w:numId w:val="27"/>
        </w:numPr>
      </w:pPr>
      <w:r>
        <w:rPr>
          <w:sz w:val="20"/>
        </w:rPr>
        <w:t>Can be satisfied by showing good faith and reasonable investigation</w:t>
      </w:r>
    </w:p>
    <w:p w14:paraId="108622DF" w14:textId="0447071F" w:rsidR="005B7870" w:rsidRPr="00781AC3" w:rsidRDefault="005B7870" w:rsidP="00781AC3">
      <w:pPr>
        <w:pStyle w:val="ListParagraph"/>
        <w:numPr>
          <w:ilvl w:val="3"/>
          <w:numId w:val="27"/>
        </w:numPr>
      </w:pPr>
      <w:r>
        <w:rPr>
          <w:sz w:val="20"/>
        </w:rPr>
        <w:t xml:space="preserve">In </w:t>
      </w:r>
      <w:proofErr w:type="spellStart"/>
      <w:r>
        <w:rPr>
          <w:i/>
          <w:sz w:val="20"/>
        </w:rPr>
        <w:t>Cheff</w:t>
      </w:r>
      <w:proofErr w:type="spellEnd"/>
      <w:r>
        <w:rPr>
          <w:sz w:val="20"/>
        </w:rPr>
        <w:t xml:space="preserve">, concerns about employee retention </w:t>
      </w:r>
      <w:r w:rsidR="00030014">
        <w:rPr>
          <w:sz w:val="20"/>
        </w:rPr>
        <w:t xml:space="preserve">(considered critical to company’s long-term success) </w:t>
      </w:r>
      <w:r>
        <w:rPr>
          <w:sz w:val="20"/>
        </w:rPr>
        <w:t>were sufficient to find “threat”</w:t>
      </w:r>
    </w:p>
    <w:p w14:paraId="05DDCB3C" w14:textId="1E3BC7A0" w:rsidR="00781AC3" w:rsidRPr="00FB7731" w:rsidRDefault="00781AC3" w:rsidP="00781AC3">
      <w:pPr>
        <w:pStyle w:val="ListParagraph"/>
        <w:numPr>
          <w:ilvl w:val="2"/>
          <w:numId w:val="27"/>
        </w:numPr>
      </w:pPr>
      <w:r>
        <w:rPr>
          <w:sz w:val="20"/>
        </w:rPr>
        <w:t xml:space="preserve">Primary purpose was </w:t>
      </w:r>
      <w:r>
        <w:rPr>
          <w:i/>
          <w:sz w:val="20"/>
        </w:rPr>
        <w:t xml:space="preserve">not </w:t>
      </w:r>
      <w:r>
        <w:rPr>
          <w:sz w:val="20"/>
        </w:rPr>
        <w:t>retention of control</w:t>
      </w:r>
    </w:p>
    <w:p w14:paraId="163747AC" w14:textId="2AA4FFCA" w:rsidR="00DC606D" w:rsidRPr="00DA35CB" w:rsidRDefault="00FB7731" w:rsidP="00DA35CB">
      <w:pPr>
        <w:pStyle w:val="ListParagraph"/>
        <w:numPr>
          <w:ilvl w:val="1"/>
          <w:numId w:val="27"/>
        </w:numPr>
      </w:pPr>
      <w:r>
        <w:rPr>
          <w:sz w:val="20"/>
        </w:rPr>
        <w:t xml:space="preserve">Technique here (purchasing stock to force buyout from incumbent board) is “greenmail” – rarely used today due to 50% </w:t>
      </w:r>
      <w:r w:rsidR="00C174C1">
        <w:rPr>
          <w:sz w:val="20"/>
        </w:rPr>
        <w:t xml:space="preserve">penalty </w:t>
      </w:r>
      <w:r>
        <w:rPr>
          <w:sz w:val="20"/>
        </w:rPr>
        <w:t>tax on proceeds</w:t>
      </w:r>
    </w:p>
    <w:p w14:paraId="16F5A381" w14:textId="71A3C7AB" w:rsidR="00DA35CB" w:rsidRPr="00737282" w:rsidRDefault="00DA35CB" w:rsidP="00DA35CB">
      <w:pPr>
        <w:pStyle w:val="ListParagraph"/>
        <w:numPr>
          <w:ilvl w:val="0"/>
          <w:numId w:val="27"/>
        </w:numPr>
      </w:pPr>
      <w:r>
        <w:rPr>
          <w:sz w:val="20"/>
        </w:rPr>
        <w:t xml:space="preserve">A board of director’s response to a takeover </w:t>
      </w:r>
      <w:r w:rsidRPr="00DA35CB">
        <w:rPr>
          <w:sz w:val="20"/>
        </w:rPr>
        <w:t>attem</w:t>
      </w:r>
      <w:r>
        <w:rPr>
          <w:sz w:val="20"/>
        </w:rPr>
        <w:t>p</w:t>
      </w:r>
      <w:r w:rsidRPr="00DA35CB">
        <w:rPr>
          <w:sz w:val="20"/>
        </w:rPr>
        <w:t>t</w:t>
      </w:r>
      <w:r>
        <w:rPr>
          <w:sz w:val="20"/>
        </w:rPr>
        <w:t xml:space="preserve"> must pass </w:t>
      </w:r>
      <w:r>
        <w:rPr>
          <w:i/>
          <w:sz w:val="20"/>
        </w:rPr>
        <w:t>Unocal</w:t>
      </w:r>
      <w:r>
        <w:rPr>
          <w:sz w:val="20"/>
        </w:rPr>
        <w:t>’s two-part test</w:t>
      </w:r>
    </w:p>
    <w:p w14:paraId="332FE27C" w14:textId="480D65B0" w:rsidR="00737282" w:rsidRPr="00DA35CB" w:rsidRDefault="00737282" w:rsidP="00737282">
      <w:pPr>
        <w:pStyle w:val="ListParagraph"/>
        <w:numPr>
          <w:ilvl w:val="1"/>
          <w:numId w:val="27"/>
        </w:numPr>
      </w:pPr>
      <w:r>
        <w:rPr>
          <w:sz w:val="20"/>
        </w:rPr>
        <w:t>Standard of review is “enhanced scrutiny,” “intermediate scrutiny”</w:t>
      </w:r>
      <w:r w:rsidR="00153236">
        <w:rPr>
          <w:sz w:val="20"/>
        </w:rPr>
        <w:t xml:space="preserve"> or “conditional BJR” (BJR if threat is real)</w:t>
      </w:r>
      <w:r>
        <w:rPr>
          <w:sz w:val="20"/>
        </w:rPr>
        <w:t xml:space="preserve"> due to </w:t>
      </w:r>
      <w:r w:rsidR="00194A82">
        <w:rPr>
          <w:sz w:val="20"/>
        </w:rPr>
        <w:t>“omnipresent specter”</w:t>
      </w:r>
      <w:r w:rsidR="00153236">
        <w:rPr>
          <w:sz w:val="20"/>
        </w:rPr>
        <w:t xml:space="preserve"> that BoD</w:t>
      </w:r>
      <w:r w:rsidR="00194A82">
        <w:rPr>
          <w:sz w:val="20"/>
        </w:rPr>
        <w:t xml:space="preserve"> may be acting primarily</w:t>
      </w:r>
      <w:r w:rsidR="00153236">
        <w:rPr>
          <w:sz w:val="20"/>
        </w:rPr>
        <w:t xml:space="preserve"> in its own interest</w:t>
      </w:r>
    </w:p>
    <w:p w14:paraId="0B0EC61A" w14:textId="39C3FC40" w:rsidR="00DA35CB" w:rsidRPr="00DA35CB" w:rsidRDefault="00DA35CB" w:rsidP="00DA35CB">
      <w:pPr>
        <w:pStyle w:val="ListParagraph"/>
        <w:numPr>
          <w:ilvl w:val="1"/>
          <w:numId w:val="27"/>
        </w:numPr>
      </w:pPr>
      <w:r>
        <w:rPr>
          <w:sz w:val="20"/>
        </w:rPr>
        <w:t>Step 0 – Did BoD have authority to adopt defenses? (DGCL, articles of incorporation, etc.)</w:t>
      </w:r>
    </w:p>
    <w:p w14:paraId="2EB0F3B9" w14:textId="5339392C" w:rsidR="00DA35CB" w:rsidRPr="00C12593" w:rsidRDefault="00DA35CB" w:rsidP="00DA35CB">
      <w:pPr>
        <w:pStyle w:val="ListParagraph"/>
        <w:numPr>
          <w:ilvl w:val="1"/>
          <w:numId w:val="27"/>
        </w:numPr>
      </w:pPr>
      <w:r>
        <w:rPr>
          <w:sz w:val="20"/>
        </w:rPr>
        <w:t xml:space="preserve">Step 1 – Did BoD have reasonable grounds to believe that the takeover attempt threatened corporate policy and effectiveness? – see </w:t>
      </w:r>
      <w:proofErr w:type="spellStart"/>
      <w:r>
        <w:rPr>
          <w:i/>
          <w:sz w:val="20"/>
        </w:rPr>
        <w:t>Cheff</w:t>
      </w:r>
      <w:proofErr w:type="spellEnd"/>
    </w:p>
    <w:p w14:paraId="55532F37" w14:textId="2E2931E2" w:rsidR="00C12593" w:rsidRPr="00AC1558" w:rsidRDefault="00AC1558" w:rsidP="00C12593">
      <w:pPr>
        <w:pStyle w:val="ListParagraph"/>
        <w:numPr>
          <w:ilvl w:val="2"/>
          <w:numId w:val="27"/>
        </w:numPr>
      </w:pPr>
      <w:r>
        <w:rPr>
          <w:sz w:val="20"/>
        </w:rPr>
        <w:t xml:space="preserve">Shown through good faith and reasonable investigation </w:t>
      </w:r>
    </w:p>
    <w:p w14:paraId="7D6B7DAB" w14:textId="6E5FD3C9" w:rsidR="00AC1558" w:rsidRPr="000816A1" w:rsidRDefault="00AC1558" w:rsidP="00AC1558">
      <w:pPr>
        <w:pStyle w:val="ListParagraph"/>
        <w:numPr>
          <w:ilvl w:val="3"/>
          <w:numId w:val="27"/>
        </w:numPr>
      </w:pPr>
      <w:r>
        <w:rPr>
          <w:sz w:val="20"/>
        </w:rPr>
        <w:t>Proof is materially enhanced if majority of BoD are outside directors – even better if in</w:t>
      </w:r>
      <w:r w:rsidR="00A80128">
        <w:rPr>
          <w:sz w:val="20"/>
        </w:rPr>
        <w:t xml:space="preserve">dependent committee </w:t>
      </w:r>
      <w:r>
        <w:rPr>
          <w:sz w:val="20"/>
        </w:rPr>
        <w:t xml:space="preserve">presents its recommendation </w:t>
      </w:r>
      <w:r w:rsidR="00A80128">
        <w:rPr>
          <w:sz w:val="20"/>
        </w:rPr>
        <w:t>to BoD</w:t>
      </w:r>
      <w:r w:rsidR="000026BA">
        <w:rPr>
          <w:sz w:val="20"/>
        </w:rPr>
        <w:t xml:space="preserve"> - </w:t>
      </w:r>
      <w:r w:rsidR="000026BA">
        <w:rPr>
          <w:i/>
          <w:sz w:val="20"/>
        </w:rPr>
        <w:t>Unocal</w:t>
      </w:r>
    </w:p>
    <w:p w14:paraId="02E2ECF1" w14:textId="4A870E94" w:rsidR="000816A1" w:rsidRPr="000816A1" w:rsidRDefault="000816A1" w:rsidP="000816A1">
      <w:pPr>
        <w:pStyle w:val="ListParagraph"/>
        <w:numPr>
          <w:ilvl w:val="2"/>
          <w:numId w:val="27"/>
        </w:numPr>
      </w:pPr>
      <w:r>
        <w:rPr>
          <w:sz w:val="20"/>
        </w:rPr>
        <w:t>There are three basic categories of threats to a corporation: (</w:t>
      </w:r>
      <w:r>
        <w:rPr>
          <w:i/>
          <w:sz w:val="20"/>
        </w:rPr>
        <w:t>Mentor Graphics</w:t>
      </w:r>
      <w:r>
        <w:rPr>
          <w:sz w:val="20"/>
        </w:rPr>
        <w:t>)</w:t>
      </w:r>
    </w:p>
    <w:p w14:paraId="3A47191C" w14:textId="5719CAA1" w:rsidR="000816A1" w:rsidRPr="000816A1" w:rsidRDefault="000816A1" w:rsidP="000816A1">
      <w:pPr>
        <w:pStyle w:val="ListParagraph"/>
        <w:numPr>
          <w:ilvl w:val="3"/>
          <w:numId w:val="27"/>
        </w:numPr>
      </w:pPr>
      <w:r>
        <w:rPr>
          <w:sz w:val="20"/>
        </w:rPr>
        <w:t>Opportunity loss – hostile offer might deprive SHs of opportunity to select a superior alternative offered by management</w:t>
      </w:r>
    </w:p>
    <w:p w14:paraId="137F7881" w14:textId="51E6B408" w:rsidR="000816A1" w:rsidRPr="005540C5" w:rsidRDefault="000816A1" w:rsidP="000816A1">
      <w:pPr>
        <w:pStyle w:val="ListParagraph"/>
        <w:numPr>
          <w:ilvl w:val="3"/>
          <w:numId w:val="27"/>
        </w:numPr>
      </w:pPr>
      <w:r>
        <w:rPr>
          <w:sz w:val="20"/>
        </w:rPr>
        <w:t>Structural coercion – risk that disparate treatment of non-tendering SHs might distort SH’s tender decisions</w:t>
      </w:r>
    </w:p>
    <w:p w14:paraId="1A9582A8" w14:textId="0B914575" w:rsidR="005540C5" w:rsidRPr="000816A1" w:rsidRDefault="005540C5" w:rsidP="005540C5">
      <w:pPr>
        <w:pStyle w:val="ListParagraph"/>
        <w:numPr>
          <w:ilvl w:val="4"/>
          <w:numId w:val="27"/>
        </w:numPr>
      </w:pPr>
      <w:r>
        <w:rPr>
          <w:sz w:val="20"/>
        </w:rPr>
        <w:t xml:space="preserve">Two-tiered front-end tender offer in </w:t>
      </w:r>
      <w:r>
        <w:rPr>
          <w:i/>
          <w:sz w:val="20"/>
        </w:rPr>
        <w:t xml:space="preserve">Unocal </w:t>
      </w:r>
      <w:r>
        <w:rPr>
          <w:sz w:val="20"/>
        </w:rPr>
        <w:t>offered $55 to both stages of tendering SHs, but second tier would only receive junk bonds</w:t>
      </w:r>
    </w:p>
    <w:p w14:paraId="43C54079" w14:textId="3ADD1EEE" w:rsidR="000816A1" w:rsidRPr="000816A1" w:rsidRDefault="000816A1" w:rsidP="000816A1">
      <w:pPr>
        <w:pStyle w:val="ListParagraph"/>
        <w:numPr>
          <w:ilvl w:val="3"/>
          <w:numId w:val="27"/>
        </w:numPr>
      </w:pPr>
      <w:r>
        <w:rPr>
          <w:sz w:val="20"/>
        </w:rPr>
        <w:t>Substantive coercion – risk that SHs will mistakenly accept underpriced offer because they disbelieve management’s representations of intrinsic value</w:t>
      </w:r>
    </w:p>
    <w:p w14:paraId="4FF8558B" w14:textId="3DD51E92" w:rsidR="000816A1" w:rsidRPr="00D6364F" w:rsidRDefault="000816A1" w:rsidP="000816A1">
      <w:pPr>
        <w:pStyle w:val="ListParagraph"/>
        <w:numPr>
          <w:ilvl w:val="4"/>
          <w:numId w:val="27"/>
        </w:numPr>
      </w:pPr>
      <w:r>
        <w:rPr>
          <w:sz w:val="20"/>
        </w:rPr>
        <w:t>Th</w:t>
      </w:r>
      <w:r w:rsidR="00AB7D7E">
        <w:rPr>
          <w:sz w:val="20"/>
        </w:rPr>
        <w:t>is threat should</w:t>
      </w:r>
      <w:r>
        <w:rPr>
          <w:sz w:val="20"/>
        </w:rPr>
        <w:t xml:space="preserve"> be construed broadly, including </w:t>
      </w:r>
      <w:r w:rsidR="00D6364F">
        <w:rPr>
          <w:sz w:val="20"/>
        </w:rPr>
        <w:t xml:space="preserve">value to be lost from failure to consummate planned merger – </w:t>
      </w:r>
      <w:r w:rsidR="00D6364F">
        <w:rPr>
          <w:i/>
          <w:sz w:val="20"/>
        </w:rPr>
        <w:t>Time</w:t>
      </w:r>
      <w:r w:rsidR="00FF72A1">
        <w:rPr>
          <w:i/>
          <w:sz w:val="20"/>
        </w:rPr>
        <w:t xml:space="preserve"> </w:t>
      </w:r>
      <w:r w:rsidR="00FF72A1">
        <w:rPr>
          <w:sz w:val="20"/>
        </w:rPr>
        <w:t>(had planned to merge with Warner Bros. before Paramount’s hostile offer)</w:t>
      </w:r>
    </w:p>
    <w:p w14:paraId="3A1C47BF" w14:textId="2E793C21" w:rsidR="00D6364F" w:rsidRPr="008D1EA2" w:rsidRDefault="00D6364F" w:rsidP="000816A1">
      <w:pPr>
        <w:pStyle w:val="ListParagraph"/>
        <w:numPr>
          <w:ilvl w:val="4"/>
          <w:numId w:val="27"/>
        </w:numPr>
      </w:pPr>
      <w:r>
        <w:rPr>
          <w:sz w:val="20"/>
        </w:rPr>
        <w:t xml:space="preserve">Quality of consideration offered may also play a role – </w:t>
      </w:r>
      <w:r>
        <w:rPr>
          <w:i/>
          <w:sz w:val="20"/>
        </w:rPr>
        <w:t xml:space="preserve">Unocal </w:t>
      </w:r>
      <w:r>
        <w:rPr>
          <w:sz w:val="20"/>
        </w:rPr>
        <w:t>(junk bonds for later-tendering SHs)</w:t>
      </w:r>
    </w:p>
    <w:p w14:paraId="7C048DA2" w14:textId="36809DD8" w:rsidR="008D1EA2" w:rsidRPr="00DA35CB" w:rsidRDefault="008D1EA2" w:rsidP="008D1EA2">
      <w:pPr>
        <w:pStyle w:val="ListParagraph"/>
        <w:numPr>
          <w:ilvl w:val="2"/>
          <w:numId w:val="27"/>
        </w:numPr>
      </w:pPr>
      <w:r>
        <w:rPr>
          <w:sz w:val="20"/>
        </w:rPr>
        <w:t xml:space="preserve">As long as the </w:t>
      </w:r>
      <w:r>
        <w:rPr>
          <w:i/>
          <w:sz w:val="20"/>
        </w:rPr>
        <w:t xml:space="preserve">primary purpose </w:t>
      </w:r>
      <w:r>
        <w:rPr>
          <w:sz w:val="20"/>
        </w:rPr>
        <w:t>is permissible, directors’ mixed m</w:t>
      </w:r>
      <w:r w:rsidR="00F456F4">
        <w:rPr>
          <w:sz w:val="20"/>
        </w:rPr>
        <w:t>otives is OK</w:t>
      </w:r>
    </w:p>
    <w:p w14:paraId="1C1F7401" w14:textId="50D4C315" w:rsidR="00DA35CB" w:rsidRPr="00B53155" w:rsidRDefault="00DA35CB" w:rsidP="00DA35CB">
      <w:pPr>
        <w:pStyle w:val="ListParagraph"/>
        <w:numPr>
          <w:ilvl w:val="1"/>
          <w:numId w:val="27"/>
        </w:numPr>
      </w:pPr>
      <w:r>
        <w:rPr>
          <w:sz w:val="20"/>
        </w:rPr>
        <w:t>Step 2 – Is the defense proportional to the threat posed?</w:t>
      </w:r>
    </w:p>
    <w:p w14:paraId="0D4CCE87" w14:textId="1049A30F" w:rsidR="00B53155" w:rsidRPr="00B53155" w:rsidRDefault="00B53155" w:rsidP="00B53155">
      <w:pPr>
        <w:pStyle w:val="ListParagraph"/>
        <w:numPr>
          <w:ilvl w:val="2"/>
          <w:numId w:val="27"/>
        </w:numPr>
      </w:pPr>
      <w:r>
        <w:rPr>
          <w:sz w:val="20"/>
        </w:rPr>
        <w:t xml:space="preserve">Response cannot be </w:t>
      </w:r>
      <w:r w:rsidR="00ED7243">
        <w:rPr>
          <w:sz w:val="20"/>
        </w:rPr>
        <w:t xml:space="preserve">“draconian”, which means </w:t>
      </w:r>
      <w:r>
        <w:rPr>
          <w:sz w:val="20"/>
        </w:rPr>
        <w:t>“coercive” or “preclusive”</w:t>
      </w:r>
      <w:r w:rsidR="00ED7243">
        <w:rPr>
          <w:sz w:val="20"/>
        </w:rPr>
        <w:t xml:space="preserve"> - </w:t>
      </w:r>
      <w:r w:rsidR="00ED7243">
        <w:rPr>
          <w:i/>
          <w:sz w:val="20"/>
        </w:rPr>
        <w:t>Unitrin</w:t>
      </w:r>
    </w:p>
    <w:p w14:paraId="4E7061F8" w14:textId="5BBE11A8" w:rsidR="00B53155" w:rsidRPr="00B53155" w:rsidRDefault="00B53155" w:rsidP="00B53155">
      <w:pPr>
        <w:pStyle w:val="ListParagraph"/>
        <w:numPr>
          <w:ilvl w:val="3"/>
          <w:numId w:val="27"/>
        </w:numPr>
      </w:pPr>
      <w:r>
        <w:rPr>
          <w:sz w:val="20"/>
        </w:rPr>
        <w:t>Defenses are coercive if they “cram down” a management-sponsored alternative on SHs</w:t>
      </w:r>
    </w:p>
    <w:p w14:paraId="25B83BD1" w14:textId="20B65AFA" w:rsidR="00B53155" w:rsidRPr="00B53155" w:rsidRDefault="00B53155" w:rsidP="00B53155">
      <w:pPr>
        <w:pStyle w:val="ListParagraph"/>
        <w:numPr>
          <w:ilvl w:val="3"/>
          <w:numId w:val="27"/>
        </w:numPr>
      </w:pPr>
      <w:r>
        <w:rPr>
          <w:sz w:val="20"/>
        </w:rPr>
        <w:t>Defenses are preclusive if they deprive SHs of right to tender offers or preclude bidders from gaining control by restricting proxy contests (or otherwise)</w:t>
      </w:r>
    </w:p>
    <w:p w14:paraId="0ECCF447" w14:textId="56CC5AB5" w:rsidR="00B53155" w:rsidRPr="00472569" w:rsidRDefault="00B53155" w:rsidP="00B53155">
      <w:pPr>
        <w:pStyle w:val="ListParagraph"/>
        <w:numPr>
          <w:ilvl w:val="4"/>
          <w:numId w:val="27"/>
        </w:numPr>
      </w:pPr>
      <w:r>
        <w:rPr>
          <w:sz w:val="20"/>
        </w:rPr>
        <w:t xml:space="preserve">Adopting staggered BoD can be preclusive – </w:t>
      </w:r>
      <w:r>
        <w:rPr>
          <w:i/>
          <w:sz w:val="20"/>
        </w:rPr>
        <w:t>Hilton Hotels v. ITT</w:t>
      </w:r>
    </w:p>
    <w:p w14:paraId="7A5828BC" w14:textId="0CF58692" w:rsidR="00AB7D7E" w:rsidRPr="00FD57DE" w:rsidRDefault="00FD57DE" w:rsidP="00472569">
      <w:pPr>
        <w:pStyle w:val="ListParagraph"/>
        <w:numPr>
          <w:ilvl w:val="2"/>
          <w:numId w:val="27"/>
        </w:numPr>
      </w:pPr>
      <w:r>
        <w:rPr>
          <w:sz w:val="20"/>
        </w:rPr>
        <w:t xml:space="preserve">In addition to not being coercive/preclusive, </w:t>
      </w:r>
      <w:proofErr w:type="spellStart"/>
      <w:r>
        <w:rPr>
          <w:sz w:val="20"/>
        </w:rPr>
        <w:t>BoD’s</w:t>
      </w:r>
      <w:proofErr w:type="spellEnd"/>
      <w:r w:rsidR="00472569">
        <w:rPr>
          <w:sz w:val="20"/>
        </w:rPr>
        <w:t xml:space="preserve"> defens</w:t>
      </w:r>
      <w:r w:rsidR="00870462">
        <w:rPr>
          <w:sz w:val="20"/>
        </w:rPr>
        <w:t xml:space="preserve">ive measures </w:t>
      </w:r>
      <w:r>
        <w:rPr>
          <w:sz w:val="20"/>
        </w:rPr>
        <w:t xml:space="preserve">must be </w:t>
      </w:r>
      <w:r w:rsidR="00D3449C">
        <w:rPr>
          <w:sz w:val="20"/>
        </w:rPr>
        <w:t>“</w:t>
      </w:r>
      <w:r>
        <w:rPr>
          <w:sz w:val="20"/>
        </w:rPr>
        <w:t xml:space="preserve">otherwise </w:t>
      </w:r>
      <w:r w:rsidR="00870462">
        <w:rPr>
          <w:sz w:val="20"/>
        </w:rPr>
        <w:t>within</w:t>
      </w:r>
      <w:r w:rsidR="00472569">
        <w:rPr>
          <w:sz w:val="20"/>
        </w:rPr>
        <w:t xml:space="preserve"> range of reasonableness</w:t>
      </w:r>
      <w:r w:rsidR="00D3449C">
        <w:rPr>
          <w:sz w:val="20"/>
        </w:rPr>
        <w:t>”</w:t>
      </w:r>
      <w:r w:rsidR="00870462">
        <w:rPr>
          <w:sz w:val="20"/>
        </w:rPr>
        <w:t xml:space="preserve"> </w:t>
      </w:r>
      <w:r>
        <w:rPr>
          <w:sz w:val="20"/>
        </w:rPr>
        <w:t>–</w:t>
      </w:r>
      <w:r w:rsidR="00870462">
        <w:rPr>
          <w:sz w:val="20"/>
        </w:rPr>
        <w:t xml:space="preserve"> </w:t>
      </w:r>
      <w:r w:rsidR="00870462">
        <w:rPr>
          <w:i/>
          <w:sz w:val="20"/>
        </w:rPr>
        <w:t>Unitrin</w:t>
      </w:r>
    </w:p>
    <w:p w14:paraId="00254FF4" w14:textId="594334BC" w:rsidR="00FD57DE" w:rsidRPr="00D3449C" w:rsidRDefault="00FD57DE" w:rsidP="00FD57DE">
      <w:pPr>
        <w:pStyle w:val="ListParagraph"/>
        <w:numPr>
          <w:ilvl w:val="3"/>
          <w:numId w:val="27"/>
        </w:numPr>
      </w:pPr>
      <w:r>
        <w:rPr>
          <w:sz w:val="20"/>
        </w:rPr>
        <w:t>Broad language gives courts discretion to confront new fact patterns</w:t>
      </w:r>
    </w:p>
    <w:p w14:paraId="024AE2DF" w14:textId="7410C0FA" w:rsidR="00D3449C" w:rsidRPr="00AB7D7E" w:rsidRDefault="00D3449C" w:rsidP="00D3449C">
      <w:pPr>
        <w:pStyle w:val="ListParagraph"/>
        <w:numPr>
          <w:ilvl w:val="4"/>
          <w:numId w:val="27"/>
        </w:numPr>
      </w:pPr>
      <w:r>
        <w:rPr>
          <w:sz w:val="20"/>
        </w:rPr>
        <w:lastRenderedPageBreak/>
        <w:t>However, courts generally allow BoD to exercise discretion in selecting the measures they will use to defend against takeovers</w:t>
      </w:r>
    </w:p>
    <w:p w14:paraId="78C0BB1A" w14:textId="4ACE0C2B" w:rsidR="00472569" w:rsidRPr="00F34E80" w:rsidRDefault="00AB7D7E" w:rsidP="00AB7D7E">
      <w:pPr>
        <w:pStyle w:val="ListParagraph"/>
        <w:numPr>
          <w:ilvl w:val="3"/>
          <w:numId w:val="27"/>
        </w:numPr>
      </w:pPr>
      <w:r>
        <w:rPr>
          <w:sz w:val="20"/>
        </w:rPr>
        <w:t xml:space="preserve">Response must be “reasonably related” to the threat </w:t>
      </w:r>
      <w:r w:rsidR="00615218">
        <w:rPr>
          <w:sz w:val="20"/>
        </w:rPr>
        <w:t>–</w:t>
      </w:r>
      <w:r>
        <w:rPr>
          <w:sz w:val="20"/>
        </w:rPr>
        <w:t xml:space="preserve"> </w:t>
      </w:r>
      <w:r>
        <w:rPr>
          <w:i/>
          <w:sz w:val="20"/>
        </w:rPr>
        <w:t>Time</w:t>
      </w:r>
      <w:r w:rsidR="00615218">
        <w:rPr>
          <w:i/>
          <w:sz w:val="20"/>
        </w:rPr>
        <w:t xml:space="preserve"> </w:t>
      </w:r>
      <w:r w:rsidR="00615218">
        <w:rPr>
          <w:sz w:val="20"/>
        </w:rPr>
        <w:t>(Paramount could buy new Time Warner – really? What about financing/antirust problems?)</w:t>
      </w:r>
      <w:r w:rsidR="00472569">
        <w:rPr>
          <w:sz w:val="20"/>
        </w:rPr>
        <w:t xml:space="preserve"> </w:t>
      </w:r>
    </w:p>
    <w:p w14:paraId="0C5121C6" w14:textId="3731EEA6" w:rsidR="00F34E80" w:rsidRPr="0025139E" w:rsidRDefault="00F34E80" w:rsidP="00472569">
      <w:pPr>
        <w:pStyle w:val="ListParagraph"/>
        <w:numPr>
          <w:ilvl w:val="2"/>
          <w:numId w:val="27"/>
        </w:numPr>
      </w:pPr>
      <w:r>
        <w:rPr>
          <w:sz w:val="20"/>
        </w:rPr>
        <w:t xml:space="preserve">All defenses </w:t>
      </w:r>
      <w:r>
        <w:rPr>
          <w:i/>
          <w:sz w:val="20"/>
        </w:rPr>
        <w:t xml:space="preserve">must </w:t>
      </w:r>
      <w:r>
        <w:rPr>
          <w:sz w:val="20"/>
        </w:rPr>
        <w:t xml:space="preserve">have a fiduciary out </w:t>
      </w:r>
      <w:r w:rsidR="00D74086">
        <w:rPr>
          <w:sz w:val="20"/>
        </w:rPr>
        <w:t>–</w:t>
      </w:r>
      <w:r>
        <w:rPr>
          <w:sz w:val="20"/>
        </w:rPr>
        <w:t xml:space="preserve"> </w:t>
      </w:r>
      <w:r>
        <w:rPr>
          <w:i/>
          <w:sz w:val="20"/>
        </w:rPr>
        <w:t>Omnicare</w:t>
      </w:r>
      <w:r w:rsidR="00D74086">
        <w:rPr>
          <w:i/>
          <w:sz w:val="20"/>
        </w:rPr>
        <w:t xml:space="preserve"> </w:t>
      </w:r>
      <w:r w:rsidR="00D74086">
        <w:rPr>
          <w:sz w:val="20"/>
        </w:rPr>
        <w:t>(</w:t>
      </w:r>
      <w:r w:rsidR="007D6B28">
        <w:rPr>
          <w:sz w:val="20"/>
        </w:rPr>
        <w:t xml:space="preserve">lack of </w:t>
      </w:r>
      <w:r w:rsidR="007D6B28">
        <w:rPr>
          <w:i/>
          <w:sz w:val="20"/>
        </w:rPr>
        <w:t xml:space="preserve">any </w:t>
      </w:r>
      <w:r w:rsidR="007D6B28">
        <w:rPr>
          <w:sz w:val="20"/>
        </w:rPr>
        <w:t xml:space="preserve">possible result other than consummation of merger </w:t>
      </w:r>
      <w:r w:rsidR="00BB64F9">
        <w:rPr>
          <w:sz w:val="20"/>
        </w:rPr>
        <w:t xml:space="preserve">(absolute lock-up) </w:t>
      </w:r>
      <w:r w:rsidR="007D6B28">
        <w:rPr>
          <w:sz w:val="20"/>
        </w:rPr>
        <w:t>due to combination of forced SH vote and voting agreement without fiduciary out is impermissible)</w:t>
      </w:r>
    </w:p>
    <w:p w14:paraId="5C072613" w14:textId="49AEE730" w:rsidR="0025139E" w:rsidRPr="008F1FCA" w:rsidRDefault="0025139E" w:rsidP="0025139E">
      <w:pPr>
        <w:pStyle w:val="ListParagraph"/>
        <w:numPr>
          <w:ilvl w:val="3"/>
          <w:numId w:val="27"/>
        </w:numPr>
      </w:pPr>
      <w:r>
        <w:rPr>
          <w:sz w:val="20"/>
        </w:rPr>
        <w:t>Even with fiduciary outs, no-shop provisions are generally viewed unfavorably</w:t>
      </w:r>
      <w:r w:rsidR="00FC7BD1">
        <w:rPr>
          <w:sz w:val="20"/>
        </w:rPr>
        <w:t xml:space="preserve"> – “counterproductive” devices should be eliminated in a bidding war </w:t>
      </w:r>
      <w:r w:rsidR="008F1FCA">
        <w:rPr>
          <w:sz w:val="20"/>
        </w:rPr>
        <w:t>–</w:t>
      </w:r>
      <w:r w:rsidR="00FC7BD1">
        <w:rPr>
          <w:sz w:val="20"/>
        </w:rPr>
        <w:t xml:space="preserve"> </w:t>
      </w:r>
      <w:r w:rsidR="00FC7BD1">
        <w:rPr>
          <w:i/>
          <w:sz w:val="20"/>
        </w:rPr>
        <w:t>QVC</w:t>
      </w:r>
    </w:p>
    <w:p w14:paraId="58E4ED3E" w14:textId="358545C1" w:rsidR="008F1FCA" w:rsidRPr="001440F0" w:rsidRDefault="008F1FCA" w:rsidP="008F1FCA">
      <w:pPr>
        <w:pStyle w:val="ListParagraph"/>
        <w:numPr>
          <w:ilvl w:val="1"/>
          <w:numId w:val="27"/>
        </w:numPr>
      </w:pPr>
      <w:r>
        <w:rPr>
          <w:i/>
          <w:sz w:val="20"/>
        </w:rPr>
        <w:t xml:space="preserve">Unocal </w:t>
      </w:r>
      <w:r>
        <w:rPr>
          <w:sz w:val="20"/>
        </w:rPr>
        <w:t xml:space="preserve">applies even in </w:t>
      </w:r>
      <w:r>
        <w:rPr>
          <w:i/>
          <w:sz w:val="20"/>
        </w:rPr>
        <w:t xml:space="preserve">friendly </w:t>
      </w:r>
      <w:r>
        <w:rPr>
          <w:sz w:val="20"/>
        </w:rPr>
        <w:t xml:space="preserve">mergers – </w:t>
      </w:r>
      <w:r>
        <w:rPr>
          <w:i/>
          <w:sz w:val="20"/>
        </w:rPr>
        <w:t xml:space="preserve">Omnicare </w:t>
      </w:r>
    </w:p>
    <w:p w14:paraId="7392F31C" w14:textId="391A5229" w:rsidR="001440F0" w:rsidRPr="000551A4" w:rsidRDefault="00F30831" w:rsidP="001440F0">
      <w:pPr>
        <w:pStyle w:val="ListParagraph"/>
        <w:numPr>
          <w:ilvl w:val="0"/>
          <w:numId w:val="27"/>
        </w:numPr>
      </w:pPr>
      <w:r>
        <w:rPr>
          <w:sz w:val="20"/>
        </w:rPr>
        <w:t xml:space="preserve">If the BoD </w:t>
      </w:r>
      <w:r w:rsidRPr="009D0B8D">
        <w:rPr>
          <w:sz w:val="20"/>
        </w:rPr>
        <w:t>embarks</w:t>
      </w:r>
      <w:r>
        <w:rPr>
          <w:b/>
          <w:i/>
          <w:sz w:val="20"/>
        </w:rPr>
        <w:t xml:space="preserve"> </w:t>
      </w:r>
      <w:r>
        <w:rPr>
          <w:sz w:val="20"/>
        </w:rPr>
        <w:t xml:space="preserve">on a transaction, a new </w:t>
      </w:r>
      <w:r>
        <w:rPr>
          <w:i/>
          <w:sz w:val="20"/>
        </w:rPr>
        <w:t xml:space="preserve">Revlon </w:t>
      </w:r>
      <w:r>
        <w:rPr>
          <w:sz w:val="20"/>
        </w:rPr>
        <w:t xml:space="preserve">duty arises – the board is no longer “defender of the corporate bastion”, but become auctioneers that </w:t>
      </w:r>
      <w:r>
        <w:rPr>
          <w:i/>
          <w:sz w:val="20"/>
        </w:rPr>
        <w:t xml:space="preserve">must </w:t>
      </w:r>
      <w:r>
        <w:rPr>
          <w:sz w:val="20"/>
        </w:rPr>
        <w:t xml:space="preserve">get the best deal possible for SHs </w:t>
      </w:r>
      <w:r w:rsidR="000551A4">
        <w:rPr>
          <w:sz w:val="20"/>
        </w:rPr>
        <w:t>–</w:t>
      </w:r>
      <w:r>
        <w:rPr>
          <w:sz w:val="20"/>
        </w:rPr>
        <w:t xml:space="preserve"> </w:t>
      </w:r>
      <w:r>
        <w:rPr>
          <w:i/>
          <w:sz w:val="20"/>
        </w:rPr>
        <w:t>Revlon</w:t>
      </w:r>
    </w:p>
    <w:p w14:paraId="5E9DC11F" w14:textId="6629E63E" w:rsidR="000551A4" w:rsidRPr="000551A4" w:rsidRDefault="00ED5624" w:rsidP="000551A4">
      <w:pPr>
        <w:pStyle w:val="ListParagraph"/>
        <w:numPr>
          <w:ilvl w:val="1"/>
          <w:numId w:val="27"/>
        </w:numPr>
      </w:pPr>
      <w:r>
        <w:rPr>
          <w:sz w:val="20"/>
        </w:rPr>
        <w:t>Other constituencies may only be considered to the extent there are rationally related benefits to the SHs</w:t>
      </w:r>
    </w:p>
    <w:p w14:paraId="63B517D6" w14:textId="44D02B9B" w:rsidR="000551A4" w:rsidRPr="000551A4" w:rsidRDefault="000551A4" w:rsidP="000551A4">
      <w:pPr>
        <w:pStyle w:val="ListParagraph"/>
        <w:numPr>
          <w:ilvl w:val="1"/>
          <w:numId w:val="27"/>
        </w:numPr>
      </w:pPr>
      <w:r>
        <w:rPr>
          <w:sz w:val="20"/>
        </w:rPr>
        <w:t xml:space="preserve">Board </w:t>
      </w:r>
      <w:r>
        <w:rPr>
          <w:i/>
          <w:sz w:val="20"/>
        </w:rPr>
        <w:t xml:space="preserve">cannot </w:t>
      </w:r>
      <w:r>
        <w:rPr>
          <w:sz w:val="20"/>
        </w:rPr>
        <w:t>play favorites when bidders make relatively similar offers – anything else is a breach of the duty of loyalty</w:t>
      </w:r>
    </w:p>
    <w:p w14:paraId="0125B793" w14:textId="0E95272A" w:rsidR="000551A4" w:rsidRPr="006B528A" w:rsidRDefault="000551A4" w:rsidP="000551A4">
      <w:pPr>
        <w:pStyle w:val="ListParagraph"/>
        <w:numPr>
          <w:ilvl w:val="2"/>
          <w:numId w:val="27"/>
        </w:numPr>
      </w:pPr>
      <w:r>
        <w:rPr>
          <w:sz w:val="20"/>
        </w:rPr>
        <w:t>Prematurely ending an active auction for the corporation is impermissible, even if accomplished by otherwise legal methods such as an asset lock-up or no-shop provision</w:t>
      </w:r>
    </w:p>
    <w:p w14:paraId="0B0C22D8" w14:textId="480219D9" w:rsidR="006B528A" w:rsidRPr="00BB0AFF" w:rsidRDefault="006B528A" w:rsidP="006B528A">
      <w:pPr>
        <w:pStyle w:val="ListParagraph"/>
        <w:numPr>
          <w:ilvl w:val="3"/>
          <w:numId w:val="27"/>
        </w:numPr>
      </w:pPr>
      <w:r>
        <w:rPr>
          <w:sz w:val="20"/>
        </w:rPr>
        <w:t xml:space="preserve">What about “last, best offer” lock-ups or cancellation fees? Ending auctions </w:t>
      </w:r>
      <w:r>
        <w:rPr>
          <w:i/>
          <w:sz w:val="20"/>
        </w:rPr>
        <w:t xml:space="preserve">might not </w:t>
      </w:r>
      <w:r>
        <w:rPr>
          <w:sz w:val="20"/>
        </w:rPr>
        <w:t>always be bad!</w:t>
      </w:r>
    </w:p>
    <w:p w14:paraId="13A66E47" w14:textId="13785653" w:rsidR="00BB0AFF" w:rsidRPr="007917DC" w:rsidRDefault="00BB0AFF" w:rsidP="00BB0AFF">
      <w:pPr>
        <w:pStyle w:val="ListParagraph"/>
        <w:numPr>
          <w:ilvl w:val="1"/>
          <w:numId w:val="27"/>
        </w:numPr>
      </w:pPr>
      <w:r>
        <w:rPr>
          <w:i/>
          <w:sz w:val="20"/>
        </w:rPr>
        <w:t xml:space="preserve">Revlon </w:t>
      </w:r>
      <w:r>
        <w:rPr>
          <w:sz w:val="20"/>
        </w:rPr>
        <w:t xml:space="preserve">duties ARE NOT triggered when a sale is “inevitable”, or when a company is “in play” – </w:t>
      </w:r>
      <w:r>
        <w:rPr>
          <w:b/>
          <w:sz w:val="20"/>
        </w:rPr>
        <w:t xml:space="preserve">BoD must embark on a transaction on its own initiative or in response to a hostile offer </w:t>
      </w:r>
      <w:r w:rsidRPr="009D0B8D">
        <w:rPr>
          <w:b/>
          <w:i/>
          <w:sz w:val="20"/>
          <w:u w:val="single"/>
        </w:rPr>
        <w:t>that will result in a change of control</w:t>
      </w:r>
      <w:r>
        <w:rPr>
          <w:b/>
          <w:sz w:val="20"/>
        </w:rPr>
        <w:t xml:space="preserve"> </w:t>
      </w:r>
      <w:r>
        <w:rPr>
          <w:b/>
          <w:i/>
          <w:sz w:val="20"/>
        </w:rPr>
        <w:t xml:space="preserve">– </w:t>
      </w:r>
      <w:r>
        <w:rPr>
          <w:i/>
          <w:sz w:val="20"/>
        </w:rPr>
        <w:t>Lyondell v. Ryan</w:t>
      </w:r>
    </w:p>
    <w:p w14:paraId="63F619CE" w14:textId="73248811" w:rsidR="007917DC" w:rsidRPr="007917DC" w:rsidRDefault="007917DC" w:rsidP="007917DC">
      <w:pPr>
        <w:pStyle w:val="ListParagraph"/>
        <w:numPr>
          <w:ilvl w:val="2"/>
          <w:numId w:val="27"/>
        </w:numPr>
      </w:pPr>
      <w:r>
        <w:rPr>
          <w:sz w:val="20"/>
        </w:rPr>
        <w:t xml:space="preserve">“Change of control” is </w:t>
      </w:r>
      <w:r>
        <w:rPr>
          <w:i/>
          <w:sz w:val="20"/>
        </w:rPr>
        <w:t xml:space="preserve">not </w:t>
      </w:r>
      <w:r>
        <w:rPr>
          <w:sz w:val="20"/>
        </w:rPr>
        <w:t>found if ownership remains in “fluid aggregation of SHs” –</w:t>
      </w:r>
      <w:r>
        <w:rPr>
          <w:i/>
          <w:sz w:val="20"/>
        </w:rPr>
        <w:t xml:space="preserve"> </w:t>
      </w:r>
      <w:r>
        <w:rPr>
          <w:sz w:val="20"/>
        </w:rPr>
        <w:t xml:space="preserve">Compare </w:t>
      </w:r>
      <w:r>
        <w:rPr>
          <w:i/>
          <w:sz w:val="20"/>
        </w:rPr>
        <w:t xml:space="preserve">QVC </w:t>
      </w:r>
      <w:r>
        <w:rPr>
          <w:sz w:val="20"/>
        </w:rPr>
        <w:t xml:space="preserve">with </w:t>
      </w:r>
      <w:r>
        <w:rPr>
          <w:i/>
          <w:sz w:val="20"/>
        </w:rPr>
        <w:t xml:space="preserve">Time </w:t>
      </w:r>
    </w:p>
    <w:p w14:paraId="5B84E6AA" w14:textId="2DA102EE" w:rsidR="007917DC" w:rsidRPr="006067A9" w:rsidRDefault="006067A9" w:rsidP="006067A9">
      <w:pPr>
        <w:pStyle w:val="ListParagraph"/>
        <w:numPr>
          <w:ilvl w:val="3"/>
          <w:numId w:val="27"/>
        </w:numPr>
      </w:pPr>
      <w:r>
        <w:rPr>
          <w:sz w:val="20"/>
        </w:rPr>
        <w:t>L</w:t>
      </w:r>
      <w:r w:rsidR="007917DC">
        <w:rPr>
          <w:sz w:val="20"/>
        </w:rPr>
        <w:t xml:space="preserve">ast </w:t>
      </w:r>
      <w:r>
        <w:rPr>
          <w:sz w:val="20"/>
        </w:rPr>
        <w:t>chance for SHs</w:t>
      </w:r>
      <w:r w:rsidR="007917DC">
        <w:rPr>
          <w:sz w:val="20"/>
        </w:rPr>
        <w:t xml:space="preserve"> to get a control premium, so courts will protect them!</w:t>
      </w:r>
    </w:p>
    <w:p w14:paraId="54D6B8C2" w14:textId="7D4F331C" w:rsidR="006067A9" w:rsidRPr="006067A9" w:rsidRDefault="006067A9" w:rsidP="006067A9">
      <w:pPr>
        <w:pStyle w:val="ListParagraph"/>
        <w:numPr>
          <w:ilvl w:val="2"/>
          <w:numId w:val="27"/>
        </w:numPr>
      </w:pPr>
      <w:r>
        <w:rPr>
          <w:i/>
          <w:sz w:val="20"/>
        </w:rPr>
        <w:t xml:space="preserve">Time </w:t>
      </w:r>
      <w:r>
        <w:rPr>
          <w:sz w:val="20"/>
        </w:rPr>
        <w:t xml:space="preserve">creates two slightly different circumstances which might trigger </w:t>
      </w:r>
      <w:r>
        <w:rPr>
          <w:i/>
          <w:sz w:val="20"/>
        </w:rPr>
        <w:t>Revlon</w:t>
      </w:r>
      <w:r>
        <w:rPr>
          <w:sz w:val="20"/>
        </w:rPr>
        <w:t>:</w:t>
      </w:r>
    </w:p>
    <w:p w14:paraId="6268BFE4" w14:textId="63520B58" w:rsidR="006067A9" w:rsidRPr="006067A9" w:rsidRDefault="006067A9" w:rsidP="006067A9">
      <w:pPr>
        <w:pStyle w:val="ListParagraph"/>
        <w:numPr>
          <w:ilvl w:val="3"/>
          <w:numId w:val="27"/>
        </w:numPr>
      </w:pPr>
      <w:r>
        <w:rPr>
          <w:sz w:val="20"/>
        </w:rPr>
        <w:t>A corporation initiates an active bidding process to sell itself</w:t>
      </w:r>
    </w:p>
    <w:p w14:paraId="5D8A1F23" w14:textId="19AF4F60" w:rsidR="006067A9" w:rsidRPr="0063550E" w:rsidRDefault="006067A9" w:rsidP="006067A9">
      <w:pPr>
        <w:pStyle w:val="ListParagraph"/>
        <w:numPr>
          <w:ilvl w:val="3"/>
          <w:numId w:val="27"/>
        </w:numPr>
      </w:pPr>
      <w:r>
        <w:rPr>
          <w:sz w:val="20"/>
        </w:rPr>
        <w:t>In response to a bidder’s offer, a target seeks an alternative transaction involving the breakup of the company</w:t>
      </w:r>
    </w:p>
    <w:p w14:paraId="7584E5E5" w14:textId="1AACAD7A" w:rsidR="0063550E" w:rsidRPr="00434DA4" w:rsidRDefault="0063550E" w:rsidP="0063550E">
      <w:pPr>
        <w:pStyle w:val="ListParagraph"/>
        <w:numPr>
          <w:ilvl w:val="4"/>
          <w:numId w:val="27"/>
        </w:numPr>
      </w:pPr>
      <w:r>
        <w:rPr>
          <w:sz w:val="20"/>
        </w:rPr>
        <w:t xml:space="preserve">If a board’s reaction is merely a defensive reaction, </w:t>
      </w:r>
      <w:r>
        <w:rPr>
          <w:i/>
          <w:sz w:val="20"/>
        </w:rPr>
        <w:t xml:space="preserve">Revlon </w:t>
      </w:r>
      <w:r>
        <w:rPr>
          <w:sz w:val="20"/>
        </w:rPr>
        <w:t xml:space="preserve">is NOT triggered, but </w:t>
      </w:r>
      <w:r>
        <w:rPr>
          <w:i/>
          <w:sz w:val="20"/>
        </w:rPr>
        <w:t xml:space="preserve">Unocal </w:t>
      </w:r>
      <w:r>
        <w:rPr>
          <w:sz w:val="20"/>
        </w:rPr>
        <w:t>duties attach</w:t>
      </w:r>
    </w:p>
    <w:p w14:paraId="25EF51D3" w14:textId="1E2C2E2D" w:rsidR="00AB7D7E" w:rsidRPr="00027792" w:rsidRDefault="00027792" w:rsidP="00AB7D7E">
      <w:pPr>
        <w:pStyle w:val="ListParagraph"/>
        <w:numPr>
          <w:ilvl w:val="3"/>
          <w:numId w:val="27"/>
        </w:numPr>
      </w:pPr>
      <w:r>
        <w:rPr>
          <w:sz w:val="20"/>
        </w:rPr>
        <w:t xml:space="preserve">Test is reformulated slightly in </w:t>
      </w:r>
      <w:r>
        <w:rPr>
          <w:i/>
          <w:sz w:val="20"/>
        </w:rPr>
        <w:t>QVC</w:t>
      </w:r>
      <w:r>
        <w:rPr>
          <w:sz w:val="20"/>
        </w:rPr>
        <w:t xml:space="preserve"> – </w:t>
      </w:r>
      <w:r>
        <w:rPr>
          <w:i/>
          <w:sz w:val="20"/>
        </w:rPr>
        <w:t xml:space="preserve">Revlon </w:t>
      </w:r>
      <w:r>
        <w:rPr>
          <w:sz w:val="20"/>
        </w:rPr>
        <w:t xml:space="preserve">duties attach when: </w:t>
      </w:r>
    </w:p>
    <w:p w14:paraId="76AC4D48" w14:textId="4D39022C" w:rsidR="00027792" w:rsidRPr="00027792" w:rsidRDefault="00027792" w:rsidP="00027792">
      <w:pPr>
        <w:pStyle w:val="ListParagraph"/>
        <w:numPr>
          <w:ilvl w:val="4"/>
          <w:numId w:val="27"/>
        </w:numPr>
      </w:pPr>
      <w:r>
        <w:rPr>
          <w:sz w:val="20"/>
        </w:rPr>
        <w:t>A corporation undertakes a transaction which will cause a change in corporate control OR</w:t>
      </w:r>
    </w:p>
    <w:p w14:paraId="1F151EB7" w14:textId="1BCCD2E0" w:rsidR="00027792" w:rsidRPr="00515A4C" w:rsidRDefault="00027792" w:rsidP="00027792">
      <w:pPr>
        <w:pStyle w:val="ListParagraph"/>
        <w:numPr>
          <w:ilvl w:val="4"/>
          <w:numId w:val="27"/>
        </w:numPr>
      </w:pPr>
      <w:r>
        <w:rPr>
          <w:sz w:val="20"/>
        </w:rPr>
        <w:t>A break-up of the corporate entity</w:t>
      </w:r>
    </w:p>
    <w:p w14:paraId="00DA4B9D" w14:textId="4B038F38" w:rsidR="0025139E" w:rsidRPr="003425A0" w:rsidRDefault="00515A4C" w:rsidP="003425A0">
      <w:pPr>
        <w:pStyle w:val="ListParagraph"/>
        <w:numPr>
          <w:ilvl w:val="1"/>
          <w:numId w:val="27"/>
        </w:numPr>
      </w:pPr>
      <w:r>
        <w:rPr>
          <w:sz w:val="20"/>
        </w:rPr>
        <w:t>Ther</w:t>
      </w:r>
      <w:r w:rsidR="003425A0">
        <w:rPr>
          <w:sz w:val="20"/>
        </w:rPr>
        <w:t>e is no specific formula</w:t>
      </w:r>
      <w:r>
        <w:rPr>
          <w:sz w:val="20"/>
        </w:rPr>
        <w:t xml:space="preserve"> to meet </w:t>
      </w:r>
      <w:r>
        <w:rPr>
          <w:i/>
          <w:sz w:val="20"/>
        </w:rPr>
        <w:t xml:space="preserve">Revlon </w:t>
      </w:r>
      <w:r>
        <w:rPr>
          <w:sz w:val="20"/>
        </w:rPr>
        <w:t>duty – each BoD will face unique situation</w:t>
      </w:r>
      <w:r w:rsidR="004850B5">
        <w:rPr>
          <w:sz w:val="20"/>
        </w:rPr>
        <w:t xml:space="preserve"> – </w:t>
      </w:r>
      <w:r w:rsidR="004850B5">
        <w:rPr>
          <w:i/>
          <w:sz w:val="20"/>
        </w:rPr>
        <w:t>Lyondell</w:t>
      </w:r>
    </w:p>
    <w:p w14:paraId="0C46CFF8" w14:textId="77777777" w:rsidR="00CA746B" w:rsidRPr="00CA746B" w:rsidRDefault="003425A0" w:rsidP="00CA746B">
      <w:pPr>
        <w:pStyle w:val="ListParagraph"/>
        <w:numPr>
          <w:ilvl w:val="1"/>
          <w:numId w:val="27"/>
        </w:numPr>
      </w:pPr>
      <w:r>
        <w:rPr>
          <w:sz w:val="20"/>
        </w:rPr>
        <w:t xml:space="preserve">There is only </w:t>
      </w:r>
      <w:r>
        <w:rPr>
          <w:b/>
          <w:i/>
          <w:sz w:val="20"/>
        </w:rPr>
        <w:t xml:space="preserve">one </w:t>
      </w:r>
      <w:r>
        <w:rPr>
          <w:i/>
          <w:sz w:val="20"/>
        </w:rPr>
        <w:t xml:space="preserve">Revlon </w:t>
      </w:r>
      <w:r>
        <w:rPr>
          <w:sz w:val="20"/>
        </w:rPr>
        <w:t xml:space="preserve">duty – to get the best price possible for the SHs </w:t>
      </w:r>
      <w:r w:rsidR="00CA746B">
        <w:rPr>
          <w:sz w:val="20"/>
        </w:rPr>
        <w:t>–</w:t>
      </w:r>
      <w:r>
        <w:rPr>
          <w:sz w:val="20"/>
        </w:rPr>
        <w:t xml:space="preserve"> </w:t>
      </w:r>
      <w:r>
        <w:rPr>
          <w:i/>
          <w:sz w:val="20"/>
        </w:rPr>
        <w:t>Lyondell</w:t>
      </w:r>
    </w:p>
    <w:p w14:paraId="33D01B5A" w14:textId="0379B56C" w:rsidR="003F0FE3" w:rsidRPr="00A84A76" w:rsidRDefault="00936F09" w:rsidP="003F0FE3">
      <w:pPr>
        <w:pStyle w:val="ListParagraph"/>
        <w:numPr>
          <w:ilvl w:val="1"/>
          <w:numId w:val="27"/>
        </w:numPr>
      </w:pPr>
      <w:r>
        <w:rPr>
          <w:rFonts w:cs="Times New Roman"/>
          <w:sz w:val="20"/>
          <w:szCs w:val="20"/>
        </w:rPr>
        <w:t xml:space="preserve">There is a difference between conscious disregard of fiduciary duties (violation of duty of loyalty via breach of good faith) and flawed effort to carry them out </w:t>
      </w:r>
      <w:r w:rsidR="003F0FE3">
        <w:rPr>
          <w:rFonts w:cs="Times New Roman"/>
          <w:sz w:val="20"/>
          <w:szCs w:val="20"/>
        </w:rPr>
        <w:t>–</w:t>
      </w:r>
      <w:r>
        <w:rPr>
          <w:rFonts w:cs="Times New Roman"/>
          <w:sz w:val="20"/>
          <w:szCs w:val="20"/>
        </w:rPr>
        <w:t xml:space="preserve"> </w:t>
      </w:r>
      <w:r>
        <w:rPr>
          <w:rFonts w:cs="Times New Roman"/>
          <w:i/>
          <w:sz w:val="20"/>
          <w:szCs w:val="20"/>
        </w:rPr>
        <w:t>Lyondell</w:t>
      </w:r>
    </w:p>
    <w:p w14:paraId="6F31ADD3" w14:textId="6BFDA741" w:rsidR="00A84A76" w:rsidRPr="00270BEF" w:rsidRDefault="002B308F" w:rsidP="00A84A76">
      <w:pPr>
        <w:pStyle w:val="ListParagraph"/>
        <w:numPr>
          <w:ilvl w:val="0"/>
          <w:numId w:val="27"/>
        </w:numPr>
      </w:pPr>
      <w:r>
        <w:rPr>
          <w:rFonts w:cs="Times New Roman"/>
          <w:sz w:val="20"/>
          <w:szCs w:val="20"/>
        </w:rPr>
        <w:t xml:space="preserve">BoD action intended to disenfranchise SHs in response to a hostile tender offer is strongly suspect under </w:t>
      </w:r>
      <w:r>
        <w:rPr>
          <w:rFonts w:cs="Times New Roman"/>
          <w:i/>
          <w:sz w:val="20"/>
          <w:szCs w:val="20"/>
        </w:rPr>
        <w:t xml:space="preserve">Unocal’s </w:t>
      </w:r>
      <w:r>
        <w:rPr>
          <w:rFonts w:cs="Times New Roman"/>
          <w:sz w:val="20"/>
          <w:szCs w:val="20"/>
        </w:rPr>
        <w:t xml:space="preserve">proportionality prong – board must demonstrate “compelling justification” – </w:t>
      </w:r>
      <w:r>
        <w:rPr>
          <w:rFonts w:cs="Times New Roman"/>
          <w:i/>
          <w:sz w:val="20"/>
          <w:szCs w:val="20"/>
        </w:rPr>
        <w:t>Blasius</w:t>
      </w:r>
    </w:p>
    <w:p w14:paraId="5F4443C5" w14:textId="0BCC2EE1" w:rsidR="00270BEF" w:rsidRPr="00596997" w:rsidRDefault="00270BEF" w:rsidP="00270BEF">
      <w:pPr>
        <w:pStyle w:val="ListParagraph"/>
        <w:numPr>
          <w:ilvl w:val="1"/>
          <w:numId w:val="27"/>
        </w:numPr>
      </w:pPr>
      <w:r>
        <w:rPr>
          <w:rFonts w:cs="Times New Roman"/>
          <w:sz w:val="20"/>
          <w:szCs w:val="20"/>
        </w:rPr>
        <w:t xml:space="preserve">If a BoD seeks to wield power over corporate assets in a takeover, BJR or </w:t>
      </w:r>
      <w:r>
        <w:rPr>
          <w:rFonts w:cs="Times New Roman"/>
          <w:i/>
          <w:sz w:val="20"/>
          <w:szCs w:val="20"/>
        </w:rPr>
        <w:t xml:space="preserve">Unocal </w:t>
      </w:r>
      <w:r>
        <w:rPr>
          <w:rFonts w:cs="Times New Roman"/>
          <w:sz w:val="20"/>
          <w:szCs w:val="20"/>
        </w:rPr>
        <w:t xml:space="preserve">applies. If BoD seeks to change relationship between SHs and </w:t>
      </w:r>
      <w:r w:rsidR="000D3957">
        <w:rPr>
          <w:rFonts w:cs="Times New Roman"/>
          <w:sz w:val="20"/>
          <w:szCs w:val="20"/>
        </w:rPr>
        <w:t>BoD</w:t>
      </w:r>
      <w:r>
        <w:rPr>
          <w:rFonts w:cs="Times New Roman"/>
          <w:sz w:val="20"/>
          <w:szCs w:val="20"/>
        </w:rPr>
        <w:t xml:space="preserve">, however, </w:t>
      </w:r>
      <w:r>
        <w:rPr>
          <w:rFonts w:cs="Times New Roman"/>
          <w:i/>
          <w:sz w:val="20"/>
          <w:szCs w:val="20"/>
        </w:rPr>
        <w:t xml:space="preserve">Blasius </w:t>
      </w:r>
      <w:r>
        <w:rPr>
          <w:rFonts w:cs="Times New Roman"/>
          <w:sz w:val="20"/>
          <w:szCs w:val="20"/>
        </w:rPr>
        <w:t>is invoked</w:t>
      </w:r>
      <w:r w:rsidR="000D3957">
        <w:rPr>
          <w:rFonts w:cs="Times New Roman"/>
          <w:sz w:val="20"/>
          <w:szCs w:val="20"/>
        </w:rPr>
        <w:t xml:space="preserve"> – </w:t>
      </w:r>
      <w:r w:rsidR="000D3957">
        <w:rPr>
          <w:rFonts w:cs="Times New Roman"/>
          <w:i/>
          <w:sz w:val="20"/>
          <w:szCs w:val="20"/>
        </w:rPr>
        <w:t>Hilton v. ITT</w:t>
      </w:r>
      <w:r>
        <w:rPr>
          <w:rFonts w:cs="Times New Roman"/>
          <w:sz w:val="20"/>
          <w:szCs w:val="20"/>
        </w:rPr>
        <w:t xml:space="preserve"> </w:t>
      </w:r>
    </w:p>
    <w:p w14:paraId="39CD236F" w14:textId="77777777" w:rsidR="00C37F97" w:rsidRPr="00C37F97" w:rsidRDefault="00596997" w:rsidP="00270BEF">
      <w:pPr>
        <w:pStyle w:val="ListParagraph"/>
        <w:numPr>
          <w:ilvl w:val="1"/>
          <w:numId w:val="27"/>
        </w:numPr>
      </w:pPr>
      <w:r>
        <w:rPr>
          <w:rFonts w:cs="Times New Roman"/>
          <w:sz w:val="20"/>
          <w:szCs w:val="20"/>
        </w:rPr>
        <w:t xml:space="preserve">Courts will examine circumstantial evidence to determine if primary purpose for defensive measures that disenfranchise SHs was board entrenchment. </w:t>
      </w:r>
    </w:p>
    <w:p w14:paraId="332F2782" w14:textId="71109E41" w:rsidR="00596997" w:rsidRPr="00BA2B5D" w:rsidRDefault="00596997" w:rsidP="00C37F97">
      <w:pPr>
        <w:pStyle w:val="ListParagraph"/>
        <w:numPr>
          <w:ilvl w:val="2"/>
          <w:numId w:val="27"/>
        </w:numPr>
      </w:pPr>
      <w:r>
        <w:rPr>
          <w:rFonts w:cs="Times New Roman"/>
          <w:sz w:val="20"/>
          <w:szCs w:val="20"/>
        </w:rPr>
        <w:t xml:space="preserve">Factors include timing, entrenchment, </w:t>
      </w:r>
      <w:proofErr w:type="spellStart"/>
      <w:r>
        <w:rPr>
          <w:rFonts w:cs="Times New Roman"/>
          <w:sz w:val="20"/>
          <w:szCs w:val="20"/>
        </w:rPr>
        <w:t>BoD’s</w:t>
      </w:r>
      <w:proofErr w:type="spellEnd"/>
      <w:r>
        <w:rPr>
          <w:rFonts w:cs="Times New Roman"/>
          <w:sz w:val="20"/>
          <w:szCs w:val="20"/>
        </w:rPr>
        <w:t xml:space="preserve"> stated purpose, </w:t>
      </w:r>
      <w:proofErr w:type="spellStart"/>
      <w:r>
        <w:rPr>
          <w:rFonts w:cs="Times New Roman"/>
          <w:sz w:val="20"/>
          <w:szCs w:val="20"/>
        </w:rPr>
        <w:t>BoD’s</w:t>
      </w:r>
      <w:proofErr w:type="spellEnd"/>
      <w:r>
        <w:rPr>
          <w:rFonts w:cs="Times New Roman"/>
          <w:sz w:val="20"/>
          <w:szCs w:val="20"/>
        </w:rPr>
        <w:t xml:space="preserve"> plan’s benefits, and effects of action</w:t>
      </w:r>
    </w:p>
    <w:p w14:paraId="7D960B61" w14:textId="25ACC6DB" w:rsidR="00C37F97" w:rsidRPr="00297ED9" w:rsidRDefault="00BA2B5D" w:rsidP="00297ED9">
      <w:pPr>
        <w:pStyle w:val="ListParagraph"/>
        <w:numPr>
          <w:ilvl w:val="1"/>
          <w:numId w:val="27"/>
        </w:numPr>
      </w:pPr>
      <w:r>
        <w:rPr>
          <w:rFonts w:cs="Times New Roman"/>
          <w:sz w:val="20"/>
          <w:szCs w:val="20"/>
        </w:rPr>
        <w:lastRenderedPageBreak/>
        <w:t xml:space="preserve">Note that </w:t>
      </w:r>
      <w:r>
        <w:rPr>
          <w:rFonts w:cs="Times New Roman"/>
          <w:i/>
          <w:sz w:val="20"/>
          <w:szCs w:val="20"/>
        </w:rPr>
        <w:t xml:space="preserve">Blasius </w:t>
      </w:r>
      <w:r>
        <w:rPr>
          <w:rFonts w:cs="Times New Roman"/>
          <w:sz w:val="20"/>
          <w:szCs w:val="20"/>
        </w:rPr>
        <w:t xml:space="preserve">was </w:t>
      </w:r>
      <w:r>
        <w:rPr>
          <w:rFonts w:cs="Times New Roman"/>
          <w:i/>
          <w:sz w:val="20"/>
          <w:szCs w:val="20"/>
        </w:rPr>
        <w:t xml:space="preserve">not </w:t>
      </w:r>
      <w:r>
        <w:rPr>
          <w:rFonts w:cs="Times New Roman"/>
          <w:sz w:val="20"/>
          <w:szCs w:val="20"/>
        </w:rPr>
        <w:t xml:space="preserve">invoked in </w:t>
      </w:r>
      <w:r>
        <w:rPr>
          <w:rFonts w:cs="Times New Roman"/>
          <w:i/>
          <w:sz w:val="20"/>
          <w:szCs w:val="20"/>
        </w:rPr>
        <w:t>Time</w:t>
      </w:r>
      <w:r>
        <w:rPr>
          <w:rFonts w:cs="Times New Roman"/>
          <w:sz w:val="20"/>
          <w:szCs w:val="20"/>
        </w:rPr>
        <w:t xml:space="preserve"> (BoD recast merger as asset purchase to avoid SH vote), because Time’s SH vote was only required due to NYSE regulations – not strong enough</w:t>
      </w:r>
    </w:p>
    <w:p w14:paraId="70557ECC" w14:textId="08436375" w:rsidR="00297ED9" w:rsidRPr="00297ED9" w:rsidRDefault="004539CD" w:rsidP="00297ED9">
      <w:pPr>
        <w:pStyle w:val="ListParagraph"/>
        <w:numPr>
          <w:ilvl w:val="0"/>
          <w:numId w:val="27"/>
        </w:numPr>
      </w:pPr>
      <w:r>
        <w:rPr>
          <w:rFonts w:cs="Times New Roman"/>
          <w:sz w:val="20"/>
          <w:szCs w:val="20"/>
        </w:rPr>
        <w:t>There are six</w:t>
      </w:r>
      <w:r w:rsidR="00297ED9">
        <w:rPr>
          <w:rFonts w:cs="Times New Roman"/>
          <w:sz w:val="20"/>
          <w:szCs w:val="20"/>
        </w:rPr>
        <w:t xml:space="preserve"> </w:t>
      </w:r>
      <w:r>
        <w:rPr>
          <w:rFonts w:cs="Times New Roman"/>
          <w:sz w:val="20"/>
          <w:szCs w:val="20"/>
        </w:rPr>
        <w:t xml:space="preserve">broad categories </w:t>
      </w:r>
      <w:r w:rsidR="00297ED9">
        <w:rPr>
          <w:rFonts w:cs="Times New Roman"/>
          <w:sz w:val="20"/>
          <w:szCs w:val="20"/>
        </w:rPr>
        <w:t>of anti-takeover state statutes:</w:t>
      </w:r>
    </w:p>
    <w:p w14:paraId="0BD08ED0" w14:textId="26F71D65" w:rsidR="00297ED9" w:rsidRPr="00297ED9" w:rsidRDefault="00297ED9" w:rsidP="00297ED9">
      <w:pPr>
        <w:pStyle w:val="ListParagraph"/>
        <w:numPr>
          <w:ilvl w:val="1"/>
          <w:numId w:val="27"/>
        </w:numPr>
      </w:pPr>
      <w:r>
        <w:rPr>
          <w:rFonts w:cs="Times New Roman"/>
          <w:sz w:val="20"/>
          <w:szCs w:val="20"/>
        </w:rPr>
        <w:t xml:space="preserve">Fair price provisions (prohibit discriminatory two-tiered offers, seen in </w:t>
      </w:r>
      <w:r>
        <w:rPr>
          <w:rFonts w:cs="Times New Roman"/>
          <w:i/>
          <w:sz w:val="20"/>
          <w:szCs w:val="20"/>
        </w:rPr>
        <w:t>Unocal</w:t>
      </w:r>
      <w:r>
        <w:rPr>
          <w:rFonts w:cs="Times New Roman"/>
          <w:sz w:val="20"/>
          <w:szCs w:val="20"/>
        </w:rPr>
        <w:t>)</w:t>
      </w:r>
    </w:p>
    <w:p w14:paraId="712F708C" w14:textId="681AEBA1" w:rsidR="00297ED9" w:rsidRPr="00314ADB" w:rsidRDefault="00297ED9" w:rsidP="00297ED9">
      <w:pPr>
        <w:pStyle w:val="ListParagraph"/>
        <w:numPr>
          <w:ilvl w:val="1"/>
          <w:numId w:val="27"/>
        </w:numPr>
      </w:pPr>
      <w:r>
        <w:rPr>
          <w:rFonts w:cs="Times New Roman"/>
          <w:sz w:val="20"/>
          <w:szCs w:val="20"/>
        </w:rPr>
        <w:t>Control share acquisition statutes (shares lose voting rights unless approved by majority of minority SHs</w:t>
      </w:r>
      <w:r w:rsidR="001727AC">
        <w:rPr>
          <w:rFonts w:cs="Times New Roman"/>
          <w:sz w:val="20"/>
          <w:szCs w:val="20"/>
        </w:rPr>
        <w:t>, approved as constitutional</w:t>
      </w:r>
      <w:r>
        <w:rPr>
          <w:rFonts w:cs="Times New Roman"/>
          <w:sz w:val="20"/>
          <w:szCs w:val="20"/>
        </w:rPr>
        <w:t xml:space="preserve"> in </w:t>
      </w:r>
      <w:r>
        <w:rPr>
          <w:rFonts w:cs="Times New Roman"/>
          <w:i/>
          <w:sz w:val="20"/>
          <w:szCs w:val="20"/>
        </w:rPr>
        <w:t>CTS</w:t>
      </w:r>
      <w:r w:rsidR="00314ADB">
        <w:rPr>
          <w:rFonts w:cs="Times New Roman"/>
          <w:sz w:val="20"/>
          <w:szCs w:val="20"/>
        </w:rPr>
        <w:t>)</w:t>
      </w:r>
    </w:p>
    <w:p w14:paraId="3577F7A5" w14:textId="11CC7D35" w:rsidR="00314ADB" w:rsidRPr="00314ADB" w:rsidRDefault="00314ADB" w:rsidP="00297ED9">
      <w:pPr>
        <w:pStyle w:val="ListParagraph"/>
        <w:numPr>
          <w:ilvl w:val="1"/>
          <w:numId w:val="27"/>
        </w:numPr>
      </w:pPr>
      <w:r>
        <w:rPr>
          <w:rFonts w:cs="Times New Roman"/>
          <w:sz w:val="20"/>
          <w:szCs w:val="20"/>
        </w:rPr>
        <w:t>Business combination statutes (DGCL §203)</w:t>
      </w:r>
    </w:p>
    <w:p w14:paraId="6CEC12F9" w14:textId="655D6387" w:rsidR="00314ADB" w:rsidRPr="00314ADB" w:rsidRDefault="00314ADB" w:rsidP="00314ADB">
      <w:pPr>
        <w:pStyle w:val="ListParagraph"/>
        <w:numPr>
          <w:ilvl w:val="2"/>
          <w:numId w:val="27"/>
        </w:numPr>
      </w:pPr>
      <w:r>
        <w:rPr>
          <w:rFonts w:cs="Times New Roman"/>
          <w:sz w:val="20"/>
          <w:szCs w:val="20"/>
        </w:rPr>
        <w:t>If bidder gets 15% of target’s stock, a 3-year moratorium on merger begins unless:</w:t>
      </w:r>
    </w:p>
    <w:p w14:paraId="4AC0292E" w14:textId="56D7377D" w:rsidR="00314ADB" w:rsidRPr="00314ADB" w:rsidRDefault="00314ADB" w:rsidP="00314ADB">
      <w:pPr>
        <w:pStyle w:val="ListParagraph"/>
        <w:numPr>
          <w:ilvl w:val="3"/>
          <w:numId w:val="27"/>
        </w:numPr>
      </w:pPr>
      <w:r>
        <w:rPr>
          <w:rFonts w:cs="Times New Roman"/>
          <w:sz w:val="20"/>
          <w:szCs w:val="20"/>
        </w:rPr>
        <w:t>Bidder acquires 85% of shares</w:t>
      </w:r>
    </w:p>
    <w:p w14:paraId="19789E43" w14:textId="620C9759" w:rsidR="00314ADB" w:rsidRPr="00314ADB" w:rsidRDefault="00314ADB" w:rsidP="00314ADB">
      <w:pPr>
        <w:pStyle w:val="ListParagraph"/>
        <w:numPr>
          <w:ilvl w:val="3"/>
          <w:numId w:val="27"/>
        </w:numPr>
      </w:pPr>
      <w:r>
        <w:rPr>
          <w:rFonts w:cs="Times New Roman"/>
          <w:sz w:val="20"/>
          <w:szCs w:val="20"/>
        </w:rPr>
        <w:t xml:space="preserve">Target’s BoD approves a tender offer </w:t>
      </w:r>
      <w:r>
        <w:rPr>
          <w:rFonts w:cs="Times New Roman"/>
          <w:i/>
          <w:sz w:val="20"/>
          <w:szCs w:val="20"/>
        </w:rPr>
        <w:t xml:space="preserve">before </w:t>
      </w:r>
      <w:r>
        <w:rPr>
          <w:rFonts w:cs="Times New Roman"/>
          <w:sz w:val="20"/>
          <w:szCs w:val="20"/>
        </w:rPr>
        <w:t>bidder acquires 15%; or</w:t>
      </w:r>
    </w:p>
    <w:p w14:paraId="18170D46" w14:textId="45C76961" w:rsidR="00314ADB" w:rsidRPr="00314ADB" w:rsidRDefault="00314ADB" w:rsidP="00314ADB">
      <w:pPr>
        <w:pStyle w:val="ListParagraph"/>
        <w:numPr>
          <w:ilvl w:val="3"/>
          <w:numId w:val="27"/>
        </w:numPr>
      </w:pPr>
      <w:r>
        <w:rPr>
          <w:rFonts w:cs="Times New Roman"/>
          <w:sz w:val="20"/>
          <w:szCs w:val="20"/>
        </w:rPr>
        <w:t xml:space="preserve">Target’s BoD approves a merger </w:t>
      </w:r>
      <w:r>
        <w:rPr>
          <w:rFonts w:cs="Times New Roman"/>
          <w:i/>
          <w:sz w:val="20"/>
          <w:szCs w:val="20"/>
        </w:rPr>
        <w:t xml:space="preserve">after </w:t>
      </w:r>
      <w:r>
        <w:rPr>
          <w:rFonts w:cs="Times New Roman"/>
          <w:sz w:val="20"/>
          <w:szCs w:val="20"/>
        </w:rPr>
        <w:t>bidder acquires 15% AND 2/3 of minority SHs approve</w:t>
      </w:r>
    </w:p>
    <w:p w14:paraId="0E2277F9" w14:textId="3D1173EB" w:rsidR="00314ADB" w:rsidRPr="00314ADB" w:rsidRDefault="00314ADB" w:rsidP="00314ADB">
      <w:pPr>
        <w:pStyle w:val="ListParagraph"/>
        <w:numPr>
          <w:ilvl w:val="2"/>
          <w:numId w:val="27"/>
        </w:numPr>
      </w:pPr>
      <w:r>
        <w:rPr>
          <w:rFonts w:cs="Times New Roman"/>
          <w:sz w:val="20"/>
          <w:szCs w:val="20"/>
        </w:rPr>
        <w:t>Clark says that these statutes are not actually that burdensome</w:t>
      </w:r>
    </w:p>
    <w:p w14:paraId="46A958BE" w14:textId="592654C1" w:rsidR="00314ADB" w:rsidRPr="00314ADB" w:rsidRDefault="00314ADB" w:rsidP="00314ADB">
      <w:pPr>
        <w:pStyle w:val="ListParagraph"/>
        <w:numPr>
          <w:ilvl w:val="1"/>
          <w:numId w:val="27"/>
        </w:numPr>
      </w:pPr>
      <w:r>
        <w:rPr>
          <w:rFonts w:cs="Times New Roman"/>
          <w:sz w:val="20"/>
          <w:szCs w:val="20"/>
        </w:rPr>
        <w:t>Non-SH constituency statues (Pennsylvania’s is far more draconian than Delaware’s)</w:t>
      </w:r>
    </w:p>
    <w:p w14:paraId="2E8E53EB" w14:textId="31692534" w:rsidR="00314ADB" w:rsidRPr="0099333B" w:rsidRDefault="00314ADB" w:rsidP="00314ADB">
      <w:pPr>
        <w:pStyle w:val="ListParagraph"/>
        <w:numPr>
          <w:ilvl w:val="2"/>
          <w:numId w:val="27"/>
        </w:numPr>
      </w:pPr>
      <w:r>
        <w:rPr>
          <w:rFonts w:cs="Times New Roman"/>
          <w:sz w:val="20"/>
          <w:szCs w:val="20"/>
        </w:rPr>
        <w:t xml:space="preserve">Allows directors to consider </w:t>
      </w:r>
      <w:r>
        <w:rPr>
          <w:rFonts w:cs="Times New Roman"/>
          <w:i/>
          <w:sz w:val="20"/>
          <w:szCs w:val="20"/>
        </w:rPr>
        <w:t xml:space="preserve">all </w:t>
      </w:r>
      <w:r>
        <w:rPr>
          <w:rFonts w:cs="Times New Roman"/>
          <w:sz w:val="20"/>
          <w:szCs w:val="20"/>
        </w:rPr>
        <w:t xml:space="preserve">stakeholders within </w:t>
      </w:r>
      <w:r>
        <w:rPr>
          <w:rFonts w:cs="Times New Roman"/>
          <w:i/>
          <w:sz w:val="20"/>
          <w:szCs w:val="20"/>
        </w:rPr>
        <w:t xml:space="preserve">Revlon </w:t>
      </w:r>
      <w:r>
        <w:rPr>
          <w:rFonts w:cs="Times New Roman"/>
          <w:sz w:val="20"/>
          <w:szCs w:val="20"/>
        </w:rPr>
        <w:t>duty</w:t>
      </w:r>
    </w:p>
    <w:p w14:paraId="29C4FBE2" w14:textId="361042A3" w:rsidR="0099333B" w:rsidRPr="0099333B" w:rsidRDefault="0099333B" w:rsidP="0099333B">
      <w:pPr>
        <w:pStyle w:val="ListParagraph"/>
        <w:numPr>
          <w:ilvl w:val="1"/>
          <w:numId w:val="27"/>
        </w:numPr>
      </w:pPr>
      <w:r>
        <w:rPr>
          <w:rFonts w:cs="Times New Roman"/>
          <w:sz w:val="20"/>
          <w:szCs w:val="20"/>
        </w:rPr>
        <w:t>Explicit authorization of discriminatory poison pills</w:t>
      </w:r>
    </w:p>
    <w:p w14:paraId="28D928DB" w14:textId="74869ABC" w:rsidR="0099333B" w:rsidRPr="007963D9" w:rsidRDefault="0099333B" w:rsidP="0099333B">
      <w:pPr>
        <w:pStyle w:val="ListParagraph"/>
        <w:numPr>
          <w:ilvl w:val="1"/>
          <w:numId w:val="27"/>
        </w:numPr>
      </w:pPr>
      <w:r>
        <w:rPr>
          <w:rFonts w:cs="Times New Roman"/>
          <w:sz w:val="20"/>
          <w:szCs w:val="20"/>
        </w:rPr>
        <w:t>Disgorgement of gain from sale within 18 months of seeking control</w:t>
      </w:r>
      <w:r w:rsidR="001A45EE">
        <w:rPr>
          <w:rFonts w:cs="Times New Roman"/>
          <w:sz w:val="20"/>
          <w:szCs w:val="20"/>
        </w:rPr>
        <w:t xml:space="preserve"> (Pennsylvania is insane)</w:t>
      </w:r>
    </w:p>
    <w:p w14:paraId="73F692A9" w14:textId="49C4B074" w:rsidR="000C0D8E" w:rsidRPr="000C0D8E" w:rsidRDefault="000C0D8E" w:rsidP="000C0D8E">
      <w:pPr>
        <w:pStyle w:val="ListParagraph"/>
        <w:numPr>
          <w:ilvl w:val="0"/>
          <w:numId w:val="27"/>
        </w:numPr>
      </w:pPr>
      <w:r>
        <w:rPr>
          <w:rFonts w:cs="Times New Roman"/>
          <w:sz w:val="20"/>
          <w:szCs w:val="20"/>
        </w:rPr>
        <w:t xml:space="preserve">In </w:t>
      </w:r>
      <w:r>
        <w:rPr>
          <w:rFonts w:cs="Times New Roman"/>
          <w:i/>
          <w:sz w:val="20"/>
          <w:szCs w:val="20"/>
        </w:rPr>
        <w:t xml:space="preserve">Edgar v. MITE, </w:t>
      </w:r>
      <w:r>
        <w:rPr>
          <w:rFonts w:cs="Times New Roman"/>
          <w:sz w:val="20"/>
          <w:szCs w:val="20"/>
        </w:rPr>
        <w:t>Court emphasized Williams Act’s neutrality between target management and offeror</w:t>
      </w:r>
    </w:p>
    <w:p w14:paraId="19B22131" w14:textId="366BE01C" w:rsidR="000C0D8E" w:rsidRPr="00757F57" w:rsidRDefault="000C0D8E" w:rsidP="000C0D8E">
      <w:pPr>
        <w:pStyle w:val="ListParagraph"/>
        <w:numPr>
          <w:ilvl w:val="1"/>
          <w:numId w:val="27"/>
        </w:numPr>
      </w:pPr>
      <w:r>
        <w:rPr>
          <w:rFonts w:cs="Times New Roman"/>
          <w:sz w:val="20"/>
          <w:szCs w:val="20"/>
        </w:rPr>
        <w:t xml:space="preserve">Focus shifts in </w:t>
      </w:r>
      <w:r>
        <w:rPr>
          <w:rFonts w:cs="Times New Roman"/>
          <w:i/>
          <w:sz w:val="20"/>
          <w:szCs w:val="20"/>
        </w:rPr>
        <w:t xml:space="preserve">CTS v. Dynamics </w:t>
      </w:r>
      <w:r>
        <w:rPr>
          <w:rFonts w:cs="Times New Roman"/>
          <w:sz w:val="20"/>
          <w:szCs w:val="20"/>
        </w:rPr>
        <w:t xml:space="preserve">to protection of SHs from </w:t>
      </w:r>
      <w:r>
        <w:rPr>
          <w:rFonts w:cs="Times New Roman"/>
          <w:i/>
          <w:sz w:val="20"/>
          <w:szCs w:val="20"/>
        </w:rPr>
        <w:t xml:space="preserve">both </w:t>
      </w:r>
      <w:r>
        <w:rPr>
          <w:rFonts w:cs="Times New Roman"/>
          <w:sz w:val="20"/>
          <w:szCs w:val="20"/>
        </w:rPr>
        <w:t xml:space="preserve">target management </w:t>
      </w:r>
      <w:r>
        <w:rPr>
          <w:rFonts w:cs="Times New Roman"/>
          <w:i/>
          <w:sz w:val="20"/>
          <w:szCs w:val="20"/>
        </w:rPr>
        <w:t xml:space="preserve">and </w:t>
      </w:r>
      <w:r>
        <w:rPr>
          <w:rFonts w:cs="Times New Roman"/>
          <w:sz w:val="20"/>
          <w:szCs w:val="20"/>
        </w:rPr>
        <w:t>offeror</w:t>
      </w:r>
    </w:p>
    <w:p w14:paraId="6381572E" w14:textId="577D6102" w:rsidR="00757F57" w:rsidRPr="00FF1C71" w:rsidRDefault="00757F57" w:rsidP="00757F57">
      <w:pPr>
        <w:pStyle w:val="ListParagraph"/>
        <w:numPr>
          <w:ilvl w:val="2"/>
          <w:numId w:val="27"/>
        </w:numPr>
      </w:pPr>
      <w:r>
        <w:rPr>
          <w:rFonts w:cs="Times New Roman"/>
          <w:sz w:val="20"/>
          <w:szCs w:val="20"/>
        </w:rPr>
        <w:t xml:space="preserve">States </w:t>
      </w:r>
      <w:r w:rsidR="00B070E3">
        <w:rPr>
          <w:rFonts w:cs="Times New Roman"/>
          <w:sz w:val="20"/>
          <w:szCs w:val="20"/>
        </w:rPr>
        <w:t>may</w:t>
      </w:r>
      <w:r>
        <w:rPr>
          <w:rFonts w:cs="Times New Roman"/>
          <w:sz w:val="20"/>
          <w:szCs w:val="20"/>
        </w:rPr>
        <w:t xml:space="preserve"> take actions that might have the effect of limiting tender offers in their states – see, e.g., appraisal rights statues, forced acceptance by majority of minority</w:t>
      </w:r>
      <w:bookmarkStart w:id="0" w:name="_GoBack"/>
      <w:bookmarkEnd w:id="0"/>
    </w:p>
    <w:sectPr w:rsidR="00757F57" w:rsidRPr="00FF1C71" w:rsidSect="00B017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D4F43" w14:textId="77777777" w:rsidR="0014509B" w:rsidRDefault="0014509B" w:rsidP="004E6C45">
      <w:pPr>
        <w:spacing w:after="0" w:line="240" w:lineRule="auto"/>
      </w:pPr>
      <w:r>
        <w:separator/>
      </w:r>
    </w:p>
  </w:endnote>
  <w:endnote w:type="continuationSeparator" w:id="0">
    <w:p w14:paraId="341F546B" w14:textId="77777777" w:rsidR="0014509B" w:rsidRDefault="0014509B" w:rsidP="004E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58588"/>
      <w:docPartObj>
        <w:docPartGallery w:val="Page Numbers (Bottom of Page)"/>
        <w:docPartUnique/>
      </w:docPartObj>
    </w:sdtPr>
    <w:sdtEndPr>
      <w:rPr>
        <w:noProof/>
      </w:rPr>
    </w:sdtEndPr>
    <w:sdtContent>
      <w:p w14:paraId="00CC82AF" w14:textId="2D4344DC" w:rsidR="009D0B8D" w:rsidRDefault="009D0B8D">
        <w:pPr>
          <w:pStyle w:val="Footer"/>
          <w:jc w:val="center"/>
        </w:pPr>
        <w:r>
          <w:fldChar w:fldCharType="begin"/>
        </w:r>
        <w:r>
          <w:instrText xml:space="preserve"> PAGE   \* MERGEFORMAT </w:instrText>
        </w:r>
        <w:r>
          <w:fldChar w:fldCharType="separate"/>
        </w:r>
        <w:r w:rsidR="00662775">
          <w:rPr>
            <w:noProof/>
          </w:rPr>
          <w:t>29</w:t>
        </w:r>
        <w:r>
          <w:rPr>
            <w:noProof/>
          </w:rPr>
          <w:fldChar w:fldCharType="end"/>
        </w:r>
      </w:p>
    </w:sdtContent>
  </w:sdt>
  <w:p w14:paraId="6090F31E" w14:textId="77777777" w:rsidR="009D0B8D" w:rsidRDefault="009D0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5C71D" w14:textId="77777777" w:rsidR="0014509B" w:rsidRDefault="0014509B" w:rsidP="004E6C45">
      <w:pPr>
        <w:spacing w:after="0" w:line="240" w:lineRule="auto"/>
      </w:pPr>
      <w:r>
        <w:separator/>
      </w:r>
    </w:p>
  </w:footnote>
  <w:footnote w:type="continuationSeparator" w:id="0">
    <w:p w14:paraId="05B89D62" w14:textId="77777777" w:rsidR="0014509B" w:rsidRDefault="0014509B" w:rsidP="004E6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ECD69" w14:textId="358B7DC8" w:rsidR="009D0B8D" w:rsidRDefault="009D0B8D" w:rsidP="004E2655">
    <w:pPr>
      <w:pStyle w:val="Header"/>
      <w:ind w:right="110"/>
      <w:jc w:val="right"/>
    </w:pPr>
    <w:r>
      <w:t>Corporations Mini-Outline</w:t>
    </w:r>
  </w:p>
  <w:p w14:paraId="2E1A2D8B" w14:textId="77777777" w:rsidR="009D0B8D" w:rsidRDefault="009D0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C4C1E"/>
    <w:multiLevelType w:val="hybridMultilevel"/>
    <w:tmpl w:val="B7D28192"/>
    <w:lvl w:ilvl="0" w:tplc="5FACE764">
      <w:start w:val="1"/>
      <w:numFmt w:val="decimal"/>
      <w:lvlText w:val="%1."/>
      <w:lvlJc w:val="left"/>
      <w:pPr>
        <w:ind w:left="720" w:hanging="360"/>
      </w:pPr>
      <w:rPr>
        <w:rFonts w:hint="default"/>
        <w:sz w:val="20"/>
      </w:rPr>
    </w:lvl>
    <w:lvl w:ilvl="1" w:tplc="E83E335A">
      <w:start w:val="1"/>
      <w:numFmt w:val="lowerLetter"/>
      <w:lvlText w:val="%2."/>
      <w:lvlJc w:val="left"/>
      <w:pPr>
        <w:ind w:left="1440" w:hanging="360"/>
      </w:pPr>
      <w:rPr>
        <w:sz w:val="20"/>
      </w:rPr>
    </w:lvl>
    <w:lvl w:ilvl="2" w:tplc="EAD81E3E">
      <w:start w:val="1"/>
      <w:numFmt w:val="lowerRoman"/>
      <w:lvlText w:val="%3."/>
      <w:lvlJc w:val="right"/>
      <w:pPr>
        <w:ind w:left="2160" w:hanging="180"/>
      </w:pPr>
      <w:rPr>
        <w:sz w:val="20"/>
      </w:rPr>
    </w:lvl>
    <w:lvl w:ilvl="3" w:tplc="A5483E06">
      <w:start w:val="1"/>
      <w:numFmt w:val="decimal"/>
      <w:lvlText w:val="%4."/>
      <w:lvlJc w:val="left"/>
      <w:pPr>
        <w:ind w:left="2880" w:hanging="360"/>
      </w:pPr>
      <w:rPr>
        <w:sz w:val="20"/>
      </w:rPr>
    </w:lvl>
    <w:lvl w:ilvl="4" w:tplc="43A681B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47430"/>
    <w:multiLevelType w:val="hybridMultilevel"/>
    <w:tmpl w:val="37541EA6"/>
    <w:lvl w:ilvl="0" w:tplc="5FACE764">
      <w:start w:val="1"/>
      <w:numFmt w:val="decimal"/>
      <w:lvlText w:val="%1."/>
      <w:lvlJc w:val="left"/>
      <w:pPr>
        <w:ind w:left="720" w:hanging="360"/>
      </w:pPr>
      <w:rPr>
        <w:rFonts w:hint="default"/>
        <w:sz w:val="20"/>
      </w:rPr>
    </w:lvl>
    <w:lvl w:ilvl="1" w:tplc="E83E335A">
      <w:start w:val="1"/>
      <w:numFmt w:val="lowerLetter"/>
      <w:lvlText w:val="%2."/>
      <w:lvlJc w:val="left"/>
      <w:pPr>
        <w:ind w:left="1440" w:hanging="360"/>
      </w:pPr>
      <w:rPr>
        <w:sz w:val="20"/>
      </w:rPr>
    </w:lvl>
    <w:lvl w:ilvl="2" w:tplc="EAD81E3E">
      <w:start w:val="1"/>
      <w:numFmt w:val="lowerRoman"/>
      <w:lvlText w:val="%3."/>
      <w:lvlJc w:val="right"/>
      <w:pPr>
        <w:ind w:left="2160" w:hanging="180"/>
      </w:pPr>
      <w:rPr>
        <w:sz w:val="20"/>
      </w:rPr>
    </w:lvl>
    <w:lvl w:ilvl="3" w:tplc="3DAE9D02">
      <w:start w:val="1"/>
      <w:numFmt w:val="lowerLetter"/>
      <w:lvlText w:val="%4."/>
      <w:lvlJc w:val="left"/>
      <w:pPr>
        <w:ind w:left="2880" w:hanging="360"/>
      </w:pPr>
      <w:rPr>
        <w:rFonts w:asciiTheme="minorHAnsi" w:eastAsiaTheme="minorHAnsi" w:hAnsiTheme="minorHAnsi" w:cs="Times New Roman"/>
        <w:sz w:val="20"/>
      </w:rPr>
    </w:lvl>
    <w:lvl w:ilvl="4" w:tplc="43A681B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06A5A"/>
    <w:multiLevelType w:val="hybridMultilevel"/>
    <w:tmpl w:val="B7D28192"/>
    <w:lvl w:ilvl="0" w:tplc="5FACE764">
      <w:start w:val="1"/>
      <w:numFmt w:val="decimal"/>
      <w:lvlText w:val="%1."/>
      <w:lvlJc w:val="left"/>
      <w:pPr>
        <w:ind w:left="720" w:hanging="360"/>
      </w:pPr>
      <w:rPr>
        <w:rFonts w:hint="default"/>
        <w:sz w:val="20"/>
      </w:rPr>
    </w:lvl>
    <w:lvl w:ilvl="1" w:tplc="E83E335A">
      <w:start w:val="1"/>
      <w:numFmt w:val="lowerLetter"/>
      <w:lvlText w:val="%2."/>
      <w:lvlJc w:val="left"/>
      <w:pPr>
        <w:ind w:left="1440" w:hanging="360"/>
      </w:pPr>
      <w:rPr>
        <w:sz w:val="20"/>
      </w:rPr>
    </w:lvl>
    <w:lvl w:ilvl="2" w:tplc="EAD81E3E">
      <w:start w:val="1"/>
      <w:numFmt w:val="lowerRoman"/>
      <w:lvlText w:val="%3."/>
      <w:lvlJc w:val="right"/>
      <w:pPr>
        <w:ind w:left="2160" w:hanging="180"/>
      </w:pPr>
      <w:rPr>
        <w:sz w:val="20"/>
      </w:rPr>
    </w:lvl>
    <w:lvl w:ilvl="3" w:tplc="A5483E06">
      <w:start w:val="1"/>
      <w:numFmt w:val="decimal"/>
      <w:lvlText w:val="%4."/>
      <w:lvlJc w:val="left"/>
      <w:pPr>
        <w:ind w:left="2880" w:hanging="360"/>
      </w:pPr>
      <w:rPr>
        <w:sz w:val="20"/>
      </w:rPr>
    </w:lvl>
    <w:lvl w:ilvl="4" w:tplc="43A681B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94C34"/>
    <w:multiLevelType w:val="hybridMultilevel"/>
    <w:tmpl w:val="B7D28192"/>
    <w:lvl w:ilvl="0" w:tplc="5FACE764">
      <w:start w:val="1"/>
      <w:numFmt w:val="decimal"/>
      <w:lvlText w:val="%1."/>
      <w:lvlJc w:val="left"/>
      <w:pPr>
        <w:ind w:left="720" w:hanging="360"/>
      </w:pPr>
      <w:rPr>
        <w:rFonts w:hint="default"/>
        <w:sz w:val="20"/>
      </w:rPr>
    </w:lvl>
    <w:lvl w:ilvl="1" w:tplc="E83E335A">
      <w:start w:val="1"/>
      <w:numFmt w:val="lowerLetter"/>
      <w:lvlText w:val="%2."/>
      <w:lvlJc w:val="left"/>
      <w:pPr>
        <w:ind w:left="1440" w:hanging="360"/>
      </w:pPr>
      <w:rPr>
        <w:sz w:val="20"/>
      </w:rPr>
    </w:lvl>
    <w:lvl w:ilvl="2" w:tplc="EAD81E3E">
      <w:start w:val="1"/>
      <w:numFmt w:val="lowerRoman"/>
      <w:lvlText w:val="%3."/>
      <w:lvlJc w:val="right"/>
      <w:pPr>
        <w:ind w:left="2160" w:hanging="180"/>
      </w:pPr>
      <w:rPr>
        <w:sz w:val="20"/>
      </w:rPr>
    </w:lvl>
    <w:lvl w:ilvl="3" w:tplc="A5483E06">
      <w:start w:val="1"/>
      <w:numFmt w:val="decimal"/>
      <w:lvlText w:val="%4."/>
      <w:lvlJc w:val="left"/>
      <w:pPr>
        <w:ind w:left="2880" w:hanging="360"/>
      </w:pPr>
      <w:rPr>
        <w:sz w:val="20"/>
      </w:rPr>
    </w:lvl>
    <w:lvl w:ilvl="4" w:tplc="43A681B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71EA2"/>
    <w:multiLevelType w:val="hybridMultilevel"/>
    <w:tmpl w:val="B7D28192"/>
    <w:lvl w:ilvl="0" w:tplc="5FACE764">
      <w:start w:val="1"/>
      <w:numFmt w:val="decimal"/>
      <w:lvlText w:val="%1."/>
      <w:lvlJc w:val="left"/>
      <w:pPr>
        <w:ind w:left="720" w:hanging="360"/>
      </w:pPr>
      <w:rPr>
        <w:rFonts w:hint="default"/>
        <w:sz w:val="20"/>
      </w:rPr>
    </w:lvl>
    <w:lvl w:ilvl="1" w:tplc="E83E335A">
      <w:start w:val="1"/>
      <w:numFmt w:val="lowerLetter"/>
      <w:lvlText w:val="%2."/>
      <w:lvlJc w:val="left"/>
      <w:pPr>
        <w:ind w:left="1440" w:hanging="360"/>
      </w:pPr>
      <w:rPr>
        <w:sz w:val="20"/>
      </w:rPr>
    </w:lvl>
    <w:lvl w:ilvl="2" w:tplc="EAD81E3E">
      <w:start w:val="1"/>
      <w:numFmt w:val="lowerRoman"/>
      <w:lvlText w:val="%3."/>
      <w:lvlJc w:val="right"/>
      <w:pPr>
        <w:ind w:left="2160" w:hanging="180"/>
      </w:pPr>
      <w:rPr>
        <w:sz w:val="20"/>
      </w:rPr>
    </w:lvl>
    <w:lvl w:ilvl="3" w:tplc="A5483E06">
      <w:start w:val="1"/>
      <w:numFmt w:val="decimal"/>
      <w:lvlText w:val="%4."/>
      <w:lvlJc w:val="left"/>
      <w:pPr>
        <w:ind w:left="2880" w:hanging="360"/>
      </w:pPr>
      <w:rPr>
        <w:sz w:val="20"/>
      </w:rPr>
    </w:lvl>
    <w:lvl w:ilvl="4" w:tplc="43A681B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F7716"/>
    <w:multiLevelType w:val="hybridMultilevel"/>
    <w:tmpl w:val="B7D28192"/>
    <w:lvl w:ilvl="0" w:tplc="5FACE764">
      <w:start w:val="1"/>
      <w:numFmt w:val="decimal"/>
      <w:lvlText w:val="%1."/>
      <w:lvlJc w:val="left"/>
      <w:pPr>
        <w:ind w:left="720" w:hanging="360"/>
      </w:pPr>
      <w:rPr>
        <w:rFonts w:hint="default"/>
        <w:sz w:val="20"/>
      </w:rPr>
    </w:lvl>
    <w:lvl w:ilvl="1" w:tplc="E83E335A">
      <w:start w:val="1"/>
      <w:numFmt w:val="lowerLetter"/>
      <w:lvlText w:val="%2."/>
      <w:lvlJc w:val="left"/>
      <w:pPr>
        <w:ind w:left="1440" w:hanging="360"/>
      </w:pPr>
      <w:rPr>
        <w:sz w:val="20"/>
      </w:rPr>
    </w:lvl>
    <w:lvl w:ilvl="2" w:tplc="EAD81E3E">
      <w:start w:val="1"/>
      <w:numFmt w:val="lowerRoman"/>
      <w:lvlText w:val="%3."/>
      <w:lvlJc w:val="right"/>
      <w:pPr>
        <w:ind w:left="2160" w:hanging="180"/>
      </w:pPr>
      <w:rPr>
        <w:sz w:val="20"/>
      </w:rPr>
    </w:lvl>
    <w:lvl w:ilvl="3" w:tplc="A5483E06">
      <w:start w:val="1"/>
      <w:numFmt w:val="decimal"/>
      <w:lvlText w:val="%4."/>
      <w:lvlJc w:val="left"/>
      <w:pPr>
        <w:ind w:left="2880" w:hanging="360"/>
      </w:pPr>
      <w:rPr>
        <w:sz w:val="20"/>
      </w:rPr>
    </w:lvl>
    <w:lvl w:ilvl="4" w:tplc="43A681B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60BAA"/>
    <w:multiLevelType w:val="hybridMultilevel"/>
    <w:tmpl w:val="6A62B6DE"/>
    <w:lvl w:ilvl="0" w:tplc="5FACE764">
      <w:start w:val="1"/>
      <w:numFmt w:val="decimal"/>
      <w:lvlText w:val="%1."/>
      <w:lvlJc w:val="left"/>
      <w:pPr>
        <w:ind w:left="720" w:hanging="360"/>
      </w:pPr>
      <w:rPr>
        <w:rFonts w:hint="default"/>
        <w:sz w:val="20"/>
      </w:rPr>
    </w:lvl>
    <w:lvl w:ilvl="1" w:tplc="B39E2264">
      <w:start w:val="1"/>
      <w:numFmt w:val="lowerLetter"/>
      <w:lvlText w:val="%2."/>
      <w:lvlJc w:val="left"/>
      <w:pPr>
        <w:ind w:left="1440" w:hanging="360"/>
      </w:pPr>
      <w:rPr>
        <w:i w:val="0"/>
        <w:sz w:val="20"/>
      </w:rPr>
    </w:lvl>
    <w:lvl w:ilvl="2" w:tplc="3C6421A2">
      <w:start w:val="1"/>
      <w:numFmt w:val="lowerRoman"/>
      <w:lvlText w:val="%3."/>
      <w:lvlJc w:val="right"/>
      <w:pPr>
        <w:ind w:left="2160" w:hanging="180"/>
      </w:pPr>
      <w:rPr>
        <w:i w:val="0"/>
        <w:sz w:val="20"/>
      </w:rPr>
    </w:lvl>
    <w:lvl w:ilvl="3" w:tplc="A5483E06">
      <w:start w:val="1"/>
      <w:numFmt w:val="decimal"/>
      <w:lvlText w:val="%4."/>
      <w:lvlJc w:val="left"/>
      <w:pPr>
        <w:ind w:left="2880" w:hanging="360"/>
      </w:pPr>
      <w:rPr>
        <w:sz w:val="20"/>
      </w:rPr>
    </w:lvl>
    <w:lvl w:ilvl="4" w:tplc="43A681BE">
      <w:start w:val="1"/>
      <w:numFmt w:val="lowerLetter"/>
      <w:lvlText w:val="%5."/>
      <w:lvlJc w:val="left"/>
      <w:pPr>
        <w:ind w:left="3600" w:hanging="360"/>
      </w:pPr>
      <w:rPr>
        <w:sz w:val="20"/>
      </w:rPr>
    </w:lvl>
    <w:lvl w:ilvl="5" w:tplc="D52EDB28">
      <w:start w:val="1"/>
      <w:numFmt w:val="lowerRoman"/>
      <w:lvlText w:val="%6."/>
      <w:lvlJc w:val="right"/>
      <w:pPr>
        <w:ind w:left="4320" w:hanging="180"/>
      </w:pPr>
      <w:rPr>
        <w:sz w:val="20"/>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A26CE"/>
    <w:multiLevelType w:val="hybridMultilevel"/>
    <w:tmpl w:val="6A62B6DE"/>
    <w:lvl w:ilvl="0" w:tplc="5FACE764">
      <w:start w:val="1"/>
      <w:numFmt w:val="decimal"/>
      <w:lvlText w:val="%1."/>
      <w:lvlJc w:val="left"/>
      <w:pPr>
        <w:ind w:left="720" w:hanging="360"/>
      </w:pPr>
      <w:rPr>
        <w:rFonts w:hint="default"/>
        <w:sz w:val="20"/>
      </w:rPr>
    </w:lvl>
    <w:lvl w:ilvl="1" w:tplc="B39E2264">
      <w:start w:val="1"/>
      <w:numFmt w:val="lowerLetter"/>
      <w:lvlText w:val="%2."/>
      <w:lvlJc w:val="left"/>
      <w:pPr>
        <w:ind w:left="1440" w:hanging="360"/>
      </w:pPr>
      <w:rPr>
        <w:i w:val="0"/>
        <w:sz w:val="20"/>
      </w:rPr>
    </w:lvl>
    <w:lvl w:ilvl="2" w:tplc="3C6421A2">
      <w:start w:val="1"/>
      <w:numFmt w:val="lowerRoman"/>
      <w:lvlText w:val="%3."/>
      <w:lvlJc w:val="right"/>
      <w:pPr>
        <w:ind w:left="2160" w:hanging="180"/>
      </w:pPr>
      <w:rPr>
        <w:i w:val="0"/>
        <w:sz w:val="20"/>
      </w:rPr>
    </w:lvl>
    <w:lvl w:ilvl="3" w:tplc="A5483E06">
      <w:start w:val="1"/>
      <w:numFmt w:val="decimal"/>
      <w:lvlText w:val="%4."/>
      <w:lvlJc w:val="left"/>
      <w:pPr>
        <w:ind w:left="2880" w:hanging="360"/>
      </w:pPr>
      <w:rPr>
        <w:sz w:val="20"/>
      </w:rPr>
    </w:lvl>
    <w:lvl w:ilvl="4" w:tplc="43A681BE">
      <w:start w:val="1"/>
      <w:numFmt w:val="lowerLetter"/>
      <w:lvlText w:val="%5."/>
      <w:lvlJc w:val="left"/>
      <w:pPr>
        <w:ind w:left="3600" w:hanging="360"/>
      </w:pPr>
      <w:rPr>
        <w:sz w:val="20"/>
      </w:rPr>
    </w:lvl>
    <w:lvl w:ilvl="5" w:tplc="D52EDB28">
      <w:start w:val="1"/>
      <w:numFmt w:val="lowerRoman"/>
      <w:lvlText w:val="%6."/>
      <w:lvlJc w:val="right"/>
      <w:pPr>
        <w:ind w:left="4320" w:hanging="180"/>
      </w:pPr>
      <w:rPr>
        <w:sz w:val="20"/>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53ECE"/>
    <w:multiLevelType w:val="hybridMultilevel"/>
    <w:tmpl w:val="B7D28192"/>
    <w:lvl w:ilvl="0" w:tplc="5FACE764">
      <w:start w:val="1"/>
      <w:numFmt w:val="decimal"/>
      <w:lvlText w:val="%1."/>
      <w:lvlJc w:val="left"/>
      <w:pPr>
        <w:ind w:left="720" w:hanging="360"/>
      </w:pPr>
      <w:rPr>
        <w:rFonts w:hint="default"/>
        <w:sz w:val="20"/>
      </w:rPr>
    </w:lvl>
    <w:lvl w:ilvl="1" w:tplc="E83E335A">
      <w:start w:val="1"/>
      <w:numFmt w:val="lowerLetter"/>
      <w:lvlText w:val="%2."/>
      <w:lvlJc w:val="left"/>
      <w:pPr>
        <w:ind w:left="1440" w:hanging="360"/>
      </w:pPr>
      <w:rPr>
        <w:sz w:val="20"/>
      </w:rPr>
    </w:lvl>
    <w:lvl w:ilvl="2" w:tplc="EAD81E3E">
      <w:start w:val="1"/>
      <w:numFmt w:val="lowerRoman"/>
      <w:lvlText w:val="%3."/>
      <w:lvlJc w:val="right"/>
      <w:pPr>
        <w:ind w:left="2160" w:hanging="180"/>
      </w:pPr>
      <w:rPr>
        <w:sz w:val="20"/>
      </w:rPr>
    </w:lvl>
    <w:lvl w:ilvl="3" w:tplc="A5483E06">
      <w:start w:val="1"/>
      <w:numFmt w:val="decimal"/>
      <w:lvlText w:val="%4."/>
      <w:lvlJc w:val="left"/>
      <w:pPr>
        <w:ind w:left="2880" w:hanging="360"/>
      </w:pPr>
      <w:rPr>
        <w:sz w:val="20"/>
      </w:rPr>
    </w:lvl>
    <w:lvl w:ilvl="4" w:tplc="43A681B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F79DB"/>
    <w:multiLevelType w:val="hybridMultilevel"/>
    <w:tmpl w:val="B7D28192"/>
    <w:lvl w:ilvl="0" w:tplc="5FACE764">
      <w:start w:val="1"/>
      <w:numFmt w:val="decimal"/>
      <w:lvlText w:val="%1."/>
      <w:lvlJc w:val="left"/>
      <w:pPr>
        <w:ind w:left="720" w:hanging="360"/>
      </w:pPr>
      <w:rPr>
        <w:rFonts w:hint="default"/>
        <w:sz w:val="20"/>
      </w:rPr>
    </w:lvl>
    <w:lvl w:ilvl="1" w:tplc="E83E335A">
      <w:start w:val="1"/>
      <w:numFmt w:val="lowerLetter"/>
      <w:lvlText w:val="%2."/>
      <w:lvlJc w:val="left"/>
      <w:pPr>
        <w:ind w:left="1440" w:hanging="360"/>
      </w:pPr>
      <w:rPr>
        <w:sz w:val="20"/>
      </w:rPr>
    </w:lvl>
    <w:lvl w:ilvl="2" w:tplc="EAD81E3E">
      <w:start w:val="1"/>
      <w:numFmt w:val="lowerRoman"/>
      <w:lvlText w:val="%3."/>
      <w:lvlJc w:val="right"/>
      <w:pPr>
        <w:ind w:left="2160" w:hanging="180"/>
      </w:pPr>
      <w:rPr>
        <w:sz w:val="20"/>
      </w:rPr>
    </w:lvl>
    <w:lvl w:ilvl="3" w:tplc="A5483E06">
      <w:start w:val="1"/>
      <w:numFmt w:val="decimal"/>
      <w:lvlText w:val="%4."/>
      <w:lvlJc w:val="left"/>
      <w:pPr>
        <w:ind w:left="2880" w:hanging="360"/>
      </w:pPr>
      <w:rPr>
        <w:sz w:val="20"/>
      </w:rPr>
    </w:lvl>
    <w:lvl w:ilvl="4" w:tplc="43A681B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841EB"/>
    <w:multiLevelType w:val="hybridMultilevel"/>
    <w:tmpl w:val="431ABC10"/>
    <w:lvl w:ilvl="0" w:tplc="5FACE764">
      <w:start w:val="1"/>
      <w:numFmt w:val="decimal"/>
      <w:lvlText w:val="%1."/>
      <w:lvlJc w:val="left"/>
      <w:pPr>
        <w:ind w:left="720" w:hanging="360"/>
      </w:pPr>
      <w:rPr>
        <w:rFonts w:hint="default"/>
        <w:sz w:val="20"/>
      </w:rPr>
    </w:lvl>
    <w:lvl w:ilvl="1" w:tplc="34E6DF12">
      <w:start w:val="1"/>
      <w:numFmt w:val="lowerLetter"/>
      <w:lvlText w:val="%2."/>
      <w:lvlJc w:val="left"/>
      <w:pPr>
        <w:ind w:left="1440" w:hanging="360"/>
      </w:pPr>
      <w:rPr>
        <w:sz w:val="20"/>
      </w:rPr>
    </w:lvl>
    <w:lvl w:ilvl="2" w:tplc="1A98880E">
      <w:start w:val="1"/>
      <w:numFmt w:val="lowerRoman"/>
      <w:lvlText w:val="%3."/>
      <w:lvlJc w:val="right"/>
      <w:pPr>
        <w:ind w:left="2160" w:hanging="180"/>
      </w:pPr>
      <w:rPr>
        <w:sz w:val="20"/>
      </w:rPr>
    </w:lvl>
    <w:lvl w:ilvl="3" w:tplc="4B542248">
      <w:start w:val="1"/>
      <w:numFmt w:val="decimal"/>
      <w:lvlText w:val="%4."/>
      <w:lvlJc w:val="left"/>
      <w:pPr>
        <w:ind w:left="2880" w:hanging="360"/>
      </w:pPr>
      <w:rPr>
        <w:sz w:val="20"/>
      </w:rPr>
    </w:lvl>
    <w:lvl w:ilvl="4" w:tplc="D3AC05FE">
      <w:start w:val="1"/>
      <w:numFmt w:val="lowerLetter"/>
      <w:lvlText w:val="%5."/>
      <w:lvlJc w:val="left"/>
      <w:pPr>
        <w:ind w:left="3600" w:hanging="360"/>
      </w:pPr>
      <w:rPr>
        <w:sz w:val="20"/>
      </w:rPr>
    </w:lvl>
    <w:lvl w:ilvl="5" w:tplc="80A6E600">
      <w:start w:val="1"/>
      <w:numFmt w:val="lowerRoman"/>
      <w:lvlText w:val="%6."/>
      <w:lvlJc w:val="right"/>
      <w:pPr>
        <w:ind w:left="4320" w:hanging="180"/>
      </w:pPr>
      <w:rPr>
        <w:sz w:val="20"/>
      </w:rPr>
    </w:lvl>
    <w:lvl w:ilvl="6" w:tplc="3E5A8988">
      <w:start w:val="1"/>
      <w:numFmt w:val="decimal"/>
      <w:lvlText w:val="%7."/>
      <w:lvlJc w:val="left"/>
      <w:pPr>
        <w:ind w:left="5040" w:hanging="360"/>
      </w:pPr>
      <w:rPr>
        <w:sz w:val="2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47B3E"/>
    <w:multiLevelType w:val="hybridMultilevel"/>
    <w:tmpl w:val="B7D28192"/>
    <w:lvl w:ilvl="0" w:tplc="5FACE764">
      <w:start w:val="1"/>
      <w:numFmt w:val="decimal"/>
      <w:lvlText w:val="%1."/>
      <w:lvlJc w:val="left"/>
      <w:pPr>
        <w:ind w:left="720" w:hanging="360"/>
      </w:pPr>
      <w:rPr>
        <w:rFonts w:hint="default"/>
        <w:sz w:val="20"/>
      </w:rPr>
    </w:lvl>
    <w:lvl w:ilvl="1" w:tplc="E83E335A">
      <w:start w:val="1"/>
      <w:numFmt w:val="lowerLetter"/>
      <w:lvlText w:val="%2."/>
      <w:lvlJc w:val="left"/>
      <w:pPr>
        <w:ind w:left="1440" w:hanging="360"/>
      </w:pPr>
      <w:rPr>
        <w:sz w:val="20"/>
      </w:rPr>
    </w:lvl>
    <w:lvl w:ilvl="2" w:tplc="EAD81E3E">
      <w:start w:val="1"/>
      <w:numFmt w:val="lowerRoman"/>
      <w:lvlText w:val="%3."/>
      <w:lvlJc w:val="right"/>
      <w:pPr>
        <w:ind w:left="2160" w:hanging="180"/>
      </w:pPr>
      <w:rPr>
        <w:sz w:val="20"/>
      </w:rPr>
    </w:lvl>
    <w:lvl w:ilvl="3" w:tplc="A5483E06">
      <w:start w:val="1"/>
      <w:numFmt w:val="decimal"/>
      <w:lvlText w:val="%4."/>
      <w:lvlJc w:val="left"/>
      <w:pPr>
        <w:ind w:left="2880" w:hanging="360"/>
      </w:pPr>
      <w:rPr>
        <w:sz w:val="20"/>
      </w:rPr>
    </w:lvl>
    <w:lvl w:ilvl="4" w:tplc="43A681B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23F42"/>
    <w:multiLevelType w:val="hybridMultilevel"/>
    <w:tmpl w:val="B7D28192"/>
    <w:lvl w:ilvl="0" w:tplc="5FACE764">
      <w:start w:val="1"/>
      <w:numFmt w:val="decimal"/>
      <w:lvlText w:val="%1."/>
      <w:lvlJc w:val="left"/>
      <w:pPr>
        <w:ind w:left="720" w:hanging="360"/>
      </w:pPr>
      <w:rPr>
        <w:rFonts w:hint="default"/>
        <w:sz w:val="20"/>
      </w:rPr>
    </w:lvl>
    <w:lvl w:ilvl="1" w:tplc="E83E335A">
      <w:start w:val="1"/>
      <w:numFmt w:val="lowerLetter"/>
      <w:lvlText w:val="%2."/>
      <w:lvlJc w:val="left"/>
      <w:pPr>
        <w:ind w:left="1440" w:hanging="360"/>
      </w:pPr>
      <w:rPr>
        <w:sz w:val="20"/>
      </w:rPr>
    </w:lvl>
    <w:lvl w:ilvl="2" w:tplc="EAD81E3E">
      <w:start w:val="1"/>
      <w:numFmt w:val="lowerRoman"/>
      <w:lvlText w:val="%3."/>
      <w:lvlJc w:val="right"/>
      <w:pPr>
        <w:ind w:left="2160" w:hanging="180"/>
      </w:pPr>
      <w:rPr>
        <w:sz w:val="20"/>
      </w:rPr>
    </w:lvl>
    <w:lvl w:ilvl="3" w:tplc="A5483E06">
      <w:start w:val="1"/>
      <w:numFmt w:val="decimal"/>
      <w:lvlText w:val="%4."/>
      <w:lvlJc w:val="left"/>
      <w:pPr>
        <w:ind w:left="2880" w:hanging="360"/>
      </w:pPr>
      <w:rPr>
        <w:sz w:val="20"/>
      </w:rPr>
    </w:lvl>
    <w:lvl w:ilvl="4" w:tplc="43A681B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E2768"/>
    <w:multiLevelType w:val="hybridMultilevel"/>
    <w:tmpl w:val="B7D28192"/>
    <w:lvl w:ilvl="0" w:tplc="5FACE764">
      <w:start w:val="1"/>
      <w:numFmt w:val="decimal"/>
      <w:lvlText w:val="%1."/>
      <w:lvlJc w:val="left"/>
      <w:pPr>
        <w:ind w:left="720" w:hanging="360"/>
      </w:pPr>
      <w:rPr>
        <w:rFonts w:hint="default"/>
        <w:sz w:val="20"/>
      </w:rPr>
    </w:lvl>
    <w:lvl w:ilvl="1" w:tplc="E83E335A">
      <w:start w:val="1"/>
      <w:numFmt w:val="lowerLetter"/>
      <w:lvlText w:val="%2."/>
      <w:lvlJc w:val="left"/>
      <w:pPr>
        <w:ind w:left="1440" w:hanging="360"/>
      </w:pPr>
      <w:rPr>
        <w:sz w:val="20"/>
      </w:rPr>
    </w:lvl>
    <w:lvl w:ilvl="2" w:tplc="EAD81E3E">
      <w:start w:val="1"/>
      <w:numFmt w:val="lowerRoman"/>
      <w:lvlText w:val="%3."/>
      <w:lvlJc w:val="right"/>
      <w:pPr>
        <w:ind w:left="2160" w:hanging="180"/>
      </w:pPr>
      <w:rPr>
        <w:sz w:val="20"/>
      </w:rPr>
    </w:lvl>
    <w:lvl w:ilvl="3" w:tplc="A5483E06">
      <w:start w:val="1"/>
      <w:numFmt w:val="decimal"/>
      <w:lvlText w:val="%4."/>
      <w:lvlJc w:val="left"/>
      <w:pPr>
        <w:ind w:left="2880" w:hanging="360"/>
      </w:pPr>
      <w:rPr>
        <w:sz w:val="20"/>
      </w:rPr>
    </w:lvl>
    <w:lvl w:ilvl="4" w:tplc="43A681B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137C6"/>
    <w:multiLevelType w:val="hybridMultilevel"/>
    <w:tmpl w:val="0DA4CEEA"/>
    <w:lvl w:ilvl="0" w:tplc="5FACE764">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01214"/>
    <w:multiLevelType w:val="hybridMultilevel"/>
    <w:tmpl w:val="B7D28192"/>
    <w:lvl w:ilvl="0" w:tplc="5FACE764">
      <w:start w:val="1"/>
      <w:numFmt w:val="decimal"/>
      <w:lvlText w:val="%1."/>
      <w:lvlJc w:val="left"/>
      <w:pPr>
        <w:ind w:left="720" w:hanging="360"/>
      </w:pPr>
      <w:rPr>
        <w:rFonts w:hint="default"/>
        <w:sz w:val="20"/>
      </w:rPr>
    </w:lvl>
    <w:lvl w:ilvl="1" w:tplc="E83E335A">
      <w:start w:val="1"/>
      <w:numFmt w:val="lowerLetter"/>
      <w:lvlText w:val="%2."/>
      <w:lvlJc w:val="left"/>
      <w:pPr>
        <w:ind w:left="1440" w:hanging="360"/>
      </w:pPr>
      <w:rPr>
        <w:sz w:val="20"/>
      </w:rPr>
    </w:lvl>
    <w:lvl w:ilvl="2" w:tplc="EAD81E3E">
      <w:start w:val="1"/>
      <w:numFmt w:val="lowerRoman"/>
      <w:lvlText w:val="%3."/>
      <w:lvlJc w:val="right"/>
      <w:pPr>
        <w:ind w:left="2160" w:hanging="180"/>
      </w:pPr>
      <w:rPr>
        <w:sz w:val="20"/>
      </w:rPr>
    </w:lvl>
    <w:lvl w:ilvl="3" w:tplc="A5483E06">
      <w:start w:val="1"/>
      <w:numFmt w:val="decimal"/>
      <w:lvlText w:val="%4."/>
      <w:lvlJc w:val="left"/>
      <w:pPr>
        <w:ind w:left="2880" w:hanging="360"/>
      </w:pPr>
      <w:rPr>
        <w:sz w:val="20"/>
      </w:rPr>
    </w:lvl>
    <w:lvl w:ilvl="4" w:tplc="43A681B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10240"/>
    <w:multiLevelType w:val="hybridMultilevel"/>
    <w:tmpl w:val="D0B078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8266A3E"/>
    <w:multiLevelType w:val="hybridMultilevel"/>
    <w:tmpl w:val="0526E988"/>
    <w:lvl w:ilvl="0" w:tplc="5FACE764">
      <w:start w:val="1"/>
      <w:numFmt w:val="decimal"/>
      <w:lvlText w:val="%1."/>
      <w:lvlJc w:val="left"/>
      <w:pPr>
        <w:ind w:left="720" w:hanging="360"/>
      </w:pPr>
      <w:rPr>
        <w:rFonts w:hint="default"/>
        <w:sz w:val="20"/>
      </w:rPr>
    </w:lvl>
    <w:lvl w:ilvl="1" w:tplc="FF309796">
      <w:start w:val="1"/>
      <w:numFmt w:val="lowerLetter"/>
      <w:lvlText w:val="%2."/>
      <w:lvlJc w:val="left"/>
      <w:pPr>
        <w:ind w:left="1440" w:hanging="360"/>
      </w:pPr>
      <w:rPr>
        <w:rFonts w:hint="default"/>
        <w:sz w:val="20"/>
      </w:rPr>
    </w:lvl>
    <w:lvl w:ilvl="2" w:tplc="EAD81E3E">
      <w:start w:val="1"/>
      <w:numFmt w:val="lowerRoman"/>
      <w:lvlText w:val="%3."/>
      <w:lvlJc w:val="right"/>
      <w:pPr>
        <w:ind w:left="2160" w:hanging="180"/>
      </w:pPr>
      <w:rPr>
        <w:sz w:val="20"/>
      </w:rPr>
    </w:lvl>
    <w:lvl w:ilvl="3" w:tplc="A5483E06">
      <w:start w:val="1"/>
      <w:numFmt w:val="decimal"/>
      <w:lvlText w:val="%4."/>
      <w:lvlJc w:val="left"/>
      <w:pPr>
        <w:ind w:left="2880" w:hanging="360"/>
      </w:pPr>
      <w:rPr>
        <w:sz w:val="20"/>
      </w:rPr>
    </w:lvl>
    <w:lvl w:ilvl="4" w:tplc="43A681B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60288"/>
    <w:multiLevelType w:val="hybridMultilevel"/>
    <w:tmpl w:val="CFB25B3A"/>
    <w:lvl w:ilvl="0" w:tplc="5FACE764">
      <w:start w:val="1"/>
      <w:numFmt w:val="decimal"/>
      <w:lvlText w:val="%1."/>
      <w:lvlJc w:val="left"/>
      <w:pPr>
        <w:ind w:left="720" w:hanging="360"/>
      </w:pPr>
      <w:rPr>
        <w:rFonts w:hint="default"/>
        <w:sz w:val="20"/>
      </w:rPr>
    </w:lvl>
    <w:lvl w:ilvl="1" w:tplc="B39E2264">
      <w:start w:val="1"/>
      <w:numFmt w:val="lowerLetter"/>
      <w:lvlText w:val="%2."/>
      <w:lvlJc w:val="left"/>
      <w:pPr>
        <w:ind w:left="1440" w:hanging="360"/>
      </w:pPr>
      <w:rPr>
        <w:i w:val="0"/>
        <w:sz w:val="20"/>
      </w:rPr>
    </w:lvl>
    <w:lvl w:ilvl="2" w:tplc="3C6421A2">
      <w:start w:val="1"/>
      <w:numFmt w:val="lowerRoman"/>
      <w:lvlText w:val="%3."/>
      <w:lvlJc w:val="right"/>
      <w:pPr>
        <w:ind w:left="2160" w:hanging="180"/>
      </w:pPr>
      <w:rPr>
        <w:i w:val="0"/>
        <w:sz w:val="20"/>
      </w:rPr>
    </w:lvl>
    <w:lvl w:ilvl="3" w:tplc="A5483E06">
      <w:start w:val="1"/>
      <w:numFmt w:val="decimal"/>
      <w:lvlText w:val="%4."/>
      <w:lvlJc w:val="left"/>
      <w:pPr>
        <w:ind w:left="2880" w:hanging="360"/>
      </w:pPr>
      <w:rPr>
        <w:sz w:val="20"/>
      </w:rPr>
    </w:lvl>
    <w:lvl w:ilvl="4" w:tplc="43A681B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601E8"/>
    <w:multiLevelType w:val="hybridMultilevel"/>
    <w:tmpl w:val="B7D28192"/>
    <w:lvl w:ilvl="0" w:tplc="5FACE764">
      <w:start w:val="1"/>
      <w:numFmt w:val="decimal"/>
      <w:lvlText w:val="%1."/>
      <w:lvlJc w:val="left"/>
      <w:pPr>
        <w:ind w:left="720" w:hanging="360"/>
      </w:pPr>
      <w:rPr>
        <w:rFonts w:hint="default"/>
        <w:sz w:val="20"/>
      </w:rPr>
    </w:lvl>
    <w:lvl w:ilvl="1" w:tplc="E83E335A">
      <w:start w:val="1"/>
      <w:numFmt w:val="lowerLetter"/>
      <w:lvlText w:val="%2."/>
      <w:lvlJc w:val="left"/>
      <w:pPr>
        <w:ind w:left="1440" w:hanging="360"/>
      </w:pPr>
      <w:rPr>
        <w:sz w:val="20"/>
      </w:rPr>
    </w:lvl>
    <w:lvl w:ilvl="2" w:tplc="EAD81E3E">
      <w:start w:val="1"/>
      <w:numFmt w:val="lowerRoman"/>
      <w:lvlText w:val="%3."/>
      <w:lvlJc w:val="right"/>
      <w:pPr>
        <w:ind w:left="2160" w:hanging="180"/>
      </w:pPr>
      <w:rPr>
        <w:sz w:val="20"/>
      </w:rPr>
    </w:lvl>
    <w:lvl w:ilvl="3" w:tplc="A5483E06">
      <w:start w:val="1"/>
      <w:numFmt w:val="decimal"/>
      <w:lvlText w:val="%4."/>
      <w:lvlJc w:val="left"/>
      <w:pPr>
        <w:ind w:left="2880" w:hanging="360"/>
      </w:pPr>
      <w:rPr>
        <w:sz w:val="20"/>
      </w:rPr>
    </w:lvl>
    <w:lvl w:ilvl="4" w:tplc="43A681B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5720AA"/>
    <w:multiLevelType w:val="hybridMultilevel"/>
    <w:tmpl w:val="431ABC10"/>
    <w:lvl w:ilvl="0" w:tplc="5FACE764">
      <w:start w:val="1"/>
      <w:numFmt w:val="decimal"/>
      <w:lvlText w:val="%1."/>
      <w:lvlJc w:val="left"/>
      <w:pPr>
        <w:ind w:left="720" w:hanging="360"/>
      </w:pPr>
      <w:rPr>
        <w:rFonts w:hint="default"/>
        <w:sz w:val="20"/>
      </w:rPr>
    </w:lvl>
    <w:lvl w:ilvl="1" w:tplc="34E6DF12">
      <w:start w:val="1"/>
      <w:numFmt w:val="lowerLetter"/>
      <w:lvlText w:val="%2."/>
      <w:lvlJc w:val="left"/>
      <w:pPr>
        <w:ind w:left="1440" w:hanging="360"/>
      </w:pPr>
      <w:rPr>
        <w:sz w:val="20"/>
      </w:rPr>
    </w:lvl>
    <w:lvl w:ilvl="2" w:tplc="1A98880E">
      <w:start w:val="1"/>
      <w:numFmt w:val="lowerRoman"/>
      <w:lvlText w:val="%3."/>
      <w:lvlJc w:val="right"/>
      <w:pPr>
        <w:ind w:left="2160" w:hanging="180"/>
      </w:pPr>
      <w:rPr>
        <w:sz w:val="20"/>
      </w:rPr>
    </w:lvl>
    <w:lvl w:ilvl="3" w:tplc="4B542248">
      <w:start w:val="1"/>
      <w:numFmt w:val="decimal"/>
      <w:lvlText w:val="%4."/>
      <w:lvlJc w:val="left"/>
      <w:pPr>
        <w:ind w:left="2880" w:hanging="360"/>
      </w:pPr>
      <w:rPr>
        <w:sz w:val="20"/>
      </w:rPr>
    </w:lvl>
    <w:lvl w:ilvl="4" w:tplc="D3AC05FE">
      <w:start w:val="1"/>
      <w:numFmt w:val="lowerLetter"/>
      <w:lvlText w:val="%5."/>
      <w:lvlJc w:val="left"/>
      <w:pPr>
        <w:ind w:left="3600" w:hanging="360"/>
      </w:pPr>
      <w:rPr>
        <w:sz w:val="20"/>
      </w:rPr>
    </w:lvl>
    <w:lvl w:ilvl="5" w:tplc="80A6E600">
      <w:start w:val="1"/>
      <w:numFmt w:val="lowerRoman"/>
      <w:lvlText w:val="%6."/>
      <w:lvlJc w:val="right"/>
      <w:pPr>
        <w:ind w:left="4320" w:hanging="180"/>
      </w:pPr>
      <w:rPr>
        <w:sz w:val="20"/>
      </w:rPr>
    </w:lvl>
    <w:lvl w:ilvl="6" w:tplc="3E5A8988">
      <w:start w:val="1"/>
      <w:numFmt w:val="decimal"/>
      <w:lvlText w:val="%7."/>
      <w:lvlJc w:val="left"/>
      <w:pPr>
        <w:ind w:left="5040" w:hanging="360"/>
      </w:pPr>
      <w:rPr>
        <w:sz w:val="2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64542"/>
    <w:multiLevelType w:val="hybridMultilevel"/>
    <w:tmpl w:val="0DA4CEEA"/>
    <w:lvl w:ilvl="0" w:tplc="5FACE764">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E6AA8"/>
    <w:multiLevelType w:val="hybridMultilevel"/>
    <w:tmpl w:val="B7D28192"/>
    <w:lvl w:ilvl="0" w:tplc="5FACE764">
      <w:start w:val="1"/>
      <w:numFmt w:val="decimal"/>
      <w:lvlText w:val="%1."/>
      <w:lvlJc w:val="left"/>
      <w:pPr>
        <w:ind w:left="720" w:hanging="360"/>
      </w:pPr>
      <w:rPr>
        <w:rFonts w:hint="default"/>
        <w:sz w:val="20"/>
      </w:rPr>
    </w:lvl>
    <w:lvl w:ilvl="1" w:tplc="E83E335A">
      <w:start w:val="1"/>
      <w:numFmt w:val="lowerLetter"/>
      <w:lvlText w:val="%2."/>
      <w:lvlJc w:val="left"/>
      <w:pPr>
        <w:ind w:left="1440" w:hanging="360"/>
      </w:pPr>
      <w:rPr>
        <w:sz w:val="20"/>
      </w:rPr>
    </w:lvl>
    <w:lvl w:ilvl="2" w:tplc="EAD81E3E">
      <w:start w:val="1"/>
      <w:numFmt w:val="lowerRoman"/>
      <w:lvlText w:val="%3."/>
      <w:lvlJc w:val="right"/>
      <w:pPr>
        <w:ind w:left="2160" w:hanging="180"/>
      </w:pPr>
      <w:rPr>
        <w:sz w:val="20"/>
      </w:rPr>
    </w:lvl>
    <w:lvl w:ilvl="3" w:tplc="A5483E06">
      <w:start w:val="1"/>
      <w:numFmt w:val="decimal"/>
      <w:lvlText w:val="%4."/>
      <w:lvlJc w:val="left"/>
      <w:pPr>
        <w:ind w:left="2880" w:hanging="360"/>
      </w:pPr>
      <w:rPr>
        <w:sz w:val="20"/>
      </w:rPr>
    </w:lvl>
    <w:lvl w:ilvl="4" w:tplc="43A681B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121E82"/>
    <w:multiLevelType w:val="hybridMultilevel"/>
    <w:tmpl w:val="4CB2B738"/>
    <w:lvl w:ilvl="0" w:tplc="6F44F990">
      <w:start w:val="1"/>
      <w:numFmt w:val="decimal"/>
      <w:lvlText w:val="%1."/>
      <w:lvlJc w:val="left"/>
      <w:pPr>
        <w:ind w:left="720" w:hanging="360"/>
      </w:pPr>
      <w:rPr>
        <w:rFonts w:hint="default"/>
        <w:sz w:val="20"/>
      </w:rPr>
    </w:lvl>
    <w:lvl w:ilvl="1" w:tplc="A00211A8">
      <w:start w:val="1"/>
      <w:numFmt w:val="lowerLetter"/>
      <w:lvlText w:val="%2."/>
      <w:lvlJc w:val="left"/>
      <w:pPr>
        <w:ind w:left="1440" w:hanging="360"/>
      </w:pPr>
      <w:rPr>
        <w:sz w:val="20"/>
      </w:rPr>
    </w:lvl>
    <w:lvl w:ilvl="2" w:tplc="4EBE2454">
      <w:start w:val="1"/>
      <w:numFmt w:val="lowerRoman"/>
      <w:lvlText w:val="%3."/>
      <w:lvlJc w:val="right"/>
      <w:pPr>
        <w:ind w:left="2160" w:hanging="180"/>
      </w:pPr>
      <w:rPr>
        <w:sz w:val="20"/>
      </w:rPr>
    </w:lvl>
    <w:lvl w:ilvl="3" w:tplc="7B90DAE6">
      <w:start w:val="1"/>
      <w:numFmt w:val="decimal"/>
      <w:lvlText w:val="%4."/>
      <w:lvlJc w:val="left"/>
      <w:pPr>
        <w:ind w:left="2880" w:hanging="360"/>
      </w:pPr>
      <w:rPr>
        <w:sz w:val="20"/>
      </w:rPr>
    </w:lvl>
    <w:lvl w:ilvl="4" w:tplc="D5CC89A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E3FB2"/>
    <w:multiLevelType w:val="hybridMultilevel"/>
    <w:tmpl w:val="9A22A2B0"/>
    <w:lvl w:ilvl="0" w:tplc="6F44F990">
      <w:start w:val="1"/>
      <w:numFmt w:val="decimal"/>
      <w:lvlText w:val="%1."/>
      <w:lvlJc w:val="left"/>
      <w:pPr>
        <w:ind w:left="720" w:hanging="360"/>
      </w:pPr>
      <w:rPr>
        <w:rFonts w:hint="default"/>
        <w:sz w:val="20"/>
      </w:rPr>
    </w:lvl>
    <w:lvl w:ilvl="1" w:tplc="A00211A8">
      <w:start w:val="1"/>
      <w:numFmt w:val="lowerLetter"/>
      <w:lvlText w:val="%2."/>
      <w:lvlJc w:val="left"/>
      <w:pPr>
        <w:ind w:left="1440" w:hanging="360"/>
      </w:pPr>
      <w:rPr>
        <w:sz w:val="20"/>
      </w:rPr>
    </w:lvl>
    <w:lvl w:ilvl="2" w:tplc="AC9EB2BA">
      <w:start w:val="1"/>
      <w:numFmt w:val="lowerRoman"/>
      <w:lvlText w:val="%3."/>
      <w:lvlJc w:val="right"/>
      <w:pPr>
        <w:ind w:left="2160" w:hanging="180"/>
      </w:pPr>
      <w:rPr>
        <w:sz w:val="20"/>
      </w:rPr>
    </w:lvl>
    <w:lvl w:ilvl="3" w:tplc="7B90DAE6">
      <w:start w:val="1"/>
      <w:numFmt w:val="decimal"/>
      <w:lvlText w:val="%4."/>
      <w:lvlJc w:val="left"/>
      <w:pPr>
        <w:ind w:left="2880" w:hanging="360"/>
      </w:pPr>
      <w:rPr>
        <w:sz w:val="20"/>
      </w:rPr>
    </w:lvl>
    <w:lvl w:ilvl="4" w:tplc="D5CC89A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747DE"/>
    <w:multiLevelType w:val="hybridMultilevel"/>
    <w:tmpl w:val="0DA4CEEA"/>
    <w:lvl w:ilvl="0" w:tplc="5FACE764">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507DC2"/>
    <w:multiLevelType w:val="hybridMultilevel"/>
    <w:tmpl w:val="19A41878"/>
    <w:lvl w:ilvl="0" w:tplc="E29C378E">
      <w:start w:val="1"/>
      <w:numFmt w:val="bullet"/>
      <w:pStyle w:val="Bullet1"/>
      <w:lvlText w:val=""/>
      <w:lvlJc w:val="left"/>
      <w:pPr>
        <w:ind w:left="180" w:hanging="360"/>
      </w:pPr>
      <w:rPr>
        <w:rFonts w:ascii="Symbol" w:hAnsi="Symbol" w:hint="default"/>
        <w:sz w:val="20"/>
      </w:rPr>
    </w:lvl>
    <w:lvl w:ilvl="1" w:tplc="B99C1EAE">
      <w:start w:val="1"/>
      <w:numFmt w:val="bullet"/>
      <w:pStyle w:val="Bullet2"/>
      <w:lvlText w:val="o"/>
      <w:lvlJc w:val="left"/>
      <w:pPr>
        <w:ind w:left="900" w:hanging="360"/>
      </w:pPr>
      <w:rPr>
        <w:rFonts w:ascii="Courier New" w:hAnsi="Courier New" w:cs="Courier New" w:hint="default"/>
      </w:rPr>
    </w:lvl>
    <w:lvl w:ilvl="2" w:tplc="B16888D0">
      <w:start w:val="1"/>
      <w:numFmt w:val="bullet"/>
      <w:pStyle w:val="Bullet3"/>
      <w:lvlText w:val="̶"/>
      <w:lvlJc w:val="left"/>
      <w:pPr>
        <w:ind w:left="1620" w:hanging="360"/>
      </w:pPr>
      <w:rPr>
        <w:rFonts w:ascii="Arial" w:hAnsi="Arial" w:hint="default"/>
      </w:rPr>
    </w:lvl>
    <w:lvl w:ilvl="3" w:tplc="F8CC3D18">
      <w:start w:val="1"/>
      <w:numFmt w:val="bullet"/>
      <w:pStyle w:val="Bullet4"/>
      <w:lvlText w:val=""/>
      <w:lvlJc w:val="left"/>
      <w:pPr>
        <w:ind w:left="2340" w:hanging="360"/>
      </w:pPr>
      <w:rPr>
        <w:rFonts w:ascii="Wingdings" w:hAnsi="Wingdings"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3"/>
  </w:num>
  <w:num w:numId="2">
    <w:abstractNumId w:val="25"/>
  </w:num>
  <w:num w:numId="3">
    <w:abstractNumId w:val="24"/>
  </w:num>
  <w:num w:numId="4">
    <w:abstractNumId w:val="14"/>
  </w:num>
  <w:num w:numId="5">
    <w:abstractNumId w:val="21"/>
  </w:num>
  <w:num w:numId="6">
    <w:abstractNumId w:val="20"/>
  </w:num>
  <w:num w:numId="7">
    <w:abstractNumId w:val="19"/>
  </w:num>
  <w:num w:numId="8">
    <w:abstractNumId w:val="3"/>
  </w:num>
  <w:num w:numId="9">
    <w:abstractNumId w:val="10"/>
  </w:num>
  <w:num w:numId="10">
    <w:abstractNumId w:val="15"/>
  </w:num>
  <w:num w:numId="11">
    <w:abstractNumId w:val="4"/>
  </w:num>
  <w:num w:numId="12">
    <w:abstractNumId w:val="13"/>
  </w:num>
  <w:num w:numId="13">
    <w:abstractNumId w:val="26"/>
  </w:num>
  <w:num w:numId="14">
    <w:abstractNumId w:val="16"/>
  </w:num>
  <w:num w:numId="15">
    <w:abstractNumId w:val="2"/>
  </w:num>
  <w:num w:numId="16">
    <w:abstractNumId w:val="1"/>
  </w:num>
  <w:num w:numId="17">
    <w:abstractNumId w:val="11"/>
  </w:num>
  <w:num w:numId="18">
    <w:abstractNumId w:val="12"/>
  </w:num>
  <w:num w:numId="19">
    <w:abstractNumId w:val="22"/>
  </w:num>
  <w:num w:numId="20">
    <w:abstractNumId w:val="17"/>
  </w:num>
  <w:num w:numId="21">
    <w:abstractNumId w:val="0"/>
  </w:num>
  <w:num w:numId="22">
    <w:abstractNumId w:val="8"/>
  </w:num>
  <w:num w:numId="23">
    <w:abstractNumId w:val="9"/>
  </w:num>
  <w:num w:numId="24">
    <w:abstractNumId w:val="5"/>
  </w:num>
  <w:num w:numId="25">
    <w:abstractNumId w:val="18"/>
  </w:num>
  <w:num w:numId="26">
    <w:abstractNumId w:val="7"/>
  </w:num>
  <w:num w:numId="2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db76d7b2-b514-4a95-8b91-4b76bea34362"/>
  </w:docVars>
  <w:rsids>
    <w:rsidRoot w:val="00505123"/>
    <w:rsid w:val="00002344"/>
    <w:rsid w:val="000026BA"/>
    <w:rsid w:val="000027B5"/>
    <w:rsid w:val="000058EF"/>
    <w:rsid w:val="00005E9B"/>
    <w:rsid w:val="00006774"/>
    <w:rsid w:val="000107D3"/>
    <w:rsid w:val="00014F3D"/>
    <w:rsid w:val="000163A0"/>
    <w:rsid w:val="00016623"/>
    <w:rsid w:val="00022760"/>
    <w:rsid w:val="00023908"/>
    <w:rsid w:val="00026809"/>
    <w:rsid w:val="00027792"/>
    <w:rsid w:val="00030014"/>
    <w:rsid w:val="0003044B"/>
    <w:rsid w:val="00030BEB"/>
    <w:rsid w:val="00032731"/>
    <w:rsid w:val="00037682"/>
    <w:rsid w:val="00040C58"/>
    <w:rsid w:val="00041086"/>
    <w:rsid w:val="000419BD"/>
    <w:rsid w:val="000419C8"/>
    <w:rsid w:val="00042840"/>
    <w:rsid w:val="00042C78"/>
    <w:rsid w:val="00045817"/>
    <w:rsid w:val="00046208"/>
    <w:rsid w:val="00051BBB"/>
    <w:rsid w:val="00051C2A"/>
    <w:rsid w:val="0005215B"/>
    <w:rsid w:val="00052B7A"/>
    <w:rsid w:val="0005426B"/>
    <w:rsid w:val="000551A4"/>
    <w:rsid w:val="000554FD"/>
    <w:rsid w:val="0005570C"/>
    <w:rsid w:val="000558A1"/>
    <w:rsid w:val="0006029C"/>
    <w:rsid w:val="00062386"/>
    <w:rsid w:val="0006279D"/>
    <w:rsid w:val="00062F01"/>
    <w:rsid w:val="0006306E"/>
    <w:rsid w:val="00064F64"/>
    <w:rsid w:val="00067A01"/>
    <w:rsid w:val="00071BB7"/>
    <w:rsid w:val="00072A50"/>
    <w:rsid w:val="00072CE7"/>
    <w:rsid w:val="000734CF"/>
    <w:rsid w:val="00075F4D"/>
    <w:rsid w:val="000764CE"/>
    <w:rsid w:val="000767BF"/>
    <w:rsid w:val="000805F1"/>
    <w:rsid w:val="00080E82"/>
    <w:rsid w:val="000816A1"/>
    <w:rsid w:val="00086AEA"/>
    <w:rsid w:val="00090332"/>
    <w:rsid w:val="00091A57"/>
    <w:rsid w:val="00092411"/>
    <w:rsid w:val="0009326C"/>
    <w:rsid w:val="00093B2A"/>
    <w:rsid w:val="0009548B"/>
    <w:rsid w:val="00096DDD"/>
    <w:rsid w:val="000A47FD"/>
    <w:rsid w:val="000A5067"/>
    <w:rsid w:val="000B154F"/>
    <w:rsid w:val="000B16CE"/>
    <w:rsid w:val="000B1A2E"/>
    <w:rsid w:val="000B2441"/>
    <w:rsid w:val="000B42E6"/>
    <w:rsid w:val="000B4997"/>
    <w:rsid w:val="000B6727"/>
    <w:rsid w:val="000C08E7"/>
    <w:rsid w:val="000C0D8E"/>
    <w:rsid w:val="000C32F0"/>
    <w:rsid w:val="000C376F"/>
    <w:rsid w:val="000C3FAC"/>
    <w:rsid w:val="000C5602"/>
    <w:rsid w:val="000C6652"/>
    <w:rsid w:val="000C753C"/>
    <w:rsid w:val="000C77AB"/>
    <w:rsid w:val="000D0013"/>
    <w:rsid w:val="000D1FBC"/>
    <w:rsid w:val="000D31F6"/>
    <w:rsid w:val="000D3957"/>
    <w:rsid w:val="000D748B"/>
    <w:rsid w:val="000E120C"/>
    <w:rsid w:val="000E12AF"/>
    <w:rsid w:val="000E13E8"/>
    <w:rsid w:val="000E1C40"/>
    <w:rsid w:val="000E21D0"/>
    <w:rsid w:val="000E24E4"/>
    <w:rsid w:val="000E2A78"/>
    <w:rsid w:val="000E375C"/>
    <w:rsid w:val="000E38DB"/>
    <w:rsid w:val="000E39D8"/>
    <w:rsid w:val="000E4656"/>
    <w:rsid w:val="000E4CA8"/>
    <w:rsid w:val="000E57AA"/>
    <w:rsid w:val="000E645D"/>
    <w:rsid w:val="000E6DF1"/>
    <w:rsid w:val="000E6E56"/>
    <w:rsid w:val="000E6F86"/>
    <w:rsid w:val="000F3EEB"/>
    <w:rsid w:val="000F6CE2"/>
    <w:rsid w:val="000F6EB1"/>
    <w:rsid w:val="000F724E"/>
    <w:rsid w:val="000F7527"/>
    <w:rsid w:val="00100B1B"/>
    <w:rsid w:val="001018CE"/>
    <w:rsid w:val="00102829"/>
    <w:rsid w:val="001037B0"/>
    <w:rsid w:val="00104CB7"/>
    <w:rsid w:val="00110BE2"/>
    <w:rsid w:val="00116428"/>
    <w:rsid w:val="001210CA"/>
    <w:rsid w:val="00122C80"/>
    <w:rsid w:val="001235DF"/>
    <w:rsid w:val="00127B68"/>
    <w:rsid w:val="001303C2"/>
    <w:rsid w:val="001316A5"/>
    <w:rsid w:val="00131F06"/>
    <w:rsid w:val="001324D2"/>
    <w:rsid w:val="00133FD7"/>
    <w:rsid w:val="001356F9"/>
    <w:rsid w:val="00140323"/>
    <w:rsid w:val="00141718"/>
    <w:rsid w:val="00141913"/>
    <w:rsid w:val="001440F0"/>
    <w:rsid w:val="0014509B"/>
    <w:rsid w:val="00145D1D"/>
    <w:rsid w:val="00147582"/>
    <w:rsid w:val="00147EB0"/>
    <w:rsid w:val="00150E5C"/>
    <w:rsid w:val="00151766"/>
    <w:rsid w:val="00151A3F"/>
    <w:rsid w:val="00152CD0"/>
    <w:rsid w:val="00153236"/>
    <w:rsid w:val="00157B7F"/>
    <w:rsid w:val="001607C7"/>
    <w:rsid w:val="00164B58"/>
    <w:rsid w:val="0016734F"/>
    <w:rsid w:val="00167D83"/>
    <w:rsid w:val="00170C48"/>
    <w:rsid w:val="001727AC"/>
    <w:rsid w:val="0017316D"/>
    <w:rsid w:val="00176846"/>
    <w:rsid w:val="001801A7"/>
    <w:rsid w:val="0018043C"/>
    <w:rsid w:val="00180CD1"/>
    <w:rsid w:val="00181424"/>
    <w:rsid w:val="001829F6"/>
    <w:rsid w:val="001830EA"/>
    <w:rsid w:val="00183FBC"/>
    <w:rsid w:val="00184468"/>
    <w:rsid w:val="001861D6"/>
    <w:rsid w:val="001867DB"/>
    <w:rsid w:val="00187363"/>
    <w:rsid w:val="00190B44"/>
    <w:rsid w:val="001919EE"/>
    <w:rsid w:val="00193165"/>
    <w:rsid w:val="00193A0D"/>
    <w:rsid w:val="00194A82"/>
    <w:rsid w:val="00195D40"/>
    <w:rsid w:val="00195F9B"/>
    <w:rsid w:val="00196D3C"/>
    <w:rsid w:val="00196F92"/>
    <w:rsid w:val="001A226A"/>
    <w:rsid w:val="001A2DF7"/>
    <w:rsid w:val="001A40FF"/>
    <w:rsid w:val="001A45EE"/>
    <w:rsid w:val="001A5C3C"/>
    <w:rsid w:val="001A6071"/>
    <w:rsid w:val="001A656F"/>
    <w:rsid w:val="001B04B3"/>
    <w:rsid w:val="001B0F6C"/>
    <w:rsid w:val="001B3A9B"/>
    <w:rsid w:val="001B3C40"/>
    <w:rsid w:val="001B5275"/>
    <w:rsid w:val="001B5F3B"/>
    <w:rsid w:val="001B69D5"/>
    <w:rsid w:val="001C2EE2"/>
    <w:rsid w:val="001C3BDF"/>
    <w:rsid w:val="001C457B"/>
    <w:rsid w:val="001C512B"/>
    <w:rsid w:val="001C521D"/>
    <w:rsid w:val="001C59E8"/>
    <w:rsid w:val="001D041D"/>
    <w:rsid w:val="001D1216"/>
    <w:rsid w:val="001D31A4"/>
    <w:rsid w:val="001D47D5"/>
    <w:rsid w:val="001D5BC2"/>
    <w:rsid w:val="001D670C"/>
    <w:rsid w:val="001D68A3"/>
    <w:rsid w:val="001D76BA"/>
    <w:rsid w:val="001E06C4"/>
    <w:rsid w:val="001E25CA"/>
    <w:rsid w:val="001E691B"/>
    <w:rsid w:val="001F15E7"/>
    <w:rsid w:val="001F19C2"/>
    <w:rsid w:val="001F2214"/>
    <w:rsid w:val="001F3B6D"/>
    <w:rsid w:val="001F3C64"/>
    <w:rsid w:val="001F5B14"/>
    <w:rsid w:val="001F6264"/>
    <w:rsid w:val="001F75DF"/>
    <w:rsid w:val="002048EC"/>
    <w:rsid w:val="00206309"/>
    <w:rsid w:val="00206C0A"/>
    <w:rsid w:val="002119C7"/>
    <w:rsid w:val="00212050"/>
    <w:rsid w:val="00213182"/>
    <w:rsid w:val="00216778"/>
    <w:rsid w:val="00216824"/>
    <w:rsid w:val="00216F9B"/>
    <w:rsid w:val="00216FB9"/>
    <w:rsid w:val="00217021"/>
    <w:rsid w:val="002171B6"/>
    <w:rsid w:val="00220AE9"/>
    <w:rsid w:val="0022229F"/>
    <w:rsid w:val="0022314B"/>
    <w:rsid w:val="002254B7"/>
    <w:rsid w:val="00232CBA"/>
    <w:rsid w:val="00234984"/>
    <w:rsid w:val="002349FA"/>
    <w:rsid w:val="0023576A"/>
    <w:rsid w:val="00237244"/>
    <w:rsid w:val="00241BBD"/>
    <w:rsid w:val="00241BFE"/>
    <w:rsid w:val="0024343E"/>
    <w:rsid w:val="00243694"/>
    <w:rsid w:val="00243A92"/>
    <w:rsid w:val="00243EFE"/>
    <w:rsid w:val="00245824"/>
    <w:rsid w:val="0025139E"/>
    <w:rsid w:val="0025463B"/>
    <w:rsid w:val="00255623"/>
    <w:rsid w:val="00257FA0"/>
    <w:rsid w:val="002602AD"/>
    <w:rsid w:val="0026045A"/>
    <w:rsid w:val="002610C5"/>
    <w:rsid w:val="00261608"/>
    <w:rsid w:val="00261FBB"/>
    <w:rsid w:val="00263401"/>
    <w:rsid w:val="00263756"/>
    <w:rsid w:val="00265A50"/>
    <w:rsid w:val="0026608E"/>
    <w:rsid w:val="002661F2"/>
    <w:rsid w:val="00266DD2"/>
    <w:rsid w:val="00267752"/>
    <w:rsid w:val="0027056C"/>
    <w:rsid w:val="00270BEF"/>
    <w:rsid w:val="00274A4C"/>
    <w:rsid w:val="002775B9"/>
    <w:rsid w:val="002834E3"/>
    <w:rsid w:val="00283A53"/>
    <w:rsid w:val="00286089"/>
    <w:rsid w:val="00286468"/>
    <w:rsid w:val="00286DFC"/>
    <w:rsid w:val="00287167"/>
    <w:rsid w:val="00287455"/>
    <w:rsid w:val="002906A0"/>
    <w:rsid w:val="002908B2"/>
    <w:rsid w:val="002919B9"/>
    <w:rsid w:val="00292727"/>
    <w:rsid w:val="0029304C"/>
    <w:rsid w:val="00294DDA"/>
    <w:rsid w:val="00297ED9"/>
    <w:rsid w:val="002A03A6"/>
    <w:rsid w:val="002A0643"/>
    <w:rsid w:val="002A4A22"/>
    <w:rsid w:val="002A55A7"/>
    <w:rsid w:val="002A7BCC"/>
    <w:rsid w:val="002B1B68"/>
    <w:rsid w:val="002B1FA1"/>
    <w:rsid w:val="002B308F"/>
    <w:rsid w:val="002B5F2B"/>
    <w:rsid w:val="002B76F5"/>
    <w:rsid w:val="002C1BE7"/>
    <w:rsid w:val="002C2152"/>
    <w:rsid w:val="002C23FE"/>
    <w:rsid w:val="002C24BA"/>
    <w:rsid w:val="002C2F7E"/>
    <w:rsid w:val="002C3468"/>
    <w:rsid w:val="002C49EB"/>
    <w:rsid w:val="002C4C3A"/>
    <w:rsid w:val="002C70E9"/>
    <w:rsid w:val="002D2B2D"/>
    <w:rsid w:val="002D39C2"/>
    <w:rsid w:val="002D553C"/>
    <w:rsid w:val="002D6392"/>
    <w:rsid w:val="002D6B96"/>
    <w:rsid w:val="002E253A"/>
    <w:rsid w:val="002E46A8"/>
    <w:rsid w:val="002E5839"/>
    <w:rsid w:val="002F4F0F"/>
    <w:rsid w:val="002F51C9"/>
    <w:rsid w:val="003006C7"/>
    <w:rsid w:val="00304103"/>
    <w:rsid w:val="0030485F"/>
    <w:rsid w:val="003050E3"/>
    <w:rsid w:val="00311F6A"/>
    <w:rsid w:val="00313C5A"/>
    <w:rsid w:val="00314ADB"/>
    <w:rsid w:val="00316388"/>
    <w:rsid w:val="00316B95"/>
    <w:rsid w:val="00317D22"/>
    <w:rsid w:val="00321033"/>
    <w:rsid w:val="003215B0"/>
    <w:rsid w:val="003221C2"/>
    <w:rsid w:val="00324BBC"/>
    <w:rsid w:val="003301BB"/>
    <w:rsid w:val="003313F7"/>
    <w:rsid w:val="003320A9"/>
    <w:rsid w:val="00333281"/>
    <w:rsid w:val="003347B9"/>
    <w:rsid w:val="003362E1"/>
    <w:rsid w:val="0033713A"/>
    <w:rsid w:val="0033774B"/>
    <w:rsid w:val="00337A73"/>
    <w:rsid w:val="00340AC5"/>
    <w:rsid w:val="003425A0"/>
    <w:rsid w:val="00343B46"/>
    <w:rsid w:val="0034427A"/>
    <w:rsid w:val="00344559"/>
    <w:rsid w:val="00351701"/>
    <w:rsid w:val="003523F3"/>
    <w:rsid w:val="00352A52"/>
    <w:rsid w:val="00353548"/>
    <w:rsid w:val="00356049"/>
    <w:rsid w:val="003576BF"/>
    <w:rsid w:val="00360022"/>
    <w:rsid w:val="00361B46"/>
    <w:rsid w:val="003625E1"/>
    <w:rsid w:val="003632E2"/>
    <w:rsid w:val="00364AD4"/>
    <w:rsid w:val="00364BFC"/>
    <w:rsid w:val="0036528A"/>
    <w:rsid w:val="00365452"/>
    <w:rsid w:val="0036798C"/>
    <w:rsid w:val="003709C2"/>
    <w:rsid w:val="003716BF"/>
    <w:rsid w:val="00372566"/>
    <w:rsid w:val="00372E15"/>
    <w:rsid w:val="00375B0E"/>
    <w:rsid w:val="003810BE"/>
    <w:rsid w:val="0038139C"/>
    <w:rsid w:val="003817C6"/>
    <w:rsid w:val="003823C3"/>
    <w:rsid w:val="0038243A"/>
    <w:rsid w:val="003837C6"/>
    <w:rsid w:val="003841A6"/>
    <w:rsid w:val="00385668"/>
    <w:rsid w:val="00391957"/>
    <w:rsid w:val="00392198"/>
    <w:rsid w:val="00392B7A"/>
    <w:rsid w:val="00392CB5"/>
    <w:rsid w:val="003938DE"/>
    <w:rsid w:val="00397376"/>
    <w:rsid w:val="003974F2"/>
    <w:rsid w:val="003A09E4"/>
    <w:rsid w:val="003A1174"/>
    <w:rsid w:val="003A1C80"/>
    <w:rsid w:val="003A2623"/>
    <w:rsid w:val="003A2BDC"/>
    <w:rsid w:val="003A3874"/>
    <w:rsid w:val="003A475A"/>
    <w:rsid w:val="003A4F8F"/>
    <w:rsid w:val="003A54DE"/>
    <w:rsid w:val="003A5599"/>
    <w:rsid w:val="003A63C4"/>
    <w:rsid w:val="003B2709"/>
    <w:rsid w:val="003B3F01"/>
    <w:rsid w:val="003B40BE"/>
    <w:rsid w:val="003B51A2"/>
    <w:rsid w:val="003B585A"/>
    <w:rsid w:val="003B588B"/>
    <w:rsid w:val="003B6352"/>
    <w:rsid w:val="003B6C17"/>
    <w:rsid w:val="003C06F1"/>
    <w:rsid w:val="003C5914"/>
    <w:rsid w:val="003C637B"/>
    <w:rsid w:val="003C65B5"/>
    <w:rsid w:val="003C78EE"/>
    <w:rsid w:val="003D10AE"/>
    <w:rsid w:val="003D1945"/>
    <w:rsid w:val="003D2559"/>
    <w:rsid w:val="003D44DA"/>
    <w:rsid w:val="003D4CFE"/>
    <w:rsid w:val="003D662F"/>
    <w:rsid w:val="003E0993"/>
    <w:rsid w:val="003E0B90"/>
    <w:rsid w:val="003E164A"/>
    <w:rsid w:val="003E5980"/>
    <w:rsid w:val="003F0FE3"/>
    <w:rsid w:val="003F302F"/>
    <w:rsid w:val="003F6ED3"/>
    <w:rsid w:val="003F7B4A"/>
    <w:rsid w:val="00400009"/>
    <w:rsid w:val="00400450"/>
    <w:rsid w:val="00400E81"/>
    <w:rsid w:val="00400FC1"/>
    <w:rsid w:val="004016A9"/>
    <w:rsid w:val="00401E9A"/>
    <w:rsid w:val="00402855"/>
    <w:rsid w:val="00402C5B"/>
    <w:rsid w:val="00403041"/>
    <w:rsid w:val="00404061"/>
    <w:rsid w:val="004069C0"/>
    <w:rsid w:val="00406FD0"/>
    <w:rsid w:val="00407F09"/>
    <w:rsid w:val="00410131"/>
    <w:rsid w:val="00412CEB"/>
    <w:rsid w:val="004143BB"/>
    <w:rsid w:val="00416EA3"/>
    <w:rsid w:val="0041783E"/>
    <w:rsid w:val="004216A8"/>
    <w:rsid w:val="00425155"/>
    <w:rsid w:val="0043004F"/>
    <w:rsid w:val="0043188B"/>
    <w:rsid w:val="00432D26"/>
    <w:rsid w:val="00433771"/>
    <w:rsid w:val="00434A88"/>
    <w:rsid w:val="00434DA4"/>
    <w:rsid w:val="00435180"/>
    <w:rsid w:val="004353F1"/>
    <w:rsid w:val="00437021"/>
    <w:rsid w:val="00437D59"/>
    <w:rsid w:val="00440F1C"/>
    <w:rsid w:val="0044187B"/>
    <w:rsid w:val="00441E63"/>
    <w:rsid w:val="004426F8"/>
    <w:rsid w:val="00442FA0"/>
    <w:rsid w:val="004467C8"/>
    <w:rsid w:val="00447C0F"/>
    <w:rsid w:val="00447F44"/>
    <w:rsid w:val="00453011"/>
    <w:rsid w:val="00453982"/>
    <w:rsid w:val="004539CD"/>
    <w:rsid w:val="00462A2C"/>
    <w:rsid w:val="00463ABD"/>
    <w:rsid w:val="0046577A"/>
    <w:rsid w:val="0047003A"/>
    <w:rsid w:val="00472569"/>
    <w:rsid w:val="0047537B"/>
    <w:rsid w:val="00476EBB"/>
    <w:rsid w:val="00480BC9"/>
    <w:rsid w:val="00482ED1"/>
    <w:rsid w:val="004839EE"/>
    <w:rsid w:val="00484E5F"/>
    <w:rsid w:val="00484F63"/>
    <w:rsid w:val="004850B5"/>
    <w:rsid w:val="00487F5C"/>
    <w:rsid w:val="004912E3"/>
    <w:rsid w:val="004960C2"/>
    <w:rsid w:val="00496FC0"/>
    <w:rsid w:val="0049709E"/>
    <w:rsid w:val="00497699"/>
    <w:rsid w:val="004A15F7"/>
    <w:rsid w:val="004A1D21"/>
    <w:rsid w:val="004A42B6"/>
    <w:rsid w:val="004A5EA5"/>
    <w:rsid w:val="004A647C"/>
    <w:rsid w:val="004A762D"/>
    <w:rsid w:val="004B13A6"/>
    <w:rsid w:val="004B2F66"/>
    <w:rsid w:val="004B3900"/>
    <w:rsid w:val="004B3C29"/>
    <w:rsid w:val="004B5A91"/>
    <w:rsid w:val="004B6648"/>
    <w:rsid w:val="004B778B"/>
    <w:rsid w:val="004B7FC8"/>
    <w:rsid w:val="004C12B7"/>
    <w:rsid w:val="004C2C58"/>
    <w:rsid w:val="004C5541"/>
    <w:rsid w:val="004C5EF6"/>
    <w:rsid w:val="004C7651"/>
    <w:rsid w:val="004C7931"/>
    <w:rsid w:val="004D1C51"/>
    <w:rsid w:val="004D436B"/>
    <w:rsid w:val="004D4FBA"/>
    <w:rsid w:val="004D6799"/>
    <w:rsid w:val="004E0A7B"/>
    <w:rsid w:val="004E0C22"/>
    <w:rsid w:val="004E2655"/>
    <w:rsid w:val="004E3448"/>
    <w:rsid w:val="004E42FB"/>
    <w:rsid w:val="004E6655"/>
    <w:rsid w:val="004E6C45"/>
    <w:rsid w:val="004F06A9"/>
    <w:rsid w:val="004F1661"/>
    <w:rsid w:val="004F238F"/>
    <w:rsid w:val="004F3AA9"/>
    <w:rsid w:val="004F44BE"/>
    <w:rsid w:val="004F5C45"/>
    <w:rsid w:val="00501CA6"/>
    <w:rsid w:val="00505123"/>
    <w:rsid w:val="0050520C"/>
    <w:rsid w:val="0051007E"/>
    <w:rsid w:val="00510B7F"/>
    <w:rsid w:val="00512498"/>
    <w:rsid w:val="00512B29"/>
    <w:rsid w:val="0051361F"/>
    <w:rsid w:val="00514C6C"/>
    <w:rsid w:val="00515639"/>
    <w:rsid w:val="00515A4C"/>
    <w:rsid w:val="00515FC9"/>
    <w:rsid w:val="00516163"/>
    <w:rsid w:val="00521326"/>
    <w:rsid w:val="00521CFA"/>
    <w:rsid w:val="00523184"/>
    <w:rsid w:val="005257DE"/>
    <w:rsid w:val="005265EF"/>
    <w:rsid w:val="005266BC"/>
    <w:rsid w:val="00526EB5"/>
    <w:rsid w:val="00527B77"/>
    <w:rsid w:val="005300BC"/>
    <w:rsid w:val="00531E8A"/>
    <w:rsid w:val="00532120"/>
    <w:rsid w:val="0053550D"/>
    <w:rsid w:val="005366B5"/>
    <w:rsid w:val="00536F63"/>
    <w:rsid w:val="00537EF3"/>
    <w:rsid w:val="00542D4E"/>
    <w:rsid w:val="0054381B"/>
    <w:rsid w:val="00544B2B"/>
    <w:rsid w:val="005478A6"/>
    <w:rsid w:val="00550B1C"/>
    <w:rsid w:val="00550ECD"/>
    <w:rsid w:val="00552191"/>
    <w:rsid w:val="00552896"/>
    <w:rsid w:val="00552EF4"/>
    <w:rsid w:val="005540C5"/>
    <w:rsid w:val="00554DC4"/>
    <w:rsid w:val="005574D5"/>
    <w:rsid w:val="0056179F"/>
    <w:rsid w:val="00561F47"/>
    <w:rsid w:val="0056258A"/>
    <w:rsid w:val="00562ECE"/>
    <w:rsid w:val="005658A0"/>
    <w:rsid w:val="005710F9"/>
    <w:rsid w:val="00574EA5"/>
    <w:rsid w:val="0057534B"/>
    <w:rsid w:val="00575E6F"/>
    <w:rsid w:val="0057642D"/>
    <w:rsid w:val="005775B1"/>
    <w:rsid w:val="00580473"/>
    <w:rsid w:val="005809A0"/>
    <w:rsid w:val="0058598D"/>
    <w:rsid w:val="00587CD4"/>
    <w:rsid w:val="0059043B"/>
    <w:rsid w:val="005908B8"/>
    <w:rsid w:val="005910DC"/>
    <w:rsid w:val="00591552"/>
    <w:rsid w:val="0059260C"/>
    <w:rsid w:val="00592B75"/>
    <w:rsid w:val="00594646"/>
    <w:rsid w:val="0059673B"/>
    <w:rsid w:val="00596997"/>
    <w:rsid w:val="005A19B4"/>
    <w:rsid w:val="005A3737"/>
    <w:rsid w:val="005A5437"/>
    <w:rsid w:val="005A5441"/>
    <w:rsid w:val="005A5CC3"/>
    <w:rsid w:val="005A67FA"/>
    <w:rsid w:val="005A70A5"/>
    <w:rsid w:val="005A7BE6"/>
    <w:rsid w:val="005B002B"/>
    <w:rsid w:val="005B15BB"/>
    <w:rsid w:val="005B39DF"/>
    <w:rsid w:val="005B7870"/>
    <w:rsid w:val="005C03A4"/>
    <w:rsid w:val="005C1A0F"/>
    <w:rsid w:val="005C5256"/>
    <w:rsid w:val="005C68A9"/>
    <w:rsid w:val="005D08CF"/>
    <w:rsid w:val="005D240D"/>
    <w:rsid w:val="005D29EA"/>
    <w:rsid w:val="005D3DBB"/>
    <w:rsid w:val="005D3FB1"/>
    <w:rsid w:val="005D4E56"/>
    <w:rsid w:val="005D647B"/>
    <w:rsid w:val="005D7A3D"/>
    <w:rsid w:val="005E04E1"/>
    <w:rsid w:val="005E0BC7"/>
    <w:rsid w:val="005E3583"/>
    <w:rsid w:val="005E3E75"/>
    <w:rsid w:val="005E4C91"/>
    <w:rsid w:val="005E5F38"/>
    <w:rsid w:val="005E6BD3"/>
    <w:rsid w:val="005E7ADF"/>
    <w:rsid w:val="005F0555"/>
    <w:rsid w:val="005F06EC"/>
    <w:rsid w:val="005F1AE2"/>
    <w:rsid w:val="005F1D26"/>
    <w:rsid w:val="005F678A"/>
    <w:rsid w:val="005F6894"/>
    <w:rsid w:val="005F7775"/>
    <w:rsid w:val="00602128"/>
    <w:rsid w:val="00602CC1"/>
    <w:rsid w:val="00603F2A"/>
    <w:rsid w:val="00605706"/>
    <w:rsid w:val="00606758"/>
    <w:rsid w:val="006067A9"/>
    <w:rsid w:val="00606893"/>
    <w:rsid w:val="0060762E"/>
    <w:rsid w:val="00607C6F"/>
    <w:rsid w:val="006113B8"/>
    <w:rsid w:val="00611ECA"/>
    <w:rsid w:val="00612C91"/>
    <w:rsid w:val="00613D1C"/>
    <w:rsid w:val="0061495E"/>
    <w:rsid w:val="00615218"/>
    <w:rsid w:val="00615D70"/>
    <w:rsid w:val="00617B02"/>
    <w:rsid w:val="00620755"/>
    <w:rsid w:val="00620956"/>
    <w:rsid w:val="00620BE2"/>
    <w:rsid w:val="006233B1"/>
    <w:rsid w:val="00624850"/>
    <w:rsid w:val="00625AD3"/>
    <w:rsid w:val="00625FA5"/>
    <w:rsid w:val="00626C86"/>
    <w:rsid w:val="00630502"/>
    <w:rsid w:val="00630D4D"/>
    <w:rsid w:val="00631F63"/>
    <w:rsid w:val="006342C1"/>
    <w:rsid w:val="00634F75"/>
    <w:rsid w:val="0063550E"/>
    <w:rsid w:val="006423A8"/>
    <w:rsid w:val="006428B0"/>
    <w:rsid w:val="006455E0"/>
    <w:rsid w:val="00645DF9"/>
    <w:rsid w:val="0064706C"/>
    <w:rsid w:val="0064756B"/>
    <w:rsid w:val="006503DB"/>
    <w:rsid w:val="0065442D"/>
    <w:rsid w:val="0065673F"/>
    <w:rsid w:val="0065699E"/>
    <w:rsid w:val="00662775"/>
    <w:rsid w:val="00662822"/>
    <w:rsid w:val="00665C4F"/>
    <w:rsid w:val="006667BB"/>
    <w:rsid w:val="006670C2"/>
    <w:rsid w:val="00672051"/>
    <w:rsid w:val="0067340B"/>
    <w:rsid w:val="0067376B"/>
    <w:rsid w:val="00674024"/>
    <w:rsid w:val="00681272"/>
    <w:rsid w:val="00683C96"/>
    <w:rsid w:val="00684B57"/>
    <w:rsid w:val="00684D53"/>
    <w:rsid w:val="00684F51"/>
    <w:rsid w:val="00687099"/>
    <w:rsid w:val="00696EF4"/>
    <w:rsid w:val="006979BC"/>
    <w:rsid w:val="006A48C5"/>
    <w:rsid w:val="006A764D"/>
    <w:rsid w:val="006A7A49"/>
    <w:rsid w:val="006A7E6B"/>
    <w:rsid w:val="006B20D0"/>
    <w:rsid w:val="006B36EB"/>
    <w:rsid w:val="006B528A"/>
    <w:rsid w:val="006B589E"/>
    <w:rsid w:val="006B6B81"/>
    <w:rsid w:val="006B7012"/>
    <w:rsid w:val="006C0089"/>
    <w:rsid w:val="006C0454"/>
    <w:rsid w:val="006C1962"/>
    <w:rsid w:val="006C4DD2"/>
    <w:rsid w:val="006C5752"/>
    <w:rsid w:val="006C7490"/>
    <w:rsid w:val="006D0520"/>
    <w:rsid w:val="006D2005"/>
    <w:rsid w:val="006D67E8"/>
    <w:rsid w:val="006D7943"/>
    <w:rsid w:val="006D7F39"/>
    <w:rsid w:val="006E2850"/>
    <w:rsid w:val="006E2CD2"/>
    <w:rsid w:val="006E3143"/>
    <w:rsid w:val="006E36FA"/>
    <w:rsid w:val="006E453E"/>
    <w:rsid w:val="006E5C61"/>
    <w:rsid w:val="006E6E7E"/>
    <w:rsid w:val="006E6FB8"/>
    <w:rsid w:val="006E7BBF"/>
    <w:rsid w:val="006F2196"/>
    <w:rsid w:val="006F366D"/>
    <w:rsid w:val="006F5634"/>
    <w:rsid w:val="0070041D"/>
    <w:rsid w:val="00700AC6"/>
    <w:rsid w:val="00702857"/>
    <w:rsid w:val="00702F19"/>
    <w:rsid w:val="00703963"/>
    <w:rsid w:val="007042B5"/>
    <w:rsid w:val="007053F2"/>
    <w:rsid w:val="00712397"/>
    <w:rsid w:val="00715617"/>
    <w:rsid w:val="007158EA"/>
    <w:rsid w:val="007164A5"/>
    <w:rsid w:val="007165B2"/>
    <w:rsid w:val="00717DF1"/>
    <w:rsid w:val="00721D15"/>
    <w:rsid w:val="00722B7F"/>
    <w:rsid w:val="00725FC6"/>
    <w:rsid w:val="007264C5"/>
    <w:rsid w:val="00726BFB"/>
    <w:rsid w:val="00726C57"/>
    <w:rsid w:val="00726E12"/>
    <w:rsid w:val="00726FDA"/>
    <w:rsid w:val="0073090F"/>
    <w:rsid w:val="00731E45"/>
    <w:rsid w:val="00734DFA"/>
    <w:rsid w:val="0073568A"/>
    <w:rsid w:val="00735C42"/>
    <w:rsid w:val="00737282"/>
    <w:rsid w:val="007375D8"/>
    <w:rsid w:val="00737699"/>
    <w:rsid w:val="00740451"/>
    <w:rsid w:val="00740D66"/>
    <w:rsid w:val="0074151B"/>
    <w:rsid w:val="00743437"/>
    <w:rsid w:val="007443E7"/>
    <w:rsid w:val="00750778"/>
    <w:rsid w:val="007526C2"/>
    <w:rsid w:val="0075324F"/>
    <w:rsid w:val="00754287"/>
    <w:rsid w:val="00754E25"/>
    <w:rsid w:val="00755B89"/>
    <w:rsid w:val="00755E34"/>
    <w:rsid w:val="00757F57"/>
    <w:rsid w:val="00760774"/>
    <w:rsid w:val="0076506E"/>
    <w:rsid w:val="00765E1F"/>
    <w:rsid w:val="00765F9F"/>
    <w:rsid w:val="007668DC"/>
    <w:rsid w:val="00770C69"/>
    <w:rsid w:val="007713BE"/>
    <w:rsid w:val="00771CAC"/>
    <w:rsid w:val="00772201"/>
    <w:rsid w:val="00772DC3"/>
    <w:rsid w:val="007737FC"/>
    <w:rsid w:val="00773B09"/>
    <w:rsid w:val="00775DE8"/>
    <w:rsid w:val="00776A85"/>
    <w:rsid w:val="00780A71"/>
    <w:rsid w:val="00781AC3"/>
    <w:rsid w:val="007823B6"/>
    <w:rsid w:val="00782619"/>
    <w:rsid w:val="00784F5D"/>
    <w:rsid w:val="007875D3"/>
    <w:rsid w:val="007917DC"/>
    <w:rsid w:val="007963D9"/>
    <w:rsid w:val="007971B4"/>
    <w:rsid w:val="00797768"/>
    <w:rsid w:val="007A139A"/>
    <w:rsid w:val="007A4262"/>
    <w:rsid w:val="007A68B4"/>
    <w:rsid w:val="007B08E2"/>
    <w:rsid w:val="007B1DAC"/>
    <w:rsid w:val="007B5520"/>
    <w:rsid w:val="007B59FB"/>
    <w:rsid w:val="007C0AF3"/>
    <w:rsid w:val="007C1E5D"/>
    <w:rsid w:val="007C2F19"/>
    <w:rsid w:val="007D0BA0"/>
    <w:rsid w:val="007D0D43"/>
    <w:rsid w:val="007D1D9A"/>
    <w:rsid w:val="007D20AD"/>
    <w:rsid w:val="007D36AF"/>
    <w:rsid w:val="007D4749"/>
    <w:rsid w:val="007D6B28"/>
    <w:rsid w:val="007E0463"/>
    <w:rsid w:val="007E04ED"/>
    <w:rsid w:val="007E0B0D"/>
    <w:rsid w:val="007E0B1D"/>
    <w:rsid w:val="007E18BA"/>
    <w:rsid w:val="007E1D5A"/>
    <w:rsid w:val="007E1E39"/>
    <w:rsid w:val="007E27EF"/>
    <w:rsid w:val="007E6024"/>
    <w:rsid w:val="007E640C"/>
    <w:rsid w:val="007E6AE1"/>
    <w:rsid w:val="007F079A"/>
    <w:rsid w:val="007F130D"/>
    <w:rsid w:val="007F165E"/>
    <w:rsid w:val="007F1C46"/>
    <w:rsid w:val="007F20AE"/>
    <w:rsid w:val="007F3361"/>
    <w:rsid w:val="007F4A0A"/>
    <w:rsid w:val="007F6C85"/>
    <w:rsid w:val="007F7409"/>
    <w:rsid w:val="007F79AC"/>
    <w:rsid w:val="008002D9"/>
    <w:rsid w:val="008006BF"/>
    <w:rsid w:val="008012F9"/>
    <w:rsid w:val="00804799"/>
    <w:rsid w:val="00806058"/>
    <w:rsid w:val="00806488"/>
    <w:rsid w:val="0080651D"/>
    <w:rsid w:val="00807E78"/>
    <w:rsid w:val="00810206"/>
    <w:rsid w:val="0081165F"/>
    <w:rsid w:val="0081198C"/>
    <w:rsid w:val="0081201A"/>
    <w:rsid w:val="00816C9D"/>
    <w:rsid w:val="008211D9"/>
    <w:rsid w:val="00821549"/>
    <w:rsid w:val="0082672C"/>
    <w:rsid w:val="008307FE"/>
    <w:rsid w:val="00830D21"/>
    <w:rsid w:val="00831556"/>
    <w:rsid w:val="008342C5"/>
    <w:rsid w:val="008367FE"/>
    <w:rsid w:val="008402C5"/>
    <w:rsid w:val="00842CC1"/>
    <w:rsid w:val="00843457"/>
    <w:rsid w:val="00845B27"/>
    <w:rsid w:val="00847CBA"/>
    <w:rsid w:val="00847F2C"/>
    <w:rsid w:val="0085170E"/>
    <w:rsid w:val="00854B5F"/>
    <w:rsid w:val="00854E61"/>
    <w:rsid w:val="00855676"/>
    <w:rsid w:val="0085596C"/>
    <w:rsid w:val="00860F5F"/>
    <w:rsid w:val="008620ED"/>
    <w:rsid w:val="008626AD"/>
    <w:rsid w:val="00864424"/>
    <w:rsid w:val="00867210"/>
    <w:rsid w:val="00870462"/>
    <w:rsid w:val="00871130"/>
    <w:rsid w:val="00872607"/>
    <w:rsid w:val="008738B2"/>
    <w:rsid w:val="0087748F"/>
    <w:rsid w:val="0088017C"/>
    <w:rsid w:val="008816E2"/>
    <w:rsid w:val="00882FD1"/>
    <w:rsid w:val="008832DB"/>
    <w:rsid w:val="008849A1"/>
    <w:rsid w:val="008867D5"/>
    <w:rsid w:val="00887279"/>
    <w:rsid w:val="00887FA3"/>
    <w:rsid w:val="008916DD"/>
    <w:rsid w:val="008919FD"/>
    <w:rsid w:val="00892722"/>
    <w:rsid w:val="00894108"/>
    <w:rsid w:val="00894625"/>
    <w:rsid w:val="008953F6"/>
    <w:rsid w:val="008959B6"/>
    <w:rsid w:val="00895F9C"/>
    <w:rsid w:val="00896B1C"/>
    <w:rsid w:val="008A0AAB"/>
    <w:rsid w:val="008A324E"/>
    <w:rsid w:val="008A4A47"/>
    <w:rsid w:val="008A4A53"/>
    <w:rsid w:val="008A586C"/>
    <w:rsid w:val="008A74AB"/>
    <w:rsid w:val="008B20CF"/>
    <w:rsid w:val="008B23EA"/>
    <w:rsid w:val="008B279C"/>
    <w:rsid w:val="008B2FAB"/>
    <w:rsid w:val="008B39A0"/>
    <w:rsid w:val="008B4ABF"/>
    <w:rsid w:val="008B5FA3"/>
    <w:rsid w:val="008B6853"/>
    <w:rsid w:val="008B6A7A"/>
    <w:rsid w:val="008B6D74"/>
    <w:rsid w:val="008C0453"/>
    <w:rsid w:val="008C206A"/>
    <w:rsid w:val="008C262B"/>
    <w:rsid w:val="008C2850"/>
    <w:rsid w:val="008C4E48"/>
    <w:rsid w:val="008C57F3"/>
    <w:rsid w:val="008C5A7D"/>
    <w:rsid w:val="008C5C61"/>
    <w:rsid w:val="008D1EA2"/>
    <w:rsid w:val="008D25F4"/>
    <w:rsid w:val="008D2CAE"/>
    <w:rsid w:val="008D2F80"/>
    <w:rsid w:val="008D40E3"/>
    <w:rsid w:val="008D5FEA"/>
    <w:rsid w:val="008D7CCD"/>
    <w:rsid w:val="008E0B97"/>
    <w:rsid w:val="008E5605"/>
    <w:rsid w:val="008E7E48"/>
    <w:rsid w:val="008F0905"/>
    <w:rsid w:val="008F1EDF"/>
    <w:rsid w:val="008F1FCA"/>
    <w:rsid w:val="008F35B4"/>
    <w:rsid w:val="008F37B3"/>
    <w:rsid w:val="008F3F0F"/>
    <w:rsid w:val="008F4892"/>
    <w:rsid w:val="008F5F55"/>
    <w:rsid w:val="008F6187"/>
    <w:rsid w:val="008F6D52"/>
    <w:rsid w:val="00900B20"/>
    <w:rsid w:val="00901EEF"/>
    <w:rsid w:val="00903AAC"/>
    <w:rsid w:val="00906B31"/>
    <w:rsid w:val="009078BC"/>
    <w:rsid w:val="00910B4A"/>
    <w:rsid w:val="00912516"/>
    <w:rsid w:val="009126D4"/>
    <w:rsid w:val="00914203"/>
    <w:rsid w:val="0091586B"/>
    <w:rsid w:val="00917BFF"/>
    <w:rsid w:val="009207BB"/>
    <w:rsid w:val="009223D0"/>
    <w:rsid w:val="00922A12"/>
    <w:rsid w:val="00924276"/>
    <w:rsid w:val="00926E45"/>
    <w:rsid w:val="00927658"/>
    <w:rsid w:val="00927EE0"/>
    <w:rsid w:val="009301C4"/>
    <w:rsid w:val="00933CAD"/>
    <w:rsid w:val="00936C24"/>
    <w:rsid w:val="00936F09"/>
    <w:rsid w:val="00937A1E"/>
    <w:rsid w:val="0094040E"/>
    <w:rsid w:val="00941C85"/>
    <w:rsid w:val="00942C35"/>
    <w:rsid w:val="00943CC5"/>
    <w:rsid w:val="0094549C"/>
    <w:rsid w:val="009457E7"/>
    <w:rsid w:val="00945AE0"/>
    <w:rsid w:val="00945D57"/>
    <w:rsid w:val="009509B0"/>
    <w:rsid w:val="009524E8"/>
    <w:rsid w:val="00953777"/>
    <w:rsid w:val="00953A7C"/>
    <w:rsid w:val="00954BF3"/>
    <w:rsid w:val="00956C27"/>
    <w:rsid w:val="009570F3"/>
    <w:rsid w:val="00957419"/>
    <w:rsid w:val="009604C5"/>
    <w:rsid w:val="00961040"/>
    <w:rsid w:val="00961DA9"/>
    <w:rsid w:val="009629F3"/>
    <w:rsid w:val="00962B87"/>
    <w:rsid w:val="00964715"/>
    <w:rsid w:val="009654A6"/>
    <w:rsid w:val="00970A17"/>
    <w:rsid w:val="0097201F"/>
    <w:rsid w:val="0097328D"/>
    <w:rsid w:val="00973987"/>
    <w:rsid w:val="0097488E"/>
    <w:rsid w:val="00974CF5"/>
    <w:rsid w:val="0097509B"/>
    <w:rsid w:val="009757AE"/>
    <w:rsid w:val="00980842"/>
    <w:rsid w:val="00985304"/>
    <w:rsid w:val="00987DCA"/>
    <w:rsid w:val="00991DB1"/>
    <w:rsid w:val="0099333B"/>
    <w:rsid w:val="00994893"/>
    <w:rsid w:val="00997F1B"/>
    <w:rsid w:val="009A24F6"/>
    <w:rsid w:val="009A2D37"/>
    <w:rsid w:val="009A367F"/>
    <w:rsid w:val="009A36CB"/>
    <w:rsid w:val="009A49C9"/>
    <w:rsid w:val="009A64A3"/>
    <w:rsid w:val="009B1C9B"/>
    <w:rsid w:val="009B44CC"/>
    <w:rsid w:val="009B5434"/>
    <w:rsid w:val="009B5459"/>
    <w:rsid w:val="009B62B3"/>
    <w:rsid w:val="009B6BCC"/>
    <w:rsid w:val="009C2555"/>
    <w:rsid w:val="009C26FC"/>
    <w:rsid w:val="009C31D9"/>
    <w:rsid w:val="009C3646"/>
    <w:rsid w:val="009C7DCE"/>
    <w:rsid w:val="009D001B"/>
    <w:rsid w:val="009D0B8D"/>
    <w:rsid w:val="009E25B3"/>
    <w:rsid w:val="009E3DA7"/>
    <w:rsid w:val="009E6F8C"/>
    <w:rsid w:val="009F07B6"/>
    <w:rsid w:val="009F24F2"/>
    <w:rsid w:val="009F2A77"/>
    <w:rsid w:val="009F6515"/>
    <w:rsid w:val="009F6D35"/>
    <w:rsid w:val="00A01970"/>
    <w:rsid w:val="00A06640"/>
    <w:rsid w:val="00A0684F"/>
    <w:rsid w:val="00A11843"/>
    <w:rsid w:val="00A1269E"/>
    <w:rsid w:val="00A13104"/>
    <w:rsid w:val="00A13553"/>
    <w:rsid w:val="00A14E59"/>
    <w:rsid w:val="00A1606B"/>
    <w:rsid w:val="00A16144"/>
    <w:rsid w:val="00A16888"/>
    <w:rsid w:val="00A170B5"/>
    <w:rsid w:val="00A1796E"/>
    <w:rsid w:val="00A21819"/>
    <w:rsid w:val="00A238ED"/>
    <w:rsid w:val="00A252F8"/>
    <w:rsid w:val="00A25679"/>
    <w:rsid w:val="00A2572D"/>
    <w:rsid w:val="00A26AD9"/>
    <w:rsid w:val="00A272E1"/>
    <w:rsid w:val="00A30822"/>
    <w:rsid w:val="00A31F52"/>
    <w:rsid w:val="00A323E4"/>
    <w:rsid w:val="00A3474A"/>
    <w:rsid w:val="00A378BA"/>
    <w:rsid w:val="00A41F7D"/>
    <w:rsid w:val="00A453F0"/>
    <w:rsid w:val="00A45698"/>
    <w:rsid w:val="00A463F7"/>
    <w:rsid w:val="00A46728"/>
    <w:rsid w:val="00A47256"/>
    <w:rsid w:val="00A47EE5"/>
    <w:rsid w:val="00A50CFB"/>
    <w:rsid w:val="00A51121"/>
    <w:rsid w:val="00A5380A"/>
    <w:rsid w:val="00A56798"/>
    <w:rsid w:val="00A579B1"/>
    <w:rsid w:val="00A60EBD"/>
    <w:rsid w:val="00A6239B"/>
    <w:rsid w:val="00A63B2C"/>
    <w:rsid w:val="00A643BC"/>
    <w:rsid w:val="00A67126"/>
    <w:rsid w:val="00A67626"/>
    <w:rsid w:val="00A67884"/>
    <w:rsid w:val="00A71372"/>
    <w:rsid w:val="00A71496"/>
    <w:rsid w:val="00A71569"/>
    <w:rsid w:val="00A7392D"/>
    <w:rsid w:val="00A75247"/>
    <w:rsid w:val="00A752CD"/>
    <w:rsid w:val="00A76250"/>
    <w:rsid w:val="00A76D22"/>
    <w:rsid w:val="00A77BEC"/>
    <w:rsid w:val="00A80128"/>
    <w:rsid w:val="00A82AB7"/>
    <w:rsid w:val="00A845AF"/>
    <w:rsid w:val="00A84A76"/>
    <w:rsid w:val="00A854F8"/>
    <w:rsid w:val="00A85ED1"/>
    <w:rsid w:val="00A87AAB"/>
    <w:rsid w:val="00A90E5B"/>
    <w:rsid w:val="00A911AC"/>
    <w:rsid w:val="00A92117"/>
    <w:rsid w:val="00A92867"/>
    <w:rsid w:val="00AA0346"/>
    <w:rsid w:val="00AA1DB3"/>
    <w:rsid w:val="00AA29FD"/>
    <w:rsid w:val="00AA38A8"/>
    <w:rsid w:val="00AA466E"/>
    <w:rsid w:val="00AA5083"/>
    <w:rsid w:val="00AA5374"/>
    <w:rsid w:val="00AA5EBE"/>
    <w:rsid w:val="00AA7824"/>
    <w:rsid w:val="00AA7E54"/>
    <w:rsid w:val="00AB325F"/>
    <w:rsid w:val="00AB685F"/>
    <w:rsid w:val="00AB6CB9"/>
    <w:rsid w:val="00AB7664"/>
    <w:rsid w:val="00AB7D7E"/>
    <w:rsid w:val="00AC0C66"/>
    <w:rsid w:val="00AC1558"/>
    <w:rsid w:val="00AC2FE9"/>
    <w:rsid w:val="00AC462E"/>
    <w:rsid w:val="00AC518E"/>
    <w:rsid w:val="00AC7441"/>
    <w:rsid w:val="00AC7655"/>
    <w:rsid w:val="00AD12A7"/>
    <w:rsid w:val="00AD1E4F"/>
    <w:rsid w:val="00AD202B"/>
    <w:rsid w:val="00AD226E"/>
    <w:rsid w:val="00AD3DE3"/>
    <w:rsid w:val="00AD5CA0"/>
    <w:rsid w:val="00AD624A"/>
    <w:rsid w:val="00AD6AA1"/>
    <w:rsid w:val="00AE0676"/>
    <w:rsid w:val="00AE0793"/>
    <w:rsid w:val="00AE276D"/>
    <w:rsid w:val="00AE4858"/>
    <w:rsid w:val="00AE4A5C"/>
    <w:rsid w:val="00AE66D3"/>
    <w:rsid w:val="00AE7EEC"/>
    <w:rsid w:val="00AF0835"/>
    <w:rsid w:val="00AF4651"/>
    <w:rsid w:val="00AF4A36"/>
    <w:rsid w:val="00AF4DCB"/>
    <w:rsid w:val="00AF5C95"/>
    <w:rsid w:val="00AF610D"/>
    <w:rsid w:val="00AF653F"/>
    <w:rsid w:val="00AF70E9"/>
    <w:rsid w:val="00AF7A0A"/>
    <w:rsid w:val="00B01759"/>
    <w:rsid w:val="00B01967"/>
    <w:rsid w:val="00B01DF4"/>
    <w:rsid w:val="00B02624"/>
    <w:rsid w:val="00B04727"/>
    <w:rsid w:val="00B053F8"/>
    <w:rsid w:val="00B05F65"/>
    <w:rsid w:val="00B070E3"/>
    <w:rsid w:val="00B07AE6"/>
    <w:rsid w:val="00B103E8"/>
    <w:rsid w:val="00B11AC9"/>
    <w:rsid w:val="00B12655"/>
    <w:rsid w:val="00B133F6"/>
    <w:rsid w:val="00B210C6"/>
    <w:rsid w:val="00B2272F"/>
    <w:rsid w:val="00B2421C"/>
    <w:rsid w:val="00B24F41"/>
    <w:rsid w:val="00B277FD"/>
    <w:rsid w:val="00B2784A"/>
    <w:rsid w:val="00B30F9C"/>
    <w:rsid w:val="00B334F4"/>
    <w:rsid w:val="00B33A32"/>
    <w:rsid w:val="00B350B4"/>
    <w:rsid w:val="00B36D16"/>
    <w:rsid w:val="00B3720C"/>
    <w:rsid w:val="00B37CF8"/>
    <w:rsid w:val="00B41592"/>
    <w:rsid w:val="00B42576"/>
    <w:rsid w:val="00B435DD"/>
    <w:rsid w:val="00B44158"/>
    <w:rsid w:val="00B44481"/>
    <w:rsid w:val="00B46CE2"/>
    <w:rsid w:val="00B479F2"/>
    <w:rsid w:val="00B50008"/>
    <w:rsid w:val="00B50053"/>
    <w:rsid w:val="00B53155"/>
    <w:rsid w:val="00B5449C"/>
    <w:rsid w:val="00B562BD"/>
    <w:rsid w:val="00B56E4F"/>
    <w:rsid w:val="00B57F6A"/>
    <w:rsid w:val="00B60B52"/>
    <w:rsid w:val="00B62626"/>
    <w:rsid w:val="00B635DC"/>
    <w:rsid w:val="00B64457"/>
    <w:rsid w:val="00B6455A"/>
    <w:rsid w:val="00B64959"/>
    <w:rsid w:val="00B67AD0"/>
    <w:rsid w:val="00B7140F"/>
    <w:rsid w:val="00B71A6E"/>
    <w:rsid w:val="00B73DC2"/>
    <w:rsid w:val="00B7480E"/>
    <w:rsid w:val="00B75772"/>
    <w:rsid w:val="00B8294A"/>
    <w:rsid w:val="00B82C5A"/>
    <w:rsid w:val="00B82F6A"/>
    <w:rsid w:val="00B85735"/>
    <w:rsid w:val="00B87D20"/>
    <w:rsid w:val="00B91FB7"/>
    <w:rsid w:val="00B92CB3"/>
    <w:rsid w:val="00B93FB5"/>
    <w:rsid w:val="00B94EB3"/>
    <w:rsid w:val="00B95A19"/>
    <w:rsid w:val="00B95C8D"/>
    <w:rsid w:val="00BA0DC6"/>
    <w:rsid w:val="00BA1331"/>
    <w:rsid w:val="00BA2B5D"/>
    <w:rsid w:val="00BA417C"/>
    <w:rsid w:val="00BA782C"/>
    <w:rsid w:val="00BA7B5C"/>
    <w:rsid w:val="00BB0805"/>
    <w:rsid w:val="00BB0AFF"/>
    <w:rsid w:val="00BB1004"/>
    <w:rsid w:val="00BB5345"/>
    <w:rsid w:val="00BB5CA7"/>
    <w:rsid w:val="00BB64F9"/>
    <w:rsid w:val="00BB6827"/>
    <w:rsid w:val="00BB7378"/>
    <w:rsid w:val="00BB7A0E"/>
    <w:rsid w:val="00BC5F33"/>
    <w:rsid w:val="00BD088B"/>
    <w:rsid w:val="00BD0FFE"/>
    <w:rsid w:val="00BD13B7"/>
    <w:rsid w:val="00BD15F4"/>
    <w:rsid w:val="00BD18B3"/>
    <w:rsid w:val="00BD18BF"/>
    <w:rsid w:val="00BD337C"/>
    <w:rsid w:val="00BD57B3"/>
    <w:rsid w:val="00BD6DC2"/>
    <w:rsid w:val="00BD6FD2"/>
    <w:rsid w:val="00BE1AE9"/>
    <w:rsid w:val="00BE2A58"/>
    <w:rsid w:val="00BE414C"/>
    <w:rsid w:val="00BE4FB7"/>
    <w:rsid w:val="00BF0722"/>
    <w:rsid w:val="00BF1301"/>
    <w:rsid w:val="00BF1A0D"/>
    <w:rsid w:val="00BF236C"/>
    <w:rsid w:val="00BF3CC5"/>
    <w:rsid w:val="00BF3CF1"/>
    <w:rsid w:val="00BF4FE8"/>
    <w:rsid w:val="00BF5C27"/>
    <w:rsid w:val="00BF6980"/>
    <w:rsid w:val="00C0113A"/>
    <w:rsid w:val="00C020E4"/>
    <w:rsid w:val="00C0351C"/>
    <w:rsid w:val="00C10098"/>
    <w:rsid w:val="00C106C0"/>
    <w:rsid w:val="00C1167C"/>
    <w:rsid w:val="00C12593"/>
    <w:rsid w:val="00C13B3E"/>
    <w:rsid w:val="00C13E4D"/>
    <w:rsid w:val="00C1417D"/>
    <w:rsid w:val="00C154CD"/>
    <w:rsid w:val="00C15C97"/>
    <w:rsid w:val="00C174C1"/>
    <w:rsid w:val="00C20DE1"/>
    <w:rsid w:val="00C219AA"/>
    <w:rsid w:val="00C2354D"/>
    <w:rsid w:val="00C24A7D"/>
    <w:rsid w:val="00C24B72"/>
    <w:rsid w:val="00C25F53"/>
    <w:rsid w:val="00C35EFE"/>
    <w:rsid w:val="00C37D24"/>
    <w:rsid w:val="00C37F97"/>
    <w:rsid w:val="00C4059F"/>
    <w:rsid w:val="00C408C4"/>
    <w:rsid w:val="00C410B1"/>
    <w:rsid w:val="00C4213C"/>
    <w:rsid w:val="00C4350B"/>
    <w:rsid w:val="00C44873"/>
    <w:rsid w:val="00C4641A"/>
    <w:rsid w:val="00C46EDB"/>
    <w:rsid w:val="00C472F6"/>
    <w:rsid w:val="00C478EA"/>
    <w:rsid w:val="00C50D1C"/>
    <w:rsid w:val="00C50F6A"/>
    <w:rsid w:val="00C515BF"/>
    <w:rsid w:val="00C51667"/>
    <w:rsid w:val="00C51AB3"/>
    <w:rsid w:val="00C55499"/>
    <w:rsid w:val="00C63858"/>
    <w:rsid w:val="00C639BC"/>
    <w:rsid w:val="00C665D3"/>
    <w:rsid w:val="00C70FBB"/>
    <w:rsid w:val="00C72778"/>
    <w:rsid w:val="00C73219"/>
    <w:rsid w:val="00C7466C"/>
    <w:rsid w:val="00C762ED"/>
    <w:rsid w:val="00C7784B"/>
    <w:rsid w:val="00C85449"/>
    <w:rsid w:val="00C867E3"/>
    <w:rsid w:val="00C86884"/>
    <w:rsid w:val="00C87C45"/>
    <w:rsid w:val="00C87ED2"/>
    <w:rsid w:val="00C905DA"/>
    <w:rsid w:val="00C90E85"/>
    <w:rsid w:val="00C91C5C"/>
    <w:rsid w:val="00C92473"/>
    <w:rsid w:val="00C96C42"/>
    <w:rsid w:val="00C97581"/>
    <w:rsid w:val="00C97CC6"/>
    <w:rsid w:val="00CA0F1A"/>
    <w:rsid w:val="00CA1B1C"/>
    <w:rsid w:val="00CA1E0F"/>
    <w:rsid w:val="00CA4AF1"/>
    <w:rsid w:val="00CA6419"/>
    <w:rsid w:val="00CA6E03"/>
    <w:rsid w:val="00CA72AA"/>
    <w:rsid w:val="00CA746B"/>
    <w:rsid w:val="00CA7CDE"/>
    <w:rsid w:val="00CB06BB"/>
    <w:rsid w:val="00CB1E3B"/>
    <w:rsid w:val="00CB4FDE"/>
    <w:rsid w:val="00CB5464"/>
    <w:rsid w:val="00CC00E1"/>
    <w:rsid w:val="00CC46DF"/>
    <w:rsid w:val="00CC4789"/>
    <w:rsid w:val="00CD27BC"/>
    <w:rsid w:val="00CD4CBB"/>
    <w:rsid w:val="00CD5D67"/>
    <w:rsid w:val="00CD759D"/>
    <w:rsid w:val="00CE4266"/>
    <w:rsid w:val="00CE5204"/>
    <w:rsid w:val="00CE5E14"/>
    <w:rsid w:val="00CF15D2"/>
    <w:rsid w:val="00CF34DF"/>
    <w:rsid w:val="00CF4810"/>
    <w:rsid w:val="00CF5A78"/>
    <w:rsid w:val="00CF78EF"/>
    <w:rsid w:val="00D01745"/>
    <w:rsid w:val="00D025F2"/>
    <w:rsid w:val="00D02DE8"/>
    <w:rsid w:val="00D0308A"/>
    <w:rsid w:val="00D03B30"/>
    <w:rsid w:val="00D04C1C"/>
    <w:rsid w:val="00D04D5B"/>
    <w:rsid w:val="00D0638F"/>
    <w:rsid w:val="00D0702F"/>
    <w:rsid w:val="00D10B3A"/>
    <w:rsid w:val="00D123BD"/>
    <w:rsid w:val="00D167F4"/>
    <w:rsid w:val="00D234EE"/>
    <w:rsid w:val="00D25371"/>
    <w:rsid w:val="00D2740E"/>
    <w:rsid w:val="00D33FFE"/>
    <w:rsid w:val="00D3449C"/>
    <w:rsid w:val="00D34FCB"/>
    <w:rsid w:val="00D35267"/>
    <w:rsid w:val="00D4032F"/>
    <w:rsid w:val="00D42739"/>
    <w:rsid w:val="00D4391C"/>
    <w:rsid w:val="00D43C56"/>
    <w:rsid w:val="00D43D65"/>
    <w:rsid w:val="00D453FB"/>
    <w:rsid w:val="00D46044"/>
    <w:rsid w:val="00D477A3"/>
    <w:rsid w:val="00D51705"/>
    <w:rsid w:val="00D5213B"/>
    <w:rsid w:val="00D526CA"/>
    <w:rsid w:val="00D5333B"/>
    <w:rsid w:val="00D54153"/>
    <w:rsid w:val="00D55795"/>
    <w:rsid w:val="00D56622"/>
    <w:rsid w:val="00D57440"/>
    <w:rsid w:val="00D630CD"/>
    <w:rsid w:val="00D6364F"/>
    <w:rsid w:val="00D644BB"/>
    <w:rsid w:val="00D65C2D"/>
    <w:rsid w:val="00D66489"/>
    <w:rsid w:val="00D67D88"/>
    <w:rsid w:val="00D713C4"/>
    <w:rsid w:val="00D72330"/>
    <w:rsid w:val="00D7388A"/>
    <w:rsid w:val="00D74086"/>
    <w:rsid w:val="00D75B52"/>
    <w:rsid w:val="00D76E15"/>
    <w:rsid w:val="00D77259"/>
    <w:rsid w:val="00D84BDC"/>
    <w:rsid w:val="00D879FE"/>
    <w:rsid w:val="00D9116E"/>
    <w:rsid w:val="00D91B4F"/>
    <w:rsid w:val="00D9510B"/>
    <w:rsid w:val="00D96700"/>
    <w:rsid w:val="00D969EB"/>
    <w:rsid w:val="00D96C0C"/>
    <w:rsid w:val="00D973C7"/>
    <w:rsid w:val="00DA1B3C"/>
    <w:rsid w:val="00DA35C7"/>
    <w:rsid w:val="00DA35CB"/>
    <w:rsid w:val="00DA3711"/>
    <w:rsid w:val="00DA4BF7"/>
    <w:rsid w:val="00DA5107"/>
    <w:rsid w:val="00DA5820"/>
    <w:rsid w:val="00DA623D"/>
    <w:rsid w:val="00DA6253"/>
    <w:rsid w:val="00DA782C"/>
    <w:rsid w:val="00DB1094"/>
    <w:rsid w:val="00DB16C8"/>
    <w:rsid w:val="00DB5E85"/>
    <w:rsid w:val="00DB6528"/>
    <w:rsid w:val="00DB6535"/>
    <w:rsid w:val="00DB6718"/>
    <w:rsid w:val="00DC07ED"/>
    <w:rsid w:val="00DC3119"/>
    <w:rsid w:val="00DC31BF"/>
    <w:rsid w:val="00DC3E36"/>
    <w:rsid w:val="00DC446A"/>
    <w:rsid w:val="00DC606D"/>
    <w:rsid w:val="00DC6721"/>
    <w:rsid w:val="00DC6BD7"/>
    <w:rsid w:val="00DC6C2F"/>
    <w:rsid w:val="00DD1E8D"/>
    <w:rsid w:val="00DD2B86"/>
    <w:rsid w:val="00DD372F"/>
    <w:rsid w:val="00DD6458"/>
    <w:rsid w:val="00DE1A0A"/>
    <w:rsid w:val="00DE20B9"/>
    <w:rsid w:val="00DE3D0B"/>
    <w:rsid w:val="00DE3F15"/>
    <w:rsid w:val="00DE5FD2"/>
    <w:rsid w:val="00DF34D4"/>
    <w:rsid w:val="00DF4094"/>
    <w:rsid w:val="00DF5971"/>
    <w:rsid w:val="00DF5B59"/>
    <w:rsid w:val="00E0030C"/>
    <w:rsid w:val="00E03496"/>
    <w:rsid w:val="00E04FB8"/>
    <w:rsid w:val="00E07FF5"/>
    <w:rsid w:val="00E10EAE"/>
    <w:rsid w:val="00E128D4"/>
    <w:rsid w:val="00E12A27"/>
    <w:rsid w:val="00E161B4"/>
    <w:rsid w:val="00E16666"/>
    <w:rsid w:val="00E2618A"/>
    <w:rsid w:val="00E328FA"/>
    <w:rsid w:val="00E34619"/>
    <w:rsid w:val="00E34D2C"/>
    <w:rsid w:val="00E35753"/>
    <w:rsid w:val="00E361C4"/>
    <w:rsid w:val="00E37287"/>
    <w:rsid w:val="00E4154C"/>
    <w:rsid w:val="00E418B7"/>
    <w:rsid w:val="00E45062"/>
    <w:rsid w:val="00E45FB6"/>
    <w:rsid w:val="00E465F8"/>
    <w:rsid w:val="00E46812"/>
    <w:rsid w:val="00E46A59"/>
    <w:rsid w:val="00E47E98"/>
    <w:rsid w:val="00E509C5"/>
    <w:rsid w:val="00E51FB2"/>
    <w:rsid w:val="00E520DF"/>
    <w:rsid w:val="00E52474"/>
    <w:rsid w:val="00E55BF9"/>
    <w:rsid w:val="00E565E3"/>
    <w:rsid w:val="00E612A4"/>
    <w:rsid w:val="00E63108"/>
    <w:rsid w:val="00E678BC"/>
    <w:rsid w:val="00E718C7"/>
    <w:rsid w:val="00E71A41"/>
    <w:rsid w:val="00E72403"/>
    <w:rsid w:val="00E73DB9"/>
    <w:rsid w:val="00E747D0"/>
    <w:rsid w:val="00E748AD"/>
    <w:rsid w:val="00E7492D"/>
    <w:rsid w:val="00E85C39"/>
    <w:rsid w:val="00E86000"/>
    <w:rsid w:val="00E86E86"/>
    <w:rsid w:val="00E90E0D"/>
    <w:rsid w:val="00E91CB3"/>
    <w:rsid w:val="00E92553"/>
    <w:rsid w:val="00E93290"/>
    <w:rsid w:val="00E93590"/>
    <w:rsid w:val="00E94327"/>
    <w:rsid w:val="00E960DA"/>
    <w:rsid w:val="00E965A8"/>
    <w:rsid w:val="00E9682D"/>
    <w:rsid w:val="00E97B20"/>
    <w:rsid w:val="00EA017A"/>
    <w:rsid w:val="00EA0F4E"/>
    <w:rsid w:val="00EA3F60"/>
    <w:rsid w:val="00EA62BC"/>
    <w:rsid w:val="00EA6650"/>
    <w:rsid w:val="00EA69C7"/>
    <w:rsid w:val="00EA714E"/>
    <w:rsid w:val="00EB1BFD"/>
    <w:rsid w:val="00EB3914"/>
    <w:rsid w:val="00EB3BE9"/>
    <w:rsid w:val="00EB40CA"/>
    <w:rsid w:val="00EC03E6"/>
    <w:rsid w:val="00EC143B"/>
    <w:rsid w:val="00EC20CF"/>
    <w:rsid w:val="00ED0103"/>
    <w:rsid w:val="00ED4C24"/>
    <w:rsid w:val="00ED5624"/>
    <w:rsid w:val="00ED591D"/>
    <w:rsid w:val="00ED6043"/>
    <w:rsid w:val="00ED687F"/>
    <w:rsid w:val="00ED6A1A"/>
    <w:rsid w:val="00ED7243"/>
    <w:rsid w:val="00ED741A"/>
    <w:rsid w:val="00EE3065"/>
    <w:rsid w:val="00EE4168"/>
    <w:rsid w:val="00EE5004"/>
    <w:rsid w:val="00EE5237"/>
    <w:rsid w:val="00EE564C"/>
    <w:rsid w:val="00EE5F54"/>
    <w:rsid w:val="00EF1B48"/>
    <w:rsid w:val="00EF3BC0"/>
    <w:rsid w:val="00EF4434"/>
    <w:rsid w:val="00EF5F3A"/>
    <w:rsid w:val="00EF67F9"/>
    <w:rsid w:val="00EF7E5C"/>
    <w:rsid w:val="00F00B8E"/>
    <w:rsid w:val="00F01A39"/>
    <w:rsid w:val="00F02A1F"/>
    <w:rsid w:val="00F02E94"/>
    <w:rsid w:val="00F0315D"/>
    <w:rsid w:val="00F050CE"/>
    <w:rsid w:val="00F05695"/>
    <w:rsid w:val="00F07ED8"/>
    <w:rsid w:val="00F142A7"/>
    <w:rsid w:val="00F15A36"/>
    <w:rsid w:val="00F163C2"/>
    <w:rsid w:val="00F16C4A"/>
    <w:rsid w:val="00F209F9"/>
    <w:rsid w:val="00F20A56"/>
    <w:rsid w:val="00F21CF3"/>
    <w:rsid w:val="00F236A1"/>
    <w:rsid w:val="00F30831"/>
    <w:rsid w:val="00F30A47"/>
    <w:rsid w:val="00F34217"/>
    <w:rsid w:val="00F34E80"/>
    <w:rsid w:val="00F4244A"/>
    <w:rsid w:val="00F42E30"/>
    <w:rsid w:val="00F42ECD"/>
    <w:rsid w:val="00F442D0"/>
    <w:rsid w:val="00F45670"/>
    <w:rsid w:val="00F456F4"/>
    <w:rsid w:val="00F45C9F"/>
    <w:rsid w:val="00F46A20"/>
    <w:rsid w:val="00F46ED7"/>
    <w:rsid w:val="00F47F46"/>
    <w:rsid w:val="00F503DC"/>
    <w:rsid w:val="00F50603"/>
    <w:rsid w:val="00F50832"/>
    <w:rsid w:val="00F51AAC"/>
    <w:rsid w:val="00F52564"/>
    <w:rsid w:val="00F5370A"/>
    <w:rsid w:val="00F53900"/>
    <w:rsid w:val="00F53CAB"/>
    <w:rsid w:val="00F546BD"/>
    <w:rsid w:val="00F614B2"/>
    <w:rsid w:val="00F61582"/>
    <w:rsid w:val="00F61646"/>
    <w:rsid w:val="00F61AA5"/>
    <w:rsid w:val="00F61F68"/>
    <w:rsid w:val="00F623EF"/>
    <w:rsid w:val="00F63772"/>
    <w:rsid w:val="00F63CC7"/>
    <w:rsid w:val="00F64EAF"/>
    <w:rsid w:val="00F64F71"/>
    <w:rsid w:val="00F67C58"/>
    <w:rsid w:val="00F703EF"/>
    <w:rsid w:val="00F75D17"/>
    <w:rsid w:val="00F76694"/>
    <w:rsid w:val="00F773DB"/>
    <w:rsid w:val="00F77F27"/>
    <w:rsid w:val="00F819DB"/>
    <w:rsid w:val="00F836B0"/>
    <w:rsid w:val="00F8380C"/>
    <w:rsid w:val="00F856DC"/>
    <w:rsid w:val="00F857B8"/>
    <w:rsid w:val="00F90739"/>
    <w:rsid w:val="00F9105F"/>
    <w:rsid w:val="00F9275F"/>
    <w:rsid w:val="00F9290C"/>
    <w:rsid w:val="00F92E83"/>
    <w:rsid w:val="00FA1A8B"/>
    <w:rsid w:val="00FA1DBB"/>
    <w:rsid w:val="00FA3205"/>
    <w:rsid w:val="00FA3898"/>
    <w:rsid w:val="00FA3F0F"/>
    <w:rsid w:val="00FA4277"/>
    <w:rsid w:val="00FA54D1"/>
    <w:rsid w:val="00FB0193"/>
    <w:rsid w:val="00FB0B07"/>
    <w:rsid w:val="00FB4118"/>
    <w:rsid w:val="00FB4848"/>
    <w:rsid w:val="00FB48BA"/>
    <w:rsid w:val="00FB7731"/>
    <w:rsid w:val="00FC03AE"/>
    <w:rsid w:val="00FC0988"/>
    <w:rsid w:val="00FC2907"/>
    <w:rsid w:val="00FC37C6"/>
    <w:rsid w:val="00FC4AEE"/>
    <w:rsid w:val="00FC5017"/>
    <w:rsid w:val="00FC5D45"/>
    <w:rsid w:val="00FC72F0"/>
    <w:rsid w:val="00FC7BD1"/>
    <w:rsid w:val="00FD0BEC"/>
    <w:rsid w:val="00FD2E89"/>
    <w:rsid w:val="00FD2EB2"/>
    <w:rsid w:val="00FD57DE"/>
    <w:rsid w:val="00FD680D"/>
    <w:rsid w:val="00FD6B1D"/>
    <w:rsid w:val="00FE005F"/>
    <w:rsid w:val="00FE01E6"/>
    <w:rsid w:val="00FE1387"/>
    <w:rsid w:val="00FE13D5"/>
    <w:rsid w:val="00FE4957"/>
    <w:rsid w:val="00FE56F0"/>
    <w:rsid w:val="00FE6803"/>
    <w:rsid w:val="00FE6831"/>
    <w:rsid w:val="00FE6BA1"/>
    <w:rsid w:val="00FE7671"/>
    <w:rsid w:val="00FE7CC0"/>
    <w:rsid w:val="00FF041D"/>
    <w:rsid w:val="00FF1AD2"/>
    <w:rsid w:val="00FF1C71"/>
    <w:rsid w:val="00FF3B58"/>
    <w:rsid w:val="00FF5856"/>
    <w:rsid w:val="00FF5AE9"/>
    <w:rsid w:val="00FF5E15"/>
    <w:rsid w:val="00FF651E"/>
    <w:rsid w:val="00FF69F6"/>
    <w:rsid w:val="00FF7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A1FD5"/>
  <w15:chartTrackingRefBased/>
  <w15:docId w15:val="{A185C9FA-7FBE-4590-9915-6B5C62D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1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1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51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051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1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1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0512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0512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05123"/>
    <w:pPr>
      <w:ind w:left="720"/>
      <w:contextualSpacing/>
    </w:pPr>
  </w:style>
  <w:style w:type="paragraph" w:styleId="Header">
    <w:name w:val="header"/>
    <w:basedOn w:val="Normal"/>
    <w:link w:val="HeaderChar"/>
    <w:uiPriority w:val="99"/>
    <w:unhideWhenUsed/>
    <w:rsid w:val="004E6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C45"/>
  </w:style>
  <w:style w:type="paragraph" w:styleId="Footer">
    <w:name w:val="footer"/>
    <w:basedOn w:val="Normal"/>
    <w:link w:val="FooterChar"/>
    <w:uiPriority w:val="99"/>
    <w:unhideWhenUsed/>
    <w:rsid w:val="004E6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C45"/>
  </w:style>
  <w:style w:type="table" w:styleId="TableGrid">
    <w:name w:val="Table Grid"/>
    <w:basedOn w:val="TableNormal"/>
    <w:uiPriority w:val="59"/>
    <w:rsid w:val="00D9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29"/>
    <w:rPr>
      <w:rFonts w:ascii="Segoe UI" w:hAnsi="Segoe UI" w:cs="Segoe UI"/>
      <w:sz w:val="18"/>
      <w:szCs w:val="18"/>
    </w:rPr>
  </w:style>
  <w:style w:type="paragraph" w:customStyle="1" w:styleId="Bullet1">
    <w:name w:val="Bullet 1"/>
    <w:basedOn w:val="ListParagraph"/>
    <w:qFormat/>
    <w:rsid w:val="00B24F41"/>
    <w:pPr>
      <w:numPr>
        <w:numId w:val="13"/>
      </w:numPr>
      <w:spacing w:beforeLines="20" w:before="48" w:after="0" w:line="240" w:lineRule="auto"/>
      <w:ind w:left="900"/>
      <w:contextualSpacing w:val="0"/>
    </w:pPr>
    <w:rPr>
      <w:rFonts w:asciiTheme="majorHAnsi" w:eastAsiaTheme="minorHAnsi" w:hAnsiTheme="majorHAnsi" w:cs="Arial"/>
      <w:sz w:val="20"/>
      <w:szCs w:val="20"/>
      <w:lang w:eastAsia="en-US"/>
    </w:rPr>
  </w:style>
  <w:style w:type="paragraph" w:customStyle="1" w:styleId="Bullet2">
    <w:name w:val="Bullet 2"/>
    <w:basedOn w:val="ListParagraph"/>
    <w:rsid w:val="00B24F41"/>
    <w:pPr>
      <w:numPr>
        <w:ilvl w:val="1"/>
        <w:numId w:val="13"/>
      </w:numPr>
      <w:spacing w:beforeLines="20" w:before="48" w:after="0" w:line="240" w:lineRule="auto"/>
      <w:ind w:left="1260"/>
      <w:contextualSpacing w:val="0"/>
    </w:pPr>
    <w:rPr>
      <w:rFonts w:ascii="Arial" w:eastAsiaTheme="minorHAnsi" w:hAnsi="Arial" w:cs="Arial"/>
      <w:sz w:val="20"/>
      <w:szCs w:val="20"/>
      <w:lang w:eastAsia="en-US"/>
    </w:rPr>
  </w:style>
  <w:style w:type="paragraph" w:customStyle="1" w:styleId="Bullet3">
    <w:name w:val="Bullet 3"/>
    <w:basedOn w:val="Bullet2"/>
    <w:link w:val="Bullet3Char"/>
    <w:qFormat/>
    <w:rsid w:val="00B24F41"/>
    <w:pPr>
      <w:numPr>
        <w:ilvl w:val="2"/>
      </w:numPr>
      <w:ind w:left="1800"/>
    </w:pPr>
    <w:rPr>
      <w:rFonts w:asciiTheme="majorHAnsi" w:hAnsiTheme="majorHAnsi"/>
    </w:rPr>
  </w:style>
  <w:style w:type="paragraph" w:customStyle="1" w:styleId="Bullet4">
    <w:name w:val="Bullet 4"/>
    <w:basedOn w:val="Bullet3"/>
    <w:qFormat/>
    <w:rsid w:val="00B24F41"/>
    <w:pPr>
      <w:numPr>
        <w:ilvl w:val="3"/>
      </w:numPr>
      <w:ind w:left="2880"/>
    </w:pPr>
  </w:style>
  <w:style w:type="character" w:customStyle="1" w:styleId="Bullet3Char">
    <w:name w:val="Bullet 3 Char"/>
    <w:basedOn w:val="DefaultParagraphFont"/>
    <w:link w:val="Bullet3"/>
    <w:rsid w:val="00B24F41"/>
    <w:rPr>
      <w:rFonts w:asciiTheme="majorHAnsi" w:eastAsiaTheme="minorHAnsi" w:hAnsiTheme="majorHAnsi" w:cs="Arial"/>
      <w:sz w:val="20"/>
      <w:szCs w:val="20"/>
      <w:lang w:eastAsia="en-US"/>
    </w:rPr>
  </w:style>
  <w:style w:type="paragraph" w:styleId="NoSpacing">
    <w:name w:val="No Spacing"/>
    <w:uiPriority w:val="1"/>
    <w:qFormat/>
    <w:rsid w:val="006C0454"/>
    <w:pPr>
      <w:spacing w:after="0" w:line="240" w:lineRule="auto"/>
    </w:pPr>
    <w:rPr>
      <w:sz w:val="24"/>
      <w:szCs w:val="24"/>
      <w:lang w:eastAsia="en-US"/>
    </w:rPr>
  </w:style>
  <w:style w:type="table" w:styleId="GridTable4">
    <w:name w:val="Grid Table 4"/>
    <w:basedOn w:val="TableNormal"/>
    <w:uiPriority w:val="49"/>
    <w:rsid w:val="00157B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5CCBA-3E12-446E-B83D-0D11231E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10873</TotalTime>
  <Pages>30</Pages>
  <Words>14689</Words>
  <Characters>83729</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Richards</dc:creator>
  <cp:keywords/>
  <dc:description/>
  <cp:lastModifiedBy>Ben Richards</cp:lastModifiedBy>
  <cp:revision>761</cp:revision>
  <cp:lastPrinted>2016-04-26T10:37:00Z</cp:lastPrinted>
  <dcterms:created xsi:type="dcterms:W3CDTF">2016-02-10T21:00:00Z</dcterms:created>
  <dcterms:modified xsi:type="dcterms:W3CDTF">2016-04-26T22:35:00Z</dcterms:modified>
</cp:coreProperties>
</file>