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7DA6" w14:textId="31AE1477" w:rsidR="00245824" w:rsidRPr="00505123" w:rsidRDefault="00483C6E" w:rsidP="00D969EB">
      <w:pPr>
        <w:pStyle w:val="Heading3"/>
        <w:spacing w:before="0"/>
        <w:jc w:val="center"/>
      </w:pPr>
      <w:r>
        <w:t>Administrative Law</w:t>
      </w:r>
    </w:p>
    <w:p w14:paraId="069924F3" w14:textId="554209D7" w:rsidR="00233D5C" w:rsidRPr="00233D5C" w:rsidRDefault="00233D5C" w:rsidP="00471C75">
      <w:pPr>
        <w:pStyle w:val="ListParagraph"/>
        <w:numPr>
          <w:ilvl w:val="0"/>
          <w:numId w:val="2"/>
        </w:numPr>
      </w:pPr>
      <w:r>
        <w:rPr>
          <w:i/>
          <w:sz w:val="20"/>
        </w:rPr>
        <w:t xml:space="preserve">Crowell v. Benson </w:t>
      </w:r>
      <w:r>
        <w:rPr>
          <w:sz w:val="20"/>
        </w:rPr>
        <w:t>tries to provide a line of demarcation for agency and judicial roles</w:t>
      </w:r>
    </w:p>
    <w:p w14:paraId="618058AB" w14:textId="37B5B970" w:rsidR="00233D5C" w:rsidRPr="00AF216B" w:rsidRDefault="00233D5C" w:rsidP="00471C75">
      <w:pPr>
        <w:pStyle w:val="ListParagraph"/>
        <w:numPr>
          <w:ilvl w:val="1"/>
          <w:numId w:val="2"/>
        </w:numPr>
      </w:pPr>
      <w:r>
        <w:rPr>
          <w:sz w:val="20"/>
        </w:rPr>
        <w:t xml:space="preserve">Initial line of demarcation </w:t>
      </w:r>
      <w:r w:rsidR="00B17BDA">
        <w:rPr>
          <w:sz w:val="20"/>
        </w:rPr>
        <w:t>is deference to agency fact-finding but de novo review of law and constitutional/jurisdictional questions</w:t>
      </w:r>
    </w:p>
    <w:p w14:paraId="5197E1CA" w14:textId="1ED59C01" w:rsidR="00AF216B" w:rsidRPr="00325BFB" w:rsidRDefault="00AF216B" w:rsidP="00471C75">
      <w:pPr>
        <w:pStyle w:val="ListParagraph"/>
        <w:numPr>
          <w:ilvl w:val="2"/>
          <w:numId w:val="2"/>
        </w:numPr>
      </w:pPr>
      <w:r>
        <w:rPr>
          <w:sz w:val="20"/>
        </w:rPr>
        <w:t>As with almost all other lines of demarcation developed, these eventually fall and courts grant agencies ever greater discretion</w:t>
      </w:r>
    </w:p>
    <w:p w14:paraId="03CE9AAC" w14:textId="4802E775" w:rsidR="00325BFB" w:rsidRPr="00AF216B" w:rsidRDefault="00325BFB" w:rsidP="00325BFB">
      <w:pPr>
        <w:pStyle w:val="ListParagraph"/>
        <w:numPr>
          <w:ilvl w:val="3"/>
          <w:numId w:val="2"/>
        </w:numPr>
      </w:pPr>
      <w:r>
        <w:rPr>
          <w:sz w:val="20"/>
        </w:rPr>
        <w:t xml:space="preserve">Begins with </w:t>
      </w:r>
      <w:r>
        <w:rPr>
          <w:i/>
          <w:sz w:val="20"/>
        </w:rPr>
        <w:t xml:space="preserve">Skidmore </w:t>
      </w:r>
      <w:r>
        <w:rPr>
          <w:sz w:val="20"/>
        </w:rPr>
        <w:t xml:space="preserve">and </w:t>
      </w:r>
      <w:r>
        <w:rPr>
          <w:i/>
          <w:sz w:val="20"/>
        </w:rPr>
        <w:t>Hearst</w:t>
      </w:r>
      <w:r>
        <w:rPr>
          <w:sz w:val="20"/>
        </w:rPr>
        <w:t xml:space="preserve">, comes full bore with </w:t>
      </w:r>
      <w:r>
        <w:rPr>
          <w:i/>
          <w:sz w:val="20"/>
        </w:rPr>
        <w:t>Chevron</w:t>
      </w:r>
    </w:p>
    <w:p w14:paraId="5DDF15C3" w14:textId="4AE9E686" w:rsidR="00AF216B" w:rsidRPr="00577F42" w:rsidRDefault="00AF216B" w:rsidP="00471C75">
      <w:pPr>
        <w:pStyle w:val="ListParagraph"/>
        <w:numPr>
          <w:ilvl w:val="2"/>
          <w:numId w:val="2"/>
        </w:numPr>
      </w:pPr>
      <w:r>
        <w:rPr>
          <w:sz w:val="20"/>
        </w:rPr>
        <w:t>Deference to agency facts (under substantial evidence review) remains good law</w:t>
      </w:r>
    </w:p>
    <w:p w14:paraId="0A3D74CE" w14:textId="1A264299" w:rsidR="00577F42" w:rsidRPr="00DD1287" w:rsidRDefault="00577F42" w:rsidP="00471C75">
      <w:pPr>
        <w:pStyle w:val="ListParagraph"/>
        <w:numPr>
          <w:ilvl w:val="2"/>
          <w:numId w:val="2"/>
        </w:numPr>
      </w:pPr>
      <w:r>
        <w:rPr>
          <w:sz w:val="20"/>
        </w:rPr>
        <w:t>De novo review of jurisdi</w:t>
      </w:r>
      <w:r w:rsidR="007F58B6">
        <w:rPr>
          <w:sz w:val="20"/>
        </w:rPr>
        <w:t xml:space="preserve">ctional questions is dead </w:t>
      </w:r>
      <w:r w:rsidR="005F7A07">
        <w:rPr>
          <w:sz w:val="20"/>
        </w:rPr>
        <w:t xml:space="preserve">– </w:t>
      </w:r>
      <w:r>
        <w:rPr>
          <w:i/>
          <w:sz w:val="20"/>
        </w:rPr>
        <w:t>City of Arlington</w:t>
      </w:r>
    </w:p>
    <w:p w14:paraId="2B02E207" w14:textId="37962871" w:rsidR="00DD1287" w:rsidRPr="00DD1287" w:rsidRDefault="00DD1287" w:rsidP="00471C75">
      <w:pPr>
        <w:pStyle w:val="ListParagraph"/>
        <w:numPr>
          <w:ilvl w:val="1"/>
          <w:numId w:val="2"/>
        </w:numPr>
      </w:pPr>
      <w:r>
        <w:rPr>
          <w:sz w:val="20"/>
        </w:rPr>
        <w:t>Attempts to place boundaries around administrative state to take advantage of pragmatic benefits while respecting judiciary’s role</w:t>
      </w:r>
    </w:p>
    <w:p w14:paraId="169A510B" w14:textId="6DF31157" w:rsidR="00DD1287" w:rsidRPr="00EB75BB" w:rsidRDefault="00DD1287" w:rsidP="00471C75">
      <w:pPr>
        <w:pStyle w:val="ListParagraph"/>
        <w:numPr>
          <w:ilvl w:val="2"/>
          <w:numId w:val="2"/>
        </w:numPr>
      </w:pPr>
      <w:r>
        <w:rPr>
          <w:sz w:val="20"/>
        </w:rPr>
        <w:t xml:space="preserve">Begins to erode as early as </w:t>
      </w:r>
      <w:r>
        <w:rPr>
          <w:i/>
          <w:sz w:val="20"/>
        </w:rPr>
        <w:t>Chenery II</w:t>
      </w:r>
      <w:r>
        <w:rPr>
          <w:sz w:val="20"/>
        </w:rPr>
        <w:t>, which explicitly approves of pragmatism</w:t>
      </w:r>
    </w:p>
    <w:p w14:paraId="62853E65" w14:textId="472DC373" w:rsidR="00EB75BB" w:rsidRPr="00B65F9C" w:rsidRDefault="00EB75BB" w:rsidP="00EB75BB">
      <w:pPr>
        <w:pStyle w:val="ListParagraph"/>
        <w:numPr>
          <w:ilvl w:val="0"/>
          <w:numId w:val="2"/>
        </w:numPr>
      </w:pPr>
      <w:r>
        <w:rPr>
          <w:i/>
          <w:sz w:val="20"/>
        </w:rPr>
        <w:t xml:space="preserve">Wong Yang </w:t>
      </w:r>
      <w:r w:rsidRPr="00B65F9C">
        <w:rPr>
          <w:i/>
          <w:sz w:val="20"/>
        </w:rPr>
        <w:t>Sung</w:t>
      </w:r>
      <w:r>
        <w:rPr>
          <w:i/>
          <w:sz w:val="20"/>
        </w:rPr>
        <w:t xml:space="preserve"> </w:t>
      </w:r>
      <w:r>
        <w:rPr>
          <w:sz w:val="20"/>
        </w:rPr>
        <w:t>exemplifies the impu</w:t>
      </w:r>
      <w:r w:rsidR="007D3E0A">
        <w:rPr>
          <w:sz w:val="20"/>
        </w:rPr>
        <w:t>lse to elevate the APA to be administrative law’s</w:t>
      </w:r>
      <w:r>
        <w:rPr>
          <w:sz w:val="20"/>
        </w:rPr>
        <w:t xml:space="preserve"> governin</w:t>
      </w:r>
      <w:r w:rsidR="007D3E0A">
        <w:rPr>
          <w:sz w:val="20"/>
        </w:rPr>
        <w:t>g charter</w:t>
      </w:r>
    </w:p>
    <w:p w14:paraId="2CB798A3" w14:textId="77777777" w:rsidR="00EB75BB" w:rsidRPr="00B65F9C" w:rsidRDefault="00EB75BB" w:rsidP="00EB75BB">
      <w:pPr>
        <w:pStyle w:val="ListParagraph"/>
        <w:numPr>
          <w:ilvl w:val="1"/>
          <w:numId w:val="2"/>
        </w:numPr>
      </w:pPr>
      <w:r>
        <w:rPr>
          <w:sz w:val="20"/>
        </w:rPr>
        <w:t xml:space="preserve">This impulse also animates </w:t>
      </w:r>
      <w:r>
        <w:rPr>
          <w:i/>
          <w:sz w:val="20"/>
        </w:rPr>
        <w:t>Perez</w:t>
      </w:r>
      <w:r>
        <w:rPr>
          <w:sz w:val="20"/>
        </w:rPr>
        <w:t xml:space="preserve"> and </w:t>
      </w:r>
      <w:r>
        <w:rPr>
          <w:i/>
          <w:sz w:val="20"/>
        </w:rPr>
        <w:t>Vermont Yankee</w:t>
      </w:r>
    </w:p>
    <w:p w14:paraId="1A6766EE" w14:textId="77777777" w:rsidR="00EB75BB" w:rsidRPr="00D9230D" w:rsidRDefault="00EB75BB" w:rsidP="00EB75BB">
      <w:pPr>
        <w:pStyle w:val="ListParagraph"/>
        <w:numPr>
          <w:ilvl w:val="1"/>
          <w:numId w:val="2"/>
        </w:numPr>
      </w:pPr>
      <w:r>
        <w:rPr>
          <w:sz w:val="20"/>
        </w:rPr>
        <w:t xml:space="preserve">A cynical view of this impulse is that it only works one way – APA supremacy arguments succeed when granting agencies more discretion, but fail when cabining agency discretion </w:t>
      </w:r>
    </w:p>
    <w:p w14:paraId="20ED3B88" w14:textId="460E937F" w:rsidR="00EB75BB" w:rsidRPr="00EB75BB" w:rsidRDefault="00A124EC" w:rsidP="00EB75BB">
      <w:pPr>
        <w:pStyle w:val="ListParagraph"/>
        <w:numPr>
          <w:ilvl w:val="2"/>
          <w:numId w:val="2"/>
        </w:numPr>
      </w:pPr>
      <w:r>
        <w:rPr>
          <w:sz w:val="20"/>
        </w:rPr>
        <w:t xml:space="preserve">This </w:t>
      </w:r>
      <w:r w:rsidR="00EB75BB">
        <w:rPr>
          <w:sz w:val="20"/>
        </w:rPr>
        <w:t xml:space="preserve">happens in </w:t>
      </w:r>
      <w:r w:rsidR="00EB75BB">
        <w:rPr>
          <w:i/>
          <w:sz w:val="20"/>
        </w:rPr>
        <w:t>Sung</w:t>
      </w:r>
      <w:r w:rsidR="00EB75BB">
        <w:rPr>
          <w:sz w:val="20"/>
        </w:rPr>
        <w:t xml:space="preserve"> – court tries to limit </w:t>
      </w:r>
      <w:r>
        <w:rPr>
          <w:sz w:val="20"/>
        </w:rPr>
        <w:t>agency authority, but is</w:t>
      </w:r>
      <w:r w:rsidR="00EB75BB">
        <w:rPr>
          <w:sz w:val="20"/>
        </w:rPr>
        <w:t xml:space="preserve"> overruled by Congress</w:t>
      </w:r>
    </w:p>
    <w:p w14:paraId="33AA8574" w14:textId="77777777" w:rsidR="00CE6BF1" w:rsidRDefault="00CE6BF1" w:rsidP="00CE6BF1">
      <w:pPr>
        <w:pStyle w:val="Heading3"/>
        <w:rPr>
          <w:sz w:val="22"/>
        </w:rPr>
      </w:pPr>
      <w:r w:rsidRPr="00593F3B">
        <w:rPr>
          <w:sz w:val="22"/>
        </w:rPr>
        <w:t>Judicial Review</w:t>
      </w:r>
    </w:p>
    <w:p w14:paraId="2FCE8809" w14:textId="77777777" w:rsidR="00CE6BF1" w:rsidRDefault="00CE6BF1" w:rsidP="00CE6BF1">
      <w:pPr>
        <w:pStyle w:val="Heading4"/>
        <w:rPr>
          <w:sz w:val="20"/>
        </w:rPr>
      </w:pPr>
      <w:r w:rsidRPr="00593F3B">
        <w:rPr>
          <w:sz w:val="20"/>
        </w:rPr>
        <w:t>Statutory Standing</w:t>
      </w:r>
    </w:p>
    <w:p w14:paraId="0534402B" w14:textId="33FD79A6" w:rsidR="00CE6BF1" w:rsidRPr="00C414DE" w:rsidRDefault="00CE6BF1" w:rsidP="00704C9E">
      <w:pPr>
        <w:pStyle w:val="ListParagraph"/>
        <w:numPr>
          <w:ilvl w:val="0"/>
          <w:numId w:val="14"/>
        </w:numPr>
      </w:pPr>
      <w:r>
        <w:rPr>
          <w:sz w:val="20"/>
        </w:rPr>
        <w:t>APA §702 provides judicial review for a person who suffers a “legal wrong”</w:t>
      </w:r>
      <w:r w:rsidR="00704C9E">
        <w:rPr>
          <w:sz w:val="20"/>
        </w:rPr>
        <w:t xml:space="preserve"> – u</w:t>
      </w:r>
      <w:r w:rsidRPr="00704C9E">
        <w:rPr>
          <w:sz w:val="20"/>
        </w:rPr>
        <w:t xml:space="preserve">nder </w:t>
      </w:r>
      <w:r w:rsidRPr="00704C9E">
        <w:rPr>
          <w:i/>
          <w:sz w:val="20"/>
        </w:rPr>
        <w:t>Sanders Bros.</w:t>
      </w:r>
      <w:r w:rsidRPr="00704C9E">
        <w:rPr>
          <w:sz w:val="20"/>
        </w:rPr>
        <w:t>, this was defined as a statutory cause of action</w:t>
      </w:r>
    </w:p>
    <w:p w14:paraId="408E671F" w14:textId="77777777" w:rsidR="00CE6BF1" w:rsidRPr="00C414DE" w:rsidRDefault="00CE6BF1" w:rsidP="00704C9E">
      <w:pPr>
        <w:pStyle w:val="ListParagraph"/>
        <w:numPr>
          <w:ilvl w:val="0"/>
          <w:numId w:val="14"/>
        </w:numPr>
      </w:pPr>
      <w:r>
        <w:rPr>
          <w:i/>
          <w:sz w:val="20"/>
        </w:rPr>
        <w:t xml:space="preserve">Data Processing </w:t>
      </w:r>
      <w:r>
        <w:rPr>
          <w:sz w:val="20"/>
        </w:rPr>
        <w:t>introduced a more liberal two-prong standing test:</w:t>
      </w:r>
    </w:p>
    <w:p w14:paraId="3216DE43" w14:textId="77777777" w:rsidR="00CE6BF1" w:rsidRPr="00C414DE" w:rsidRDefault="00CE6BF1" w:rsidP="00704C9E">
      <w:pPr>
        <w:pStyle w:val="ListParagraph"/>
        <w:numPr>
          <w:ilvl w:val="1"/>
          <w:numId w:val="14"/>
        </w:numPr>
      </w:pPr>
      <w:r>
        <w:rPr>
          <w:sz w:val="20"/>
        </w:rPr>
        <w:t xml:space="preserve">Has there been injury-in-fact? </w:t>
      </w:r>
    </w:p>
    <w:p w14:paraId="32598D8D" w14:textId="03388163" w:rsidR="00CE6BF1" w:rsidRPr="00C414DE" w:rsidRDefault="00CE6BF1" w:rsidP="00704C9E">
      <w:pPr>
        <w:pStyle w:val="ListParagraph"/>
        <w:numPr>
          <w:ilvl w:val="1"/>
          <w:numId w:val="14"/>
        </w:numPr>
      </w:pPr>
      <w:r>
        <w:rPr>
          <w:sz w:val="20"/>
        </w:rPr>
        <w:t>Is the interest sought to be protected arguably within the zone of interests</w:t>
      </w:r>
      <w:r w:rsidR="0041016F">
        <w:rPr>
          <w:sz w:val="20"/>
        </w:rPr>
        <w:t xml:space="preserve"> (“</w:t>
      </w:r>
      <w:proofErr w:type="spellStart"/>
      <w:r w:rsidR="0041016F">
        <w:rPr>
          <w:sz w:val="20"/>
        </w:rPr>
        <w:t>ZoI</w:t>
      </w:r>
      <w:proofErr w:type="spellEnd"/>
      <w:r w:rsidR="0041016F">
        <w:rPr>
          <w:sz w:val="20"/>
        </w:rPr>
        <w:t>”)</w:t>
      </w:r>
      <w:r>
        <w:rPr>
          <w:sz w:val="20"/>
        </w:rPr>
        <w:t xml:space="preserve"> to be protected by the statute? (Sometimes referred to as “prudential” standing)</w:t>
      </w:r>
    </w:p>
    <w:p w14:paraId="30983290" w14:textId="77777777" w:rsidR="00CE6BF1" w:rsidRPr="00C414DE" w:rsidRDefault="00CE6BF1" w:rsidP="00704C9E">
      <w:pPr>
        <w:pStyle w:val="ListParagraph"/>
        <w:numPr>
          <w:ilvl w:val="2"/>
          <w:numId w:val="14"/>
        </w:numPr>
      </w:pPr>
      <w:r>
        <w:rPr>
          <w:sz w:val="20"/>
        </w:rPr>
        <w:t>The purpose of this move was to open up the courts to individuals who wanted to challenge agency action – restricting the power of the administrative state</w:t>
      </w:r>
    </w:p>
    <w:p w14:paraId="59D89E12" w14:textId="3B1A4E8F" w:rsidR="00CE6BF1" w:rsidRPr="00C414DE" w:rsidRDefault="00CE6BF1" w:rsidP="00704C9E">
      <w:pPr>
        <w:pStyle w:val="ListParagraph"/>
        <w:numPr>
          <w:ilvl w:val="2"/>
          <w:numId w:val="14"/>
        </w:numPr>
      </w:pPr>
      <w:r>
        <w:rPr>
          <w:sz w:val="20"/>
        </w:rPr>
        <w:t>Also designed to move away from old requirement of interest protected by common law in order to achieve standing, due to reality of post-New Deal government</w:t>
      </w:r>
    </w:p>
    <w:p w14:paraId="6634F79F" w14:textId="4EC7415A" w:rsidR="00CE6BF1" w:rsidRPr="00056A96" w:rsidRDefault="0041016F" w:rsidP="00704C9E">
      <w:pPr>
        <w:pStyle w:val="ListParagraph"/>
        <w:numPr>
          <w:ilvl w:val="0"/>
          <w:numId w:val="14"/>
        </w:numPr>
      </w:pPr>
      <w:r>
        <w:rPr>
          <w:sz w:val="20"/>
        </w:rPr>
        <w:t xml:space="preserve">Although </w:t>
      </w:r>
      <w:proofErr w:type="spellStart"/>
      <w:r>
        <w:rPr>
          <w:sz w:val="20"/>
        </w:rPr>
        <w:t>ZoI</w:t>
      </w:r>
      <w:proofErr w:type="spellEnd"/>
      <w:r w:rsidR="00CE6BF1">
        <w:rPr>
          <w:sz w:val="20"/>
        </w:rPr>
        <w:t xml:space="preserve"> test is </w:t>
      </w:r>
      <w:r w:rsidR="00CE6BF1">
        <w:rPr>
          <w:i/>
          <w:sz w:val="20"/>
        </w:rPr>
        <w:t xml:space="preserve">not </w:t>
      </w:r>
      <w:r w:rsidR="00CE6BF1">
        <w:rPr>
          <w:sz w:val="20"/>
        </w:rPr>
        <w:t>a difficult hurd</w:t>
      </w:r>
      <w:r>
        <w:rPr>
          <w:sz w:val="20"/>
        </w:rPr>
        <w:t>le, it is not satisfied when</w:t>
      </w:r>
      <w:r w:rsidR="00CE6BF1">
        <w:rPr>
          <w:sz w:val="20"/>
        </w:rPr>
        <w:t xml:space="preserve"> plaintiff’s interest is </w:t>
      </w:r>
      <w:r w:rsidR="00CE6BF1">
        <w:rPr>
          <w:i/>
          <w:sz w:val="20"/>
        </w:rPr>
        <w:t xml:space="preserve">so </w:t>
      </w:r>
      <w:r w:rsidR="00CE6BF1">
        <w:rPr>
          <w:sz w:val="20"/>
        </w:rPr>
        <w:t xml:space="preserve">inconsistent with </w:t>
      </w:r>
      <w:r>
        <w:rPr>
          <w:sz w:val="20"/>
        </w:rPr>
        <w:t>statute’s purposes that it can’</w:t>
      </w:r>
      <w:r w:rsidR="00CE6BF1">
        <w:rPr>
          <w:sz w:val="20"/>
        </w:rPr>
        <w:t xml:space="preserve">t reasonably be assumed that Congress intended to permit the suit – </w:t>
      </w:r>
      <w:r w:rsidR="00CE6BF1">
        <w:rPr>
          <w:i/>
          <w:sz w:val="20"/>
        </w:rPr>
        <w:t>Clarke</w:t>
      </w:r>
    </w:p>
    <w:p w14:paraId="190C7BDC" w14:textId="77777777" w:rsidR="00CE6BF1" w:rsidRPr="00C414DE" w:rsidRDefault="00CE6BF1" w:rsidP="00704C9E">
      <w:pPr>
        <w:pStyle w:val="ListParagraph"/>
        <w:numPr>
          <w:ilvl w:val="1"/>
          <w:numId w:val="14"/>
        </w:numPr>
      </w:pPr>
      <w:r>
        <w:rPr>
          <w:i/>
          <w:sz w:val="20"/>
        </w:rPr>
        <w:t xml:space="preserve">Air Courier </w:t>
      </w:r>
      <w:r>
        <w:rPr>
          <w:sz w:val="20"/>
        </w:rPr>
        <w:t>can be distinguished on this ground – although statute arguably provides incidental benefits of employment assurances to postal workers, such a benefit was antithetical to the statute’s true purpose of preserving revenues for the post office</w:t>
      </w:r>
    </w:p>
    <w:p w14:paraId="0EF86C62" w14:textId="77777777" w:rsidR="00CE6BF1" w:rsidRPr="00B60246" w:rsidRDefault="00CE6BF1" w:rsidP="00704C9E">
      <w:pPr>
        <w:pStyle w:val="ListParagraph"/>
        <w:numPr>
          <w:ilvl w:val="2"/>
          <w:numId w:val="14"/>
        </w:numPr>
      </w:pPr>
      <w:r>
        <w:rPr>
          <w:sz w:val="20"/>
        </w:rPr>
        <w:t>Congress need not have intended to benefit the plaintiff in this case</w:t>
      </w:r>
    </w:p>
    <w:p w14:paraId="6B62ADB0" w14:textId="77777777" w:rsidR="00CE6BF1" w:rsidRPr="00B60246" w:rsidRDefault="00CE6BF1" w:rsidP="00704C9E">
      <w:pPr>
        <w:pStyle w:val="ListParagraph"/>
        <w:numPr>
          <w:ilvl w:val="1"/>
          <w:numId w:val="14"/>
        </w:numPr>
      </w:pPr>
      <w:r>
        <w:rPr>
          <w:i/>
          <w:sz w:val="20"/>
        </w:rPr>
        <w:t xml:space="preserve">NCUA </w:t>
      </w:r>
      <w:r>
        <w:rPr>
          <w:sz w:val="20"/>
        </w:rPr>
        <w:t>rejects post-</w:t>
      </w:r>
      <w:r>
        <w:rPr>
          <w:i/>
          <w:sz w:val="20"/>
        </w:rPr>
        <w:t xml:space="preserve">Air Courier </w:t>
      </w:r>
      <w:r>
        <w:rPr>
          <w:sz w:val="20"/>
        </w:rPr>
        <w:t>tightening – even competitors of regulated entities have standing under broadly construed Congressional purposes</w:t>
      </w:r>
    </w:p>
    <w:p w14:paraId="43AE1AB8" w14:textId="77777777" w:rsidR="00CE6BF1" w:rsidRPr="006656FB" w:rsidRDefault="00CE6BF1" w:rsidP="00704C9E">
      <w:pPr>
        <w:pStyle w:val="ListParagraph"/>
        <w:numPr>
          <w:ilvl w:val="0"/>
          <w:numId w:val="14"/>
        </w:numPr>
      </w:pPr>
      <w:r>
        <w:rPr>
          <w:i/>
          <w:sz w:val="20"/>
        </w:rPr>
        <w:t xml:space="preserve">Lexmark </w:t>
      </w:r>
      <w:r>
        <w:rPr>
          <w:sz w:val="20"/>
        </w:rPr>
        <w:t xml:space="preserve">finally returns to the rule of </w:t>
      </w:r>
      <w:r>
        <w:rPr>
          <w:i/>
          <w:sz w:val="20"/>
        </w:rPr>
        <w:t xml:space="preserve">Sanders Bros. </w:t>
      </w:r>
      <w:r>
        <w:rPr>
          <w:sz w:val="20"/>
        </w:rPr>
        <w:t xml:space="preserve">and kills prudential standing – a “legal wrong” means that there is a statutory cause of action </w:t>
      </w:r>
      <w:r>
        <w:rPr>
          <w:i/>
          <w:sz w:val="20"/>
        </w:rPr>
        <w:t xml:space="preserve">external </w:t>
      </w:r>
      <w:r>
        <w:rPr>
          <w:sz w:val="20"/>
        </w:rPr>
        <w:t>to the APA</w:t>
      </w:r>
    </w:p>
    <w:p w14:paraId="0943E056" w14:textId="77777777" w:rsidR="00CE6BF1" w:rsidRPr="006656FB" w:rsidRDefault="00CE6BF1" w:rsidP="00704C9E">
      <w:pPr>
        <w:pStyle w:val="ListParagraph"/>
        <w:numPr>
          <w:ilvl w:val="1"/>
          <w:numId w:val="14"/>
        </w:numPr>
      </w:pPr>
      <w:r>
        <w:rPr>
          <w:sz w:val="20"/>
        </w:rPr>
        <w:t>This is another failed arc of limiting agency discretion – results in heightened standing requirements (although obtaining standing is still not supposed to be a high hurdle)</w:t>
      </w:r>
    </w:p>
    <w:p w14:paraId="0C01EE68" w14:textId="48160F9B" w:rsidR="00CE6BF1" w:rsidRPr="00A124EC" w:rsidRDefault="0041016F" w:rsidP="00704C9E">
      <w:pPr>
        <w:pStyle w:val="ListParagraph"/>
        <w:numPr>
          <w:ilvl w:val="1"/>
          <w:numId w:val="14"/>
        </w:numPr>
      </w:pPr>
      <w:r>
        <w:rPr>
          <w:sz w:val="20"/>
        </w:rPr>
        <w:t xml:space="preserve">Existence of a cause of action is </w:t>
      </w:r>
      <w:r w:rsidR="00CE6BF1">
        <w:rPr>
          <w:sz w:val="20"/>
        </w:rPr>
        <w:t>determined using traditional too</w:t>
      </w:r>
      <w:r w:rsidR="00A124EC">
        <w:rPr>
          <w:sz w:val="20"/>
        </w:rPr>
        <w:t>ls of statutory interpretation</w:t>
      </w:r>
    </w:p>
    <w:p w14:paraId="4123B0DF" w14:textId="77777777" w:rsidR="00CE6BF1" w:rsidRDefault="00CE6BF1" w:rsidP="00CE6BF1">
      <w:pPr>
        <w:pStyle w:val="Heading4"/>
        <w:rPr>
          <w:sz w:val="20"/>
        </w:rPr>
      </w:pPr>
      <w:r w:rsidRPr="00593F3B">
        <w:rPr>
          <w:sz w:val="20"/>
        </w:rPr>
        <w:t>Constitutional Standing</w:t>
      </w:r>
    </w:p>
    <w:p w14:paraId="1145317B" w14:textId="77777777" w:rsidR="00CE6BF1" w:rsidRPr="00D8142A" w:rsidRDefault="00CE6BF1" w:rsidP="00CE6BF1">
      <w:pPr>
        <w:pStyle w:val="ListParagraph"/>
        <w:numPr>
          <w:ilvl w:val="0"/>
          <w:numId w:val="15"/>
        </w:numPr>
      </w:pPr>
      <w:r>
        <w:rPr>
          <w:sz w:val="20"/>
        </w:rPr>
        <w:t>There are three elements to constitutional standing:</w:t>
      </w:r>
    </w:p>
    <w:p w14:paraId="268806B0" w14:textId="0B1652C6" w:rsidR="00CE6BF1" w:rsidRPr="00D8142A" w:rsidRDefault="00CE6BF1" w:rsidP="00CE6BF1">
      <w:pPr>
        <w:pStyle w:val="ListParagraph"/>
        <w:numPr>
          <w:ilvl w:val="1"/>
          <w:numId w:val="15"/>
        </w:numPr>
      </w:pPr>
      <w:r>
        <w:rPr>
          <w:sz w:val="20"/>
        </w:rPr>
        <w:t>Injury-in-fact</w:t>
      </w:r>
      <w:r w:rsidR="00B60F53">
        <w:rPr>
          <w:sz w:val="20"/>
        </w:rPr>
        <w:t xml:space="preserve"> (which contains two sub-requirements)</w:t>
      </w:r>
    </w:p>
    <w:p w14:paraId="4B7560F5" w14:textId="77777777" w:rsidR="00CE6BF1" w:rsidRPr="00D8142A" w:rsidRDefault="00CE6BF1" w:rsidP="00CE6BF1">
      <w:pPr>
        <w:pStyle w:val="ListParagraph"/>
        <w:numPr>
          <w:ilvl w:val="2"/>
          <w:numId w:val="15"/>
        </w:numPr>
      </w:pPr>
      <w:r>
        <w:rPr>
          <w:sz w:val="20"/>
        </w:rPr>
        <w:t>Injury must be concrete and particularized – no “generalized grievances”</w:t>
      </w:r>
    </w:p>
    <w:p w14:paraId="71157ABB" w14:textId="77777777" w:rsidR="00CE6BF1" w:rsidRPr="00CD3E49" w:rsidRDefault="00CE6BF1" w:rsidP="00CE6BF1">
      <w:pPr>
        <w:pStyle w:val="ListParagraph"/>
        <w:numPr>
          <w:ilvl w:val="3"/>
          <w:numId w:val="15"/>
        </w:numPr>
      </w:pPr>
      <w:r>
        <w:rPr>
          <w:sz w:val="20"/>
        </w:rPr>
        <w:t xml:space="preserve">Lack of information may be an exception to this general rule – </w:t>
      </w:r>
      <w:r>
        <w:rPr>
          <w:i/>
          <w:sz w:val="20"/>
        </w:rPr>
        <w:t>FEC v. Akins</w:t>
      </w:r>
    </w:p>
    <w:p w14:paraId="60124F11" w14:textId="77777777" w:rsidR="00CE6BF1" w:rsidRPr="00CD3E49" w:rsidRDefault="00CE6BF1" w:rsidP="00CE6BF1">
      <w:pPr>
        <w:pStyle w:val="ListParagraph"/>
        <w:numPr>
          <w:ilvl w:val="3"/>
          <w:numId w:val="15"/>
        </w:numPr>
      </w:pPr>
      <w:r>
        <w:rPr>
          <w:sz w:val="20"/>
        </w:rPr>
        <w:lastRenderedPageBreak/>
        <w:t>Three potential rationales for the “generalized grievance” doctrine</w:t>
      </w:r>
    </w:p>
    <w:p w14:paraId="39703830" w14:textId="77777777" w:rsidR="00CE6BF1" w:rsidRPr="00046FAC" w:rsidRDefault="00CE6BF1" w:rsidP="00CE6BF1">
      <w:pPr>
        <w:pStyle w:val="ListParagraph"/>
        <w:numPr>
          <w:ilvl w:val="4"/>
          <w:numId w:val="15"/>
        </w:numPr>
      </w:pPr>
      <w:r>
        <w:rPr>
          <w:sz w:val="20"/>
        </w:rPr>
        <w:t>Constitution’s “case or controversy” requirement</w:t>
      </w:r>
    </w:p>
    <w:p w14:paraId="21284A54" w14:textId="6CD9D47A" w:rsidR="00CE6BF1" w:rsidRPr="00CD3E49" w:rsidRDefault="00CE6BF1" w:rsidP="00CE6BF1">
      <w:pPr>
        <w:pStyle w:val="ListParagraph"/>
        <w:numPr>
          <w:ilvl w:val="5"/>
          <w:numId w:val="15"/>
        </w:numPr>
      </w:pPr>
      <w:r>
        <w:rPr>
          <w:sz w:val="20"/>
        </w:rPr>
        <w:t>Seems arbitrary if something as simple as buying a plane ticket can resolve a constitutional defect</w:t>
      </w:r>
      <w:r w:rsidR="00B60F53">
        <w:rPr>
          <w:sz w:val="20"/>
        </w:rPr>
        <w:t xml:space="preserve"> – see </w:t>
      </w:r>
      <w:r w:rsidR="00B60F53">
        <w:rPr>
          <w:i/>
          <w:sz w:val="20"/>
        </w:rPr>
        <w:t>Lujan</w:t>
      </w:r>
    </w:p>
    <w:p w14:paraId="21B83788" w14:textId="77777777" w:rsidR="00CE6BF1" w:rsidRPr="00CD3E49" w:rsidRDefault="00CE6BF1" w:rsidP="00CE6BF1">
      <w:pPr>
        <w:pStyle w:val="ListParagraph"/>
        <w:numPr>
          <w:ilvl w:val="4"/>
          <w:numId w:val="15"/>
        </w:numPr>
      </w:pPr>
      <w:r w:rsidRPr="00B60F53">
        <w:rPr>
          <w:i/>
          <w:sz w:val="20"/>
        </w:rPr>
        <w:t>Londoner</w:t>
      </w:r>
      <w:r>
        <w:rPr>
          <w:sz w:val="20"/>
        </w:rPr>
        <w:t>/</w:t>
      </w:r>
      <w:r w:rsidRPr="00B60F53">
        <w:rPr>
          <w:i/>
          <w:sz w:val="20"/>
        </w:rPr>
        <w:t>Bi-Metallic</w:t>
      </w:r>
      <w:r>
        <w:rPr>
          <w:sz w:val="20"/>
        </w:rPr>
        <w:t xml:space="preserve"> due process distinction</w:t>
      </w:r>
    </w:p>
    <w:p w14:paraId="33372D08" w14:textId="56FACB01" w:rsidR="00CE6BF1" w:rsidRPr="00CD3E49" w:rsidRDefault="00CE6BF1" w:rsidP="00CE6BF1">
      <w:pPr>
        <w:pStyle w:val="ListParagraph"/>
        <w:numPr>
          <w:ilvl w:val="5"/>
          <w:numId w:val="15"/>
        </w:numPr>
      </w:pPr>
      <w:r>
        <w:rPr>
          <w:sz w:val="20"/>
        </w:rPr>
        <w:t xml:space="preserve">Unconvincing because this is a </w:t>
      </w:r>
      <w:r>
        <w:rPr>
          <w:i/>
          <w:sz w:val="20"/>
        </w:rPr>
        <w:t xml:space="preserve">product </w:t>
      </w:r>
      <w:r w:rsidR="00746326">
        <w:rPr>
          <w:sz w:val="20"/>
        </w:rPr>
        <w:t>of legislative action</w:t>
      </w:r>
      <w:r>
        <w:rPr>
          <w:sz w:val="20"/>
        </w:rPr>
        <w:t xml:space="preserve"> </w:t>
      </w:r>
    </w:p>
    <w:p w14:paraId="66C75077" w14:textId="0859F670" w:rsidR="00CE6BF1" w:rsidRPr="00CD3E49" w:rsidRDefault="00CE6BF1" w:rsidP="00CE6BF1">
      <w:pPr>
        <w:pStyle w:val="ListParagraph"/>
        <w:numPr>
          <w:ilvl w:val="6"/>
          <w:numId w:val="15"/>
        </w:numPr>
      </w:pPr>
      <w:r>
        <w:rPr>
          <w:sz w:val="20"/>
        </w:rPr>
        <w:t xml:space="preserve">Resembles argument of </w:t>
      </w:r>
      <w:r>
        <w:rPr>
          <w:i/>
          <w:sz w:val="20"/>
        </w:rPr>
        <w:t>Arnett v. Kennedy</w:t>
      </w:r>
      <w:r w:rsidR="001B727C">
        <w:rPr>
          <w:sz w:val="20"/>
        </w:rPr>
        <w:t xml:space="preserve"> that legislature can define role of courts through statute</w:t>
      </w:r>
    </w:p>
    <w:p w14:paraId="0CE4F9E5" w14:textId="15C14D13" w:rsidR="00CE6BF1" w:rsidRPr="00CA77AE" w:rsidRDefault="00CE6BF1" w:rsidP="001B727C">
      <w:pPr>
        <w:pStyle w:val="ListParagraph"/>
        <w:numPr>
          <w:ilvl w:val="4"/>
          <w:numId w:val="15"/>
        </w:numPr>
      </w:pPr>
      <w:r w:rsidRPr="001B727C">
        <w:rPr>
          <w:sz w:val="20"/>
        </w:rPr>
        <w:t>Article II (separation of powers)</w:t>
      </w:r>
      <w:r w:rsidR="001B727C">
        <w:rPr>
          <w:sz w:val="20"/>
        </w:rPr>
        <w:t xml:space="preserve"> – a</w:t>
      </w:r>
      <w:r w:rsidR="00746326" w:rsidRPr="001B727C">
        <w:rPr>
          <w:sz w:val="20"/>
        </w:rPr>
        <w:t>cts as a transfer of enforcement power from the executive to the courts</w:t>
      </w:r>
    </w:p>
    <w:p w14:paraId="33B69544" w14:textId="5728BFE7" w:rsidR="00CA77AE" w:rsidRPr="001B727C" w:rsidRDefault="00883E8F" w:rsidP="00CA77AE">
      <w:pPr>
        <w:pStyle w:val="ListParagraph"/>
        <w:numPr>
          <w:ilvl w:val="3"/>
          <w:numId w:val="15"/>
        </w:numPr>
      </w:pPr>
      <w:r>
        <w:rPr>
          <w:sz w:val="20"/>
        </w:rPr>
        <w:t xml:space="preserve">States/sovereigns get </w:t>
      </w:r>
      <w:r w:rsidR="00CA77AE">
        <w:rPr>
          <w:sz w:val="20"/>
        </w:rPr>
        <w:t>s</w:t>
      </w:r>
      <w:r>
        <w:rPr>
          <w:sz w:val="20"/>
        </w:rPr>
        <w:t>pecial solicitude in finding</w:t>
      </w:r>
      <w:r w:rsidR="00CA77AE">
        <w:rPr>
          <w:sz w:val="20"/>
        </w:rPr>
        <w:t xml:space="preserve"> injury-in-fact – </w:t>
      </w:r>
      <w:r w:rsidR="00CA77AE">
        <w:rPr>
          <w:i/>
          <w:sz w:val="20"/>
        </w:rPr>
        <w:t>Mass v. EPA</w:t>
      </w:r>
    </w:p>
    <w:p w14:paraId="5A501686" w14:textId="0A1D1AFC" w:rsidR="001B727C" w:rsidRPr="00D8142A" w:rsidRDefault="001B727C" w:rsidP="001B727C">
      <w:pPr>
        <w:pStyle w:val="ListParagraph"/>
        <w:numPr>
          <w:ilvl w:val="3"/>
          <w:numId w:val="15"/>
        </w:numPr>
      </w:pPr>
      <w:r>
        <w:rPr>
          <w:sz w:val="20"/>
        </w:rPr>
        <w:t>A</w:t>
      </w:r>
      <w:r w:rsidR="00935D2B">
        <w:rPr>
          <w:sz w:val="20"/>
        </w:rPr>
        <w:t>V endorses R</w:t>
      </w:r>
      <w:r>
        <w:rPr>
          <w:sz w:val="20"/>
        </w:rPr>
        <w:t>ichard Murphy</w:t>
      </w:r>
      <w:r w:rsidR="00935D2B">
        <w:rPr>
          <w:sz w:val="20"/>
        </w:rPr>
        <w:t>’s approach</w:t>
      </w:r>
      <w:r>
        <w:rPr>
          <w:sz w:val="20"/>
        </w:rPr>
        <w:t xml:space="preserve"> – since none of the rationales are convincing,</w:t>
      </w:r>
      <w:r w:rsidR="00935D2B">
        <w:rPr>
          <w:sz w:val="20"/>
        </w:rPr>
        <w:t xml:space="preserve"> </w:t>
      </w:r>
      <w:r>
        <w:rPr>
          <w:sz w:val="20"/>
        </w:rPr>
        <w:t>just eliminate standing entirely</w:t>
      </w:r>
      <w:r w:rsidR="00F007A8">
        <w:rPr>
          <w:sz w:val="20"/>
        </w:rPr>
        <w:t xml:space="preserve"> and increase deference to agencies</w:t>
      </w:r>
    </w:p>
    <w:p w14:paraId="475376BF" w14:textId="274ED019" w:rsidR="00CE6BF1" w:rsidRPr="00046FAC" w:rsidRDefault="00CE6BF1" w:rsidP="00CE6BF1">
      <w:pPr>
        <w:pStyle w:val="ListParagraph"/>
        <w:numPr>
          <w:ilvl w:val="2"/>
          <w:numId w:val="15"/>
        </w:numPr>
      </w:pPr>
      <w:r>
        <w:rPr>
          <w:sz w:val="20"/>
        </w:rPr>
        <w:t>Injury must also be “actu</w:t>
      </w:r>
      <w:r w:rsidR="001B727C">
        <w:rPr>
          <w:sz w:val="20"/>
        </w:rPr>
        <w:t xml:space="preserve">al or imminent” – </w:t>
      </w:r>
      <w:r>
        <w:rPr>
          <w:sz w:val="20"/>
        </w:rPr>
        <w:t xml:space="preserve">“certainly impending” – </w:t>
      </w:r>
      <w:r>
        <w:rPr>
          <w:i/>
          <w:sz w:val="20"/>
        </w:rPr>
        <w:t>Clapper</w:t>
      </w:r>
    </w:p>
    <w:p w14:paraId="67FF4BD6" w14:textId="27AF3C42" w:rsidR="00CE6BF1" w:rsidRPr="00046FAC" w:rsidRDefault="00CE6BF1" w:rsidP="00CE6BF1">
      <w:pPr>
        <w:pStyle w:val="ListParagraph"/>
        <w:numPr>
          <w:ilvl w:val="3"/>
          <w:numId w:val="15"/>
        </w:numPr>
      </w:pPr>
      <w:r>
        <w:rPr>
          <w:sz w:val="20"/>
        </w:rPr>
        <w:t>Rejects claim that “hypothetical or conjectural” harms can create injury</w:t>
      </w:r>
      <w:r w:rsidR="00316924">
        <w:rPr>
          <w:sz w:val="20"/>
        </w:rPr>
        <w:t>-in-fact</w:t>
      </w:r>
    </w:p>
    <w:p w14:paraId="480D3166" w14:textId="77777777" w:rsidR="00CE6BF1" w:rsidRPr="00D05F08" w:rsidRDefault="00CE6BF1" w:rsidP="00CE6BF1">
      <w:pPr>
        <w:pStyle w:val="ListParagraph"/>
        <w:numPr>
          <w:ilvl w:val="4"/>
          <w:numId w:val="15"/>
        </w:numPr>
      </w:pPr>
      <w:r>
        <w:rPr>
          <w:sz w:val="20"/>
        </w:rPr>
        <w:t xml:space="preserve">Steps taken by plaintiffs to reduce likelihood of harm were insufficient to grant standing in </w:t>
      </w:r>
      <w:r>
        <w:rPr>
          <w:i/>
          <w:sz w:val="20"/>
        </w:rPr>
        <w:t>Clapper</w:t>
      </w:r>
      <w:r>
        <w:rPr>
          <w:sz w:val="20"/>
        </w:rPr>
        <w:t xml:space="preserve">, but accepted in </w:t>
      </w:r>
      <w:proofErr w:type="spellStart"/>
      <w:r>
        <w:rPr>
          <w:i/>
          <w:sz w:val="20"/>
        </w:rPr>
        <w:t>Baur</w:t>
      </w:r>
      <w:proofErr w:type="spellEnd"/>
      <w:r>
        <w:rPr>
          <w:sz w:val="20"/>
        </w:rPr>
        <w:t xml:space="preserve"> (mad cow disease)</w:t>
      </w:r>
    </w:p>
    <w:p w14:paraId="3D2CFC08" w14:textId="37B484EB" w:rsidR="00CE6BF1" w:rsidRPr="005767D7" w:rsidRDefault="00316924" w:rsidP="00CE6BF1">
      <w:pPr>
        <w:pStyle w:val="ListParagraph"/>
        <w:numPr>
          <w:ilvl w:val="4"/>
          <w:numId w:val="15"/>
        </w:numPr>
      </w:pPr>
      <w:r>
        <w:rPr>
          <w:sz w:val="20"/>
        </w:rPr>
        <w:t>Is there a “national security</w:t>
      </w:r>
      <w:r w:rsidR="00CE6BF1">
        <w:rPr>
          <w:sz w:val="20"/>
        </w:rPr>
        <w:t xml:space="preserve"> gloss” on injury-in-fact? We don’t want to encourage certain cases that infringe on military secrets (“negative solicitude”), but we want consumers to bring food safety lawsuits</w:t>
      </w:r>
    </w:p>
    <w:p w14:paraId="01CDA0EB" w14:textId="01830FFA" w:rsidR="00CE6BF1" w:rsidRPr="00046FAC" w:rsidRDefault="00CE6BF1" w:rsidP="00CE6BF1">
      <w:pPr>
        <w:pStyle w:val="ListParagraph"/>
        <w:numPr>
          <w:ilvl w:val="5"/>
          <w:numId w:val="15"/>
        </w:numPr>
      </w:pPr>
      <w:r>
        <w:rPr>
          <w:sz w:val="20"/>
        </w:rPr>
        <w:t xml:space="preserve">Judges just shouldn’t force the CIA to reveal budgets? Does that bring </w:t>
      </w:r>
      <w:r>
        <w:rPr>
          <w:i/>
          <w:sz w:val="20"/>
        </w:rPr>
        <w:t xml:space="preserve">Richardson </w:t>
      </w:r>
      <w:r w:rsidR="00316924">
        <w:rPr>
          <w:sz w:val="20"/>
        </w:rPr>
        <w:t>into the “security</w:t>
      </w:r>
      <w:r>
        <w:rPr>
          <w:sz w:val="20"/>
        </w:rPr>
        <w:t xml:space="preserve"> gloss” cases?</w:t>
      </w:r>
    </w:p>
    <w:p w14:paraId="48A2FAF6" w14:textId="6760228D" w:rsidR="00CE6BF1" w:rsidRPr="00D8142A" w:rsidRDefault="00CE6BF1" w:rsidP="00CE6BF1">
      <w:pPr>
        <w:pStyle w:val="ListParagraph"/>
        <w:numPr>
          <w:ilvl w:val="2"/>
          <w:numId w:val="15"/>
        </w:numPr>
      </w:pPr>
      <w:r>
        <w:rPr>
          <w:sz w:val="20"/>
        </w:rPr>
        <w:t>Abstract, stig</w:t>
      </w:r>
      <w:r w:rsidR="00A01951">
        <w:rPr>
          <w:sz w:val="20"/>
        </w:rPr>
        <w:t>matic injuries do not</w:t>
      </w:r>
      <w:r>
        <w:rPr>
          <w:sz w:val="20"/>
        </w:rPr>
        <w:t xml:space="preserve"> create constitutional standing – </w:t>
      </w:r>
      <w:r>
        <w:rPr>
          <w:i/>
          <w:sz w:val="20"/>
        </w:rPr>
        <w:t>Allen v. Wright</w:t>
      </w:r>
      <w:r>
        <w:rPr>
          <w:sz w:val="20"/>
        </w:rPr>
        <w:t xml:space="preserve"> </w:t>
      </w:r>
    </w:p>
    <w:p w14:paraId="2F8293ED" w14:textId="77777777" w:rsidR="00CE6BF1" w:rsidRPr="00197C60" w:rsidRDefault="00CE6BF1" w:rsidP="00CE6BF1">
      <w:pPr>
        <w:pStyle w:val="ListParagraph"/>
        <w:numPr>
          <w:ilvl w:val="2"/>
          <w:numId w:val="15"/>
        </w:numPr>
      </w:pPr>
      <w:r>
        <w:rPr>
          <w:sz w:val="20"/>
        </w:rPr>
        <w:t xml:space="preserve">Injury-in-fact initially served as a liberalizing move in </w:t>
      </w:r>
      <w:r>
        <w:rPr>
          <w:i/>
          <w:sz w:val="20"/>
        </w:rPr>
        <w:t>Data Processing</w:t>
      </w:r>
      <w:r>
        <w:rPr>
          <w:sz w:val="20"/>
        </w:rPr>
        <w:t xml:space="preserve">, but was eventually used as a block to court access in </w:t>
      </w:r>
      <w:r>
        <w:rPr>
          <w:i/>
          <w:sz w:val="20"/>
        </w:rPr>
        <w:t>Lujan</w:t>
      </w:r>
    </w:p>
    <w:p w14:paraId="3F71AC6F" w14:textId="77777777" w:rsidR="00CE6BF1" w:rsidRPr="005767D7" w:rsidRDefault="00CE6BF1" w:rsidP="00CE6BF1">
      <w:pPr>
        <w:pStyle w:val="ListParagraph"/>
        <w:numPr>
          <w:ilvl w:val="3"/>
          <w:numId w:val="15"/>
        </w:numPr>
      </w:pPr>
      <w:r>
        <w:rPr>
          <w:sz w:val="20"/>
        </w:rPr>
        <w:t>Even though Congress had explicitly created a cause of action (satisfying “prudential standing” pre-</w:t>
      </w:r>
      <w:r>
        <w:rPr>
          <w:i/>
          <w:sz w:val="20"/>
        </w:rPr>
        <w:t>Lexmark</w:t>
      </w:r>
      <w:r>
        <w:rPr>
          <w:sz w:val="20"/>
        </w:rPr>
        <w:t xml:space="preserve">), absence of cognizable injury-in-fact kept plaintiffs out of court – </w:t>
      </w:r>
      <w:r>
        <w:rPr>
          <w:i/>
          <w:sz w:val="20"/>
        </w:rPr>
        <w:t>Lujan</w:t>
      </w:r>
    </w:p>
    <w:p w14:paraId="06F10727" w14:textId="31E2C5FB" w:rsidR="00CE6BF1" w:rsidRPr="00197C60" w:rsidRDefault="007177ED" w:rsidP="00CE6BF1">
      <w:pPr>
        <w:pStyle w:val="ListParagraph"/>
        <w:numPr>
          <w:ilvl w:val="4"/>
          <w:numId w:val="15"/>
        </w:numPr>
      </w:pPr>
      <w:r>
        <w:rPr>
          <w:sz w:val="20"/>
        </w:rPr>
        <w:t xml:space="preserve">Same move is used </w:t>
      </w:r>
      <w:r w:rsidR="00CE6BF1">
        <w:rPr>
          <w:sz w:val="20"/>
        </w:rPr>
        <w:t xml:space="preserve">in </w:t>
      </w:r>
      <w:r w:rsidR="00CE6BF1">
        <w:rPr>
          <w:i/>
          <w:sz w:val="20"/>
        </w:rPr>
        <w:t>Simon</w:t>
      </w:r>
      <w:r>
        <w:rPr>
          <w:sz w:val="20"/>
        </w:rPr>
        <w:t xml:space="preserve"> – there is</w:t>
      </w:r>
      <w:r w:rsidR="00CE6BF1">
        <w:rPr>
          <w:sz w:val="20"/>
        </w:rPr>
        <w:t xml:space="preserve"> a cause of action, </w:t>
      </w:r>
      <w:r>
        <w:rPr>
          <w:sz w:val="20"/>
        </w:rPr>
        <w:t>but no injury-in-fact due to lack of</w:t>
      </w:r>
      <w:r w:rsidR="00CE6BF1">
        <w:rPr>
          <w:sz w:val="20"/>
        </w:rPr>
        <w:t xml:space="preserve"> nexus between legal wrong and substantive harm</w:t>
      </w:r>
      <w:r w:rsidR="00CE6BF1">
        <w:t xml:space="preserve"> </w:t>
      </w:r>
    </w:p>
    <w:p w14:paraId="67AC1B10" w14:textId="559994E0" w:rsidR="00CE6BF1" w:rsidRPr="00D8142A" w:rsidRDefault="007177ED" w:rsidP="00CE6BF1">
      <w:pPr>
        <w:pStyle w:val="ListParagraph"/>
        <w:numPr>
          <w:ilvl w:val="3"/>
          <w:numId w:val="15"/>
        </w:numPr>
      </w:pPr>
      <w:r>
        <w:rPr>
          <w:sz w:val="20"/>
        </w:rPr>
        <w:t>D</w:t>
      </w:r>
      <w:r w:rsidR="00CE6BF1">
        <w:rPr>
          <w:sz w:val="20"/>
        </w:rPr>
        <w:t xml:space="preserve">eprivation of procedural </w:t>
      </w:r>
      <w:r>
        <w:rPr>
          <w:sz w:val="20"/>
        </w:rPr>
        <w:t>rights leads to looser requirements of redressability &amp;</w:t>
      </w:r>
      <w:r w:rsidR="00CE6BF1">
        <w:rPr>
          <w:sz w:val="20"/>
        </w:rPr>
        <w:t xml:space="preserve"> causation – </w:t>
      </w:r>
      <w:r w:rsidR="00CE6BF1">
        <w:rPr>
          <w:i/>
          <w:sz w:val="20"/>
        </w:rPr>
        <w:t>see Mass v. EPA</w:t>
      </w:r>
    </w:p>
    <w:p w14:paraId="509721FB" w14:textId="77777777" w:rsidR="00CE6BF1" w:rsidRPr="001F1751" w:rsidRDefault="00CE6BF1" w:rsidP="00CE6BF1">
      <w:pPr>
        <w:pStyle w:val="ListParagraph"/>
        <w:numPr>
          <w:ilvl w:val="1"/>
          <w:numId w:val="15"/>
        </w:numPr>
      </w:pPr>
      <w:r>
        <w:rPr>
          <w:sz w:val="20"/>
        </w:rPr>
        <w:t>Causation</w:t>
      </w:r>
    </w:p>
    <w:p w14:paraId="50FF8CF9" w14:textId="77777777" w:rsidR="00CE6BF1" w:rsidRPr="00197C60" w:rsidRDefault="00CE6BF1" w:rsidP="00CE6BF1">
      <w:pPr>
        <w:pStyle w:val="ListParagraph"/>
        <w:numPr>
          <w:ilvl w:val="2"/>
          <w:numId w:val="15"/>
        </w:numPr>
      </w:pPr>
      <w:r>
        <w:rPr>
          <w:sz w:val="20"/>
        </w:rPr>
        <w:t>Third-party cases will usually consist of:</w:t>
      </w:r>
    </w:p>
    <w:p w14:paraId="76D010C8" w14:textId="1CA49898" w:rsidR="00CE6BF1" w:rsidRPr="00197C60" w:rsidRDefault="00CE6BF1" w:rsidP="00CE6BF1">
      <w:pPr>
        <w:pStyle w:val="ListParagraph"/>
        <w:numPr>
          <w:ilvl w:val="3"/>
          <w:numId w:val="15"/>
        </w:numPr>
      </w:pPr>
      <w:r>
        <w:rPr>
          <w:sz w:val="20"/>
        </w:rPr>
        <w:t>Procedural injury (agency’s legal wrong)</w:t>
      </w:r>
      <w:r w:rsidR="00F53D9B">
        <w:rPr>
          <w:sz w:val="20"/>
        </w:rPr>
        <w:t>;</w:t>
      </w:r>
      <w:r>
        <w:rPr>
          <w:sz w:val="20"/>
        </w:rPr>
        <w:t xml:space="preserve"> and </w:t>
      </w:r>
    </w:p>
    <w:p w14:paraId="2720D12D" w14:textId="77777777" w:rsidR="00CE6BF1" w:rsidRPr="00197C60" w:rsidRDefault="00CE6BF1" w:rsidP="00CE6BF1">
      <w:pPr>
        <w:pStyle w:val="ListParagraph"/>
        <w:numPr>
          <w:ilvl w:val="3"/>
          <w:numId w:val="15"/>
        </w:numPr>
      </w:pPr>
      <w:r>
        <w:rPr>
          <w:sz w:val="20"/>
        </w:rPr>
        <w:t>Substantive injury (plaintiff’s actual harm being inflicted by the 3</w:t>
      </w:r>
      <w:r w:rsidRPr="001F1751">
        <w:rPr>
          <w:sz w:val="20"/>
          <w:vertAlign w:val="superscript"/>
        </w:rPr>
        <w:t>rd</w:t>
      </w:r>
      <w:r>
        <w:rPr>
          <w:sz w:val="20"/>
        </w:rPr>
        <w:t xml:space="preserve"> party)</w:t>
      </w:r>
    </w:p>
    <w:p w14:paraId="31058364" w14:textId="6406318C" w:rsidR="00CE6BF1" w:rsidRPr="001F1751" w:rsidRDefault="007177ED" w:rsidP="00CE6BF1">
      <w:pPr>
        <w:pStyle w:val="ListParagraph"/>
        <w:numPr>
          <w:ilvl w:val="2"/>
          <w:numId w:val="15"/>
        </w:numPr>
      </w:pPr>
      <w:r>
        <w:rPr>
          <w:sz w:val="20"/>
        </w:rPr>
        <w:t>There must be a nexus between legal wrong and injury</w:t>
      </w:r>
      <w:r w:rsidR="00CE6BF1">
        <w:rPr>
          <w:sz w:val="20"/>
        </w:rPr>
        <w:t xml:space="preserve"> </w:t>
      </w:r>
      <w:r>
        <w:rPr>
          <w:sz w:val="20"/>
        </w:rPr>
        <w:t xml:space="preserve">– </w:t>
      </w:r>
      <w:r w:rsidR="00CE6BF1">
        <w:rPr>
          <w:i/>
          <w:sz w:val="20"/>
        </w:rPr>
        <w:t xml:space="preserve">Simon v. E. Kentucky Welfare </w:t>
      </w:r>
      <w:r w:rsidR="00CE6BF1">
        <w:rPr>
          <w:sz w:val="20"/>
        </w:rPr>
        <w:t>(charity hospital does not provid</w:t>
      </w:r>
      <w:r>
        <w:rPr>
          <w:sz w:val="20"/>
        </w:rPr>
        <w:t>e services for poor). This can occur in</w:t>
      </w:r>
      <w:r w:rsidR="00CE6BF1">
        <w:rPr>
          <w:sz w:val="20"/>
        </w:rPr>
        <w:t xml:space="preserve"> two ways:</w:t>
      </w:r>
    </w:p>
    <w:p w14:paraId="3B8E5737" w14:textId="77777777" w:rsidR="00CE6BF1" w:rsidRPr="001F1751" w:rsidRDefault="00CE6BF1" w:rsidP="00CE6BF1">
      <w:pPr>
        <w:pStyle w:val="ListParagraph"/>
        <w:numPr>
          <w:ilvl w:val="3"/>
          <w:numId w:val="15"/>
        </w:numPr>
      </w:pPr>
      <w:r>
        <w:rPr>
          <w:sz w:val="20"/>
        </w:rPr>
        <w:t>An agency orders a 3</w:t>
      </w:r>
      <w:r w:rsidRPr="001F1751">
        <w:rPr>
          <w:sz w:val="20"/>
          <w:vertAlign w:val="superscript"/>
        </w:rPr>
        <w:t>rd</w:t>
      </w:r>
      <w:r>
        <w:rPr>
          <w:sz w:val="20"/>
        </w:rPr>
        <w:t xml:space="preserve"> party to take an action that inflicts harm on the plaintiff</w:t>
      </w:r>
    </w:p>
    <w:p w14:paraId="5EB4A22F" w14:textId="77777777" w:rsidR="00CE6BF1" w:rsidRPr="001F1751" w:rsidRDefault="00CE6BF1" w:rsidP="00CE6BF1">
      <w:pPr>
        <w:pStyle w:val="ListParagraph"/>
        <w:numPr>
          <w:ilvl w:val="3"/>
          <w:numId w:val="15"/>
        </w:numPr>
      </w:pPr>
      <w:r>
        <w:rPr>
          <w:sz w:val="20"/>
        </w:rPr>
        <w:t xml:space="preserve">There is </w:t>
      </w:r>
      <w:r>
        <w:rPr>
          <w:i/>
          <w:sz w:val="20"/>
        </w:rPr>
        <w:t xml:space="preserve">no doubt </w:t>
      </w:r>
      <w:r>
        <w:rPr>
          <w:sz w:val="20"/>
        </w:rPr>
        <w:t>that agency action will force a 3</w:t>
      </w:r>
      <w:r w:rsidRPr="001F1751">
        <w:rPr>
          <w:sz w:val="20"/>
          <w:vertAlign w:val="superscript"/>
        </w:rPr>
        <w:t>rd</w:t>
      </w:r>
      <w:r>
        <w:rPr>
          <w:sz w:val="20"/>
        </w:rPr>
        <w:t xml:space="preserve"> party to change its behavior with respect to the plaintiff</w:t>
      </w:r>
    </w:p>
    <w:p w14:paraId="52BED0AC" w14:textId="77777777" w:rsidR="00CE6BF1" w:rsidRPr="00D8142A" w:rsidRDefault="00CE6BF1" w:rsidP="00CE6BF1">
      <w:pPr>
        <w:pStyle w:val="ListParagraph"/>
        <w:numPr>
          <w:ilvl w:val="1"/>
          <w:numId w:val="15"/>
        </w:numPr>
      </w:pPr>
      <w:r>
        <w:rPr>
          <w:sz w:val="20"/>
        </w:rPr>
        <w:t>Redressability</w:t>
      </w:r>
    </w:p>
    <w:p w14:paraId="7D582A07" w14:textId="77777777" w:rsidR="00CE6BF1" w:rsidRDefault="00CE6BF1" w:rsidP="00CE6BF1">
      <w:pPr>
        <w:pStyle w:val="Heading4"/>
        <w:rPr>
          <w:sz w:val="20"/>
        </w:rPr>
      </w:pPr>
      <w:r w:rsidRPr="00593F3B">
        <w:rPr>
          <w:sz w:val="20"/>
        </w:rPr>
        <w:t>Reviewability</w:t>
      </w:r>
    </w:p>
    <w:p w14:paraId="3A513CB0" w14:textId="158AC5D2" w:rsidR="00CE6BF1" w:rsidRPr="00E02E27" w:rsidRDefault="00CE6BF1" w:rsidP="00CE6BF1">
      <w:pPr>
        <w:pStyle w:val="ListParagraph"/>
        <w:numPr>
          <w:ilvl w:val="0"/>
          <w:numId w:val="16"/>
        </w:numPr>
      </w:pPr>
      <w:r>
        <w:rPr>
          <w:i/>
          <w:sz w:val="20"/>
        </w:rPr>
        <w:t xml:space="preserve">Abbott Labs </w:t>
      </w:r>
      <w:r>
        <w:rPr>
          <w:sz w:val="20"/>
        </w:rPr>
        <w:t xml:space="preserve">creates a presumption of reviewability, based in the </w:t>
      </w:r>
      <w:r w:rsidR="00050F27">
        <w:rPr>
          <w:sz w:val="20"/>
        </w:rPr>
        <w:t xml:space="preserve">statutory text of §704, with </w:t>
      </w:r>
      <w:r w:rsidR="00472EC1">
        <w:rPr>
          <w:sz w:val="20"/>
        </w:rPr>
        <w:t>two exceptions listed in §701</w:t>
      </w:r>
      <w:r w:rsidR="00180EFC">
        <w:rPr>
          <w:sz w:val="20"/>
        </w:rPr>
        <w:t>:</w:t>
      </w:r>
    </w:p>
    <w:p w14:paraId="59920660" w14:textId="77777777" w:rsidR="00CE6BF1" w:rsidRPr="002132D2" w:rsidRDefault="00CE6BF1" w:rsidP="00CE6BF1">
      <w:pPr>
        <w:pStyle w:val="ListParagraph"/>
        <w:numPr>
          <w:ilvl w:val="1"/>
          <w:numId w:val="16"/>
        </w:numPr>
      </w:pPr>
      <w:r>
        <w:rPr>
          <w:sz w:val="20"/>
        </w:rPr>
        <w:t xml:space="preserve">The presumption of reviewability stems from an acknowledgment of a shift from the clean dividing lines of </w:t>
      </w:r>
      <w:r>
        <w:rPr>
          <w:i/>
          <w:sz w:val="20"/>
        </w:rPr>
        <w:t xml:space="preserve">Crowell </w:t>
      </w:r>
      <w:r>
        <w:rPr>
          <w:sz w:val="20"/>
        </w:rPr>
        <w:t>to the modern, comprehensive administrative state</w:t>
      </w:r>
    </w:p>
    <w:p w14:paraId="520B73EE" w14:textId="49B6184F" w:rsidR="00CE6BF1" w:rsidRPr="00736EF6" w:rsidRDefault="00180EFC" w:rsidP="00180EFC">
      <w:pPr>
        <w:pStyle w:val="ListParagraph"/>
        <w:numPr>
          <w:ilvl w:val="0"/>
          <w:numId w:val="16"/>
        </w:numPr>
      </w:pPr>
      <w:r>
        <w:rPr>
          <w:sz w:val="20"/>
        </w:rPr>
        <w:t xml:space="preserve">§701(a)(1) - </w:t>
      </w:r>
      <w:r w:rsidR="00CE6BF1">
        <w:rPr>
          <w:sz w:val="20"/>
        </w:rPr>
        <w:t>Statutes preclude review, either explicitly or implicitly</w:t>
      </w:r>
    </w:p>
    <w:tbl>
      <w:tblPr>
        <w:tblStyle w:val="GridTable5Dark"/>
        <w:tblW w:w="0" w:type="auto"/>
        <w:tblInd w:w="790" w:type="dxa"/>
        <w:tblLook w:val="04A0" w:firstRow="1" w:lastRow="0" w:firstColumn="1" w:lastColumn="0" w:noHBand="0" w:noVBand="1"/>
      </w:tblPr>
      <w:tblGrid>
        <w:gridCol w:w="2592"/>
        <w:gridCol w:w="2592"/>
        <w:gridCol w:w="2592"/>
      </w:tblGrid>
      <w:tr w:rsidR="00CE6BF1" w14:paraId="3D3D897D" w14:textId="77777777" w:rsidTr="007D3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1C6B503F" w14:textId="77777777" w:rsidR="00CE6BF1" w:rsidRPr="00736EF6" w:rsidRDefault="00CE6BF1" w:rsidP="007D3E0A">
            <w:pPr>
              <w:jc w:val="center"/>
              <w:rPr>
                <w:sz w:val="20"/>
              </w:rPr>
            </w:pPr>
          </w:p>
        </w:tc>
        <w:tc>
          <w:tcPr>
            <w:tcW w:w="2592" w:type="dxa"/>
            <w:vAlign w:val="center"/>
          </w:tcPr>
          <w:p w14:paraId="5BF2521C" w14:textId="77777777" w:rsidR="00CE6BF1" w:rsidRPr="00736EF6" w:rsidRDefault="00CE6BF1" w:rsidP="007D3E0A">
            <w:pPr>
              <w:tabs>
                <w:tab w:val="left" w:pos="760"/>
              </w:tabs>
              <w:jc w:val="center"/>
              <w:cnfStyle w:val="100000000000" w:firstRow="1" w:lastRow="0" w:firstColumn="0" w:lastColumn="0" w:oddVBand="0" w:evenVBand="0" w:oddHBand="0" w:evenHBand="0" w:firstRowFirstColumn="0" w:firstRowLastColumn="0" w:lastRowFirstColumn="0" w:lastRowLastColumn="0"/>
              <w:rPr>
                <w:sz w:val="20"/>
              </w:rPr>
            </w:pPr>
            <w:r w:rsidRPr="00736EF6">
              <w:rPr>
                <w:sz w:val="20"/>
              </w:rPr>
              <w:t>Explicit Preclusion</w:t>
            </w:r>
          </w:p>
        </w:tc>
        <w:tc>
          <w:tcPr>
            <w:tcW w:w="2592" w:type="dxa"/>
            <w:vAlign w:val="center"/>
          </w:tcPr>
          <w:p w14:paraId="7A44D21D" w14:textId="77777777" w:rsidR="00CE6BF1" w:rsidRPr="00736EF6" w:rsidRDefault="00CE6BF1" w:rsidP="007D3E0A">
            <w:pPr>
              <w:jc w:val="center"/>
              <w:cnfStyle w:val="100000000000" w:firstRow="1" w:lastRow="0" w:firstColumn="0" w:lastColumn="0" w:oddVBand="0" w:evenVBand="0" w:oddHBand="0" w:evenHBand="0" w:firstRowFirstColumn="0" w:firstRowLastColumn="0" w:lastRowFirstColumn="0" w:lastRowLastColumn="0"/>
              <w:rPr>
                <w:sz w:val="20"/>
              </w:rPr>
            </w:pPr>
            <w:r w:rsidRPr="00736EF6">
              <w:rPr>
                <w:sz w:val="20"/>
              </w:rPr>
              <w:t>Implicit Preclusion</w:t>
            </w:r>
          </w:p>
        </w:tc>
      </w:tr>
      <w:tr w:rsidR="00CE6BF1" w14:paraId="272312CC" w14:textId="77777777" w:rsidTr="007D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7CD04A10" w14:textId="77777777" w:rsidR="00CE6BF1" w:rsidRPr="00736EF6" w:rsidRDefault="00CE6BF1" w:rsidP="007D3E0A">
            <w:pPr>
              <w:jc w:val="center"/>
              <w:rPr>
                <w:sz w:val="20"/>
              </w:rPr>
            </w:pPr>
            <w:r w:rsidRPr="00736EF6">
              <w:rPr>
                <w:sz w:val="20"/>
              </w:rPr>
              <w:t>Constitutional</w:t>
            </w:r>
          </w:p>
        </w:tc>
        <w:tc>
          <w:tcPr>
            <w:tcW w:w="2592" w:type="dxa"/>
            <w:vAlign w:val="center"/>
          </w:tcPr>
          <w:p w14:paraId="5DB636DB" w14:textId="77777777" w:rsidR="00CE6BF1" w:rsidRPr="00736EF6" w:rsidRDefault="00CE6BF1" w:rsidP="007D3E0A">
            <w:pPr>
              <w:jc w:val="center"/>
              <w:cnfStyle w:val="000000100000" w:firstRow="0" w:lastRow="0" w:firstColumn="0" w:lastColumn="0" w:oddVBand="0" w:evenVBand="0" w:oddHBand="1" w:evenHBand="0" w:firstRowFirstColumn="0" w:firstRowLastColumn="0" w:lastRowFirstColumn="0" w:lastRowLastColumn="0"/>
              <w:rPr>
                <w:sz w:val="20"/>
              </w:rPr>
            </w:pPr>
            <w:r w:rsidRPr="00736EF6">
              <w:rPr>
                <w:i/>
                <w:sz w:val="20"/>
              </w:rPr>
              <w:t>Johnson v. Robinson, St. Cyr</w:t>
            </w:r>
          </w:p>
        </w:tc>
        <w:tc>
          <w:tcPr>
            <w:tcW w:w="2592" w:type="dxa"/>
            <w:vAlign w:val="center"/>
          </w:tcPr>
          <w:p w14:paraId="326350E4" w14:textId="77777777" w:rsidR="00CE6BF1" w:rsidRPr="00736EF6" w:rsidRDefault="00CE6BF1" w:rsidP="007D3E0A">
            <w:pPr>
              <w:jc w:val="center"/>
              <w:cnfStyle w:val="000000100000" w:firstRow="0" w:lastRow="0" w:firstColumn="0" w:lastColumn="0" w:oddVBand="0" w:evenVBand="0" w:oddHBand="1" w:evenHBand="0" w:firstRowFirstColumn="0" w:firstRowLastColumn="0" w:lastRowFirstColumn="0" w:lastRowLastColumn="0"/>
              <w:rPr>
                <w:sz w:val="20"/>
              </w:rPr>
            </w:pPr>
            <w:r w:rsidRPr="00736EF6">
              <w:rPr>
                <w:sz w:val="20"/>
              </w:rPr>
              <w:t>Never occurs</w:t>
            </w:r>
          </w:p>
        </w:tc>
      </w:tr>
      <w:tr w:rsidR="00CE6BF1" w14:paraId="7E73F326" w14:textId="77777777" w:rsidTr="007D3E0A">
        <w:tc>
          <w:tcPr>
            <w:cnfStyle w:val="001000000000" w:firstRow="0" w:lastRow="0" w:firstColumn="1" w:lastColumn="0" w:oddVBand="0" w:evenVBand="0" w:oddHBand="0" w:evenHBand="0" w:firstRowFirstColumn="0" w:firstRowLastColumn="0" w:lastRowFirstColumn="0" w:lastRowLastColumn="0"/>
            <w:tcW w:w="2592" w:type="dxa"/>
            <w:vAlign w:val="center"/>
          </w:tcPr>
          <w:p w14:paraId="0794D908" w14:textId="77777777" w:rsidR="00CE6BF1" w:rsidRPr="00736EF6" w:rsidRDefault="00CE6BF1" w:rsidP="007D3E0A">
            <w:pPr>
              <w:jc w:val="center"/>
              <w:rPr>
                <w:sz w:val="20"/>
              </w:rPr>
            </w:pPr>
            <w:r w:rsidRPr="00736EF6">
              <w:rPr>
                <w:sz w:val="20"/>
              </w:rPr>
              <w:t>Statutory</w:t>
            </w:r>
          </w:p>
        </w:tc>
        <w:tc>
          <w:tcPr>
            <w:tcW w:w="2592" w:type="dxa"/>
            <w:vAlign w:val="center"/>
          </w:tcPr>
          <w:p w14:paraId="7456AEDE" w14:textId="77777777" w:rsidR="00CE6BF1" w:rsidRPr="00736EF6" w:rsidRDefault="00CE6BF1" w:rsidP="007D3E0A">
            <w:pPr>
              <w:jc w:val="center"/>
              <w:cnfStyle w:val="000000000000" w:firstRow="0" w:lastRow="0" w:firstColumn="0" w:lastColumn="0" w:oddVBand="0" w:evenVBand="0" w:oddHBand="0" w:evenHBand="0" w:firstRowFirstColumn="0" w:firstRowLastColumn="0" w:lastRowFirstColumn="0" w:lastRowLastColumn="0"/>
              <w:rPr>
                <w:sz w:val="20"/>
              </w:rPr>
            </w:pPr>
            <w:r w:rsidRPr="00736EF6">
              <w:rPr>
                <w:sz w:val="20"/>
              </w:rPr>
              <w:t>No problem</w:t>
            </w:r>
          </w:p>
        </w:tc>
        <w:tc>
          <w:tcPr>
            <w:tcW w:w="2592" w:type="dxa"/>
            <w:vAlign w:val="center"/>
          </w:tcPr>
          <w:p w14:paraId="3C7F65DF" w14:textId="77777777" w:rsidR="00CE6BF1" w:rsidRPr="00736EF6" w:rsidRDefault="00CE6BF1" w:rsidP="007D3E0A">
            <w:pPr>
              <w:jc w:val="center"/>
              <w:cnfStyle w:val="000000000000" w:firstRow="0" w:lastRow="0" w:firstColumn="0" w:lastColumn="0" w:oddVBand="0" w:evenVBand="0" w:oddHBand="0" w:evenHBand="0" w:firstRowFirstColumn="0" w:firstRowLastColumn="0" w:lastRowFirstColumn="0" w:lastRowLastColumn="0"/>
              <w:rPr>
                <w:sz w:val="20"/>
              </w:rPr>
            </w:pPr>
            <w:r w:rsidRPr="00736EF6">
              <w:rPr>
                <w:i/>
                <w:sz w:val="20"/>
              </w:rPr>
              <w:t xml:space="preserve">Block </w:t>
            </w:r>
            <w:r w:rsidRPr="00736EF6">
              <w:rPr>
                <w:sz w:val="20"/>
              </w:rPr>
              <w:t xml:space="preserve">(and maybe </w:t>
            </w:r>
            <w:r w:rsidRPr="00736EF6">
              <w:rPr>
                <w:i/>
                <w:sz w:val="20"/>
              </w:rPr>
              <w:t>Bowen</w:t>
            </w:r>
            <w:r w:rsidRPr="00736EF6">
              <w:rPr>
                <w:sz w:val="20"/>
              </w:rPr>
              <w:t>)</w:t>
            </w:r>
          </w:p>
        </w:tc>
      </w:tr>
    </w:tbl>
    <w:p w14:paraId="38BB75AC" w14:textId="77777777" w:rsidR="004E1640" w:rsidRPr="004E1640" w:rsidRDefault="00CE6BF1" w:rsidP="00180EFC">
      <w:pPr>
        <w:pStyle w:val="ListParagraph"/>
        <w:numPr>
          <w:ilvl w:val="1"/>
          <w:numId w:val="16"/>
        </w:numPr>
      </w:pPr>
      <w:r>
        <w:rPr>
          <w:sz w:val="20"/>
        </w:rPr>
        <w:t>Under implicit preclusion, the presumption is overcome if i</w:t>
      </w:r>
      <w:r w:rsidR="00872AC9">
        <w:rPr>
          <w:sz w:val="20"/>
        </w:rPr>
        <w:t xml:space="preserve">ntention to preclude review is proven by clear and convincing evidence </w:t>
      </w:r>
      <w:r>
        <w:rPr>
          <w:sz w:val="20"/>
        </w:rPr>
        <w:t xml:space="preserve">– </w:t>
      </w:r>
      <w:r w:rsidR="004E1640">
        <w:rPr>
          <w:i/>
          <w:sz w:val="20"/>
        </w:rPr>
        <w:t>Bowen</w:t>
      </w:r>
      <w:r>
        <w:rPr>
          <w:i/>
          <w:sz w:val="20"/>
        </w:rPr>
        <w:t xml:space="preserve"> </w:t>
      </w:r>
    </w:p>
    <w:p w14:paraId="41440286" w14:textId="0653D8CB" w:rsidR="00CE6BF1" w:rsidRPr="00186617" w:rsidRDefault="004E1640" w:rsidP="004E1640">
      <w:pPr>
        <w:pStyle w:val="ListParagraph"/>
        <w:numPr>
          <w:ilvl w:val="2"/>
          <w:numId w:val="16"/>
        </w:numPr>
      </w:pPr>
      <w:r>
        <w:rPr>
          <w:sz w:val="20"/>
        </w:rPr>
        <w:t xml:space="preserve">Represents a slight shift from </w:t>
      </w:r>
      <w:r>
        <w:rPr>
          <w:i/>
          <w:sz w:val="20"/>
        </w:rPr>
        <w:t>Block v. CNI</w:t>
      </w:r>
      <w:r>
        <w:rPr>
          <w:sz w:val="20"/>
        </w:rPr>
        <w:t xml:space="preserve"> </w:t>
      </w:r>
      <w:r w:rsidR="00CE6BF1">
        <w:rPr>
          <w:sz w:val="20"/>
        </w:rPr>
        <w:t>(consumers cannot get review because middlemen already get judicial review)</w:t>
      </w:r>
    </w:p>
    <w:p w14:paraId="6921A31F" w14:textId="77777777" w:rsidR="00CE6BF1" w:rsidRPr="00EA7821" w:rsidRDefault="00CE6BF1" w:rsidP="004E1640">
      <w:pPr>
        <w:pStyle w:val="ListParagraph"/>
        <w:numPr>
          <w:ilvl w:val="3"/>
          <w:numId w:val="16"/>
        </w:numPr>
      </w:pPr>
      <w:r>
        <w:rPr>
          <w:sz w:val="20"/>
        </w:rPr>
        <w:t xml:space="preserve">The rationale makes </w:t>
      </w:r>
      <w:r>
        <w:rPr>
          <w:i/>
          <w:sz w:val="20"/>
        </w:rPr>
        <w:t xml:space="preserve">no </w:t>
      </w:r>
      <w:r>
        <w:rPr>
          <w:sz w:val="20"/>
        </w:rPr>
        <w:t xml:space="preserve">sense here – the availability of other potential plaintiffs is not used </w:t>
      </w:r>
      <w:r>
        <w:rPr>
          <w:i/>
          <w:sz w:val="20"/>
        </w:rPr>
        <w:t xml:space="preserve">anywhere </w:t>
      </w:r>
      <w:r>
        <w:rPr>
          <w:sz w:val="20"/>
        </w:rPr>
        <w:t xml:space="preserve">else as a reason to keep </w:t>
      </w:r>
      <w:r>
        <w:rPr>
          <w:i/>
          <w:sz w:val="20"/>
        </w:rPr>
        <w:t xml:space="preserve">this </w:t>
      </w:r>
      <w:r>
        <w:rPr>
          <w:sz w:val="20"/>
        </w:rPr>
        <w:t>plaintiff out of court</w:t>
      </w:r>
    </w:p>
    <w:p w14:paraId="4A7BD14D" w14:textId="6C702AA3" w:rsidR="00CE6BF1" w:rsidRPr="00736EF6" w:rsidRDefault="004E1640" w:rsidP="004E1640">
      <w:pPr>
        <w:pStyle w:val="ListParagraph"/>
        <w:numPr>
          <w:ilvl w:val="4"/>
          <w:numId w:val="16"/>
        </w:numPr>
      </w:pPr>
      <w:r>
        <w:rPr>
          <w:sz w:val="20"/>
        </w:rPr>
        <w:t>True rationale is that the</w:t>
      </w:r>
      <w:r w:rsidR="00CE6BF1">
        <w:rPr>
          <w:sz w:val="20"/>
        </w:rPr>
        <w:t xml:space="preserve"> </w:t>
      </w:r>
      <w:r w:rsidR="00CE6BF1">
        <w:rPr>
          <w:i/>
          <w:sz w:val="20"/>
        </w:rPr>
        <w:t xml:space="preserve">object </w:t>
      </w:r>
      <w:r w:rsidR="00CE6BF1">
        <w:rPr>
          <w:sz w:val="20"/>
        </w:rPr>
        <w:t xml:space="preserve">of this statute is </w:t>
      </w:r>
      <w:r>
        <w:rPr>
          <w:sz w:val="20"/>
        </w:rPr>
        <w:t>to raise consumer prices. A</w:t>
      </w:r>
      <w:r w:rsidR="00CE6BF1">
        <w:rPr>
          <w:sz w:val="20"/>
        </w:rPr>
        <w:t>llowing consumers to challenge would be antithetical to the purposes of the statute, so we will find a way to exclude you</w:t>
      </w:r>
    </w:p>
    <w:p w14:paraId="0B19462D" w14:textId="77777777" w:rsidR="00CE6BF1" w:rsidRPr="00736EF6" w:rsidRDefault="00CE6BF1" w:rsidP="00180EFC">
      <w:pPr>
        <w:pStyle w:val="ListParagraph"/>
        <w:numPr>
          <w:ilvl w:val="2"/>
          <w:numId w:val="16"/>
        </w:numPr>
      </w:pPr>
      <w:r>
        <w:rPr>
          <w:sz w:val="20"/>
        </w:rPr>
        <w:t>Argument for preclusion is mushy – the presumption of reviewability is not as strong as it first appears in a statutory context</w:t>
      </w:r>
    </w:p>
    <w:p w14:paraId="63A5DF99" w14:textId="77777777" w:rsidR="00CE6BF1" w:rsidRPr="00736EF6" w:rsidRDefault="00CE6BF1" w:rsidP="00180EFC">
      <w:pPr>
        <w:pStyle w:val="ListParagraph"/>
        <w:numPr>
          <w:ilvl w:val="2"/>
          <w:numId w:val="16"/>
        </w:numPr>
      </w:pPr>
      <w:r w:rsidRPr="00736EF6">
        <w:rPr>
          <w:sz w:val="20"/>
        </w:rPr>
        <w:t xml:space="preserve">The weakness of preclusion is </w:t>
      </w:r>
      <w:r w:rsidRPr="00736EF6">
        <w:rPr>
          <w:i/>
          <w:sz w:val="20"/>
        </w:rPr>
        <w:t xml:space="preserve">not at all </w:t>
      </w:r>
      <w:r w:rsidRPr="00736EF6">
        <w:rPr>
          <w:sz w:val="20"/>
        </w:rPr>
        <w:t>weak in constitutional cases, however</w:t>
      </w:r>
    </w:p>
    <w:p w14:paraId="6D7FD3B6" w14:textId="77777777" w:rsidR="00CE6BF1" w:rsidRPr="00736EF6" w:rsidRDefault="00CE6BF1" w:rsidP="00180EFC">
      <w:pPr>
        <w:pStyle w:val="ListParagraph"/>
        <w:numPr>
          <w:ilvl w:val="1"/>
          <w:numId w:val="16"/>
        </w:numPr>
      </w:pPr>
      <w:r>
        <w:rPr>
          <w:sz w:val="20"/>
        </w:rPr>
        <w:t xml:space="preserve">Explicit preclusion provisions are generally construed much more narrowly, especially when constitutional concerns are implicated – </w:t>
      </w:r>
      <w:r>
        <w:rPr>
          <w:i/>
          <w:sz w:val="20"/>
        </w:rPr>
        <w:t>Johnson v. Robinson</w:t>
      </w:r>
    </w:p>
    <w:p w14:paraId="5BE9D2DE" w14:textId="77777777" w:rsidR="00CE6BF1" w:rsidRPr="00736EF6" w:rsidRDefault="00CE6BF1" w:rsidP="00180EFC">
      <w:pPr>
        <w:pStyle w:val="ListParagraph"/>
        <w:numPr>
          <w:ilvl w:val="2"/>
          <w:numId w:val="16"/>
        </w:numPr>
      </w:pPr>
      <w:r>
        <w:rPr>
          <w:sz w:val="20"/>
        </w:rPr>
        <w:t>The court is stretching here – the constitutional claim arises under a statute</w:t>
      </w:r>
    </w:p>
    <w:p w14:paraId="344B8244" w14:textId="05981883" w:rsidR="00CE6BF1" w:rsidRPr="000C5367" w:rsidRDefault="00CE6BF1" w:rsidP="00180EFC">
      <w:pPr>
        <w:pStyle w:val="ListParagraph"/>
        <w:numPr>
          <w:ilvl w:val="2"/>
          <w:numId w:val="16"/>
        </w:numPr>
      </w:pPr>
      <w:r>
        <w:rPr>
          <w:sz w:val="20"/>
        </w:rPr>
        <w:t>Congress’ failure to preclude reviewability o</w:t>
      </w:r>
      <w:r w:rsidR="00050F27">
        <w:rPr>
          <w:sz w:val="20"/>
        </w:rPr>
        <w:t xml:space="preserve">f constitutional review is actually </w:t>
      </w:r>
      <w:r>
        <w:rPr>
          <w:sz w:val="20"/>
        </w:rPr>
        <w:t>a convention. It’s unlikely that preclusion of review is constitutional, and the Court doesn’t want to come out and say it</w:t>
      </w:r>
    </w:p>
    <w:tbl>
      <w:tblPr>
        <w:tblStyle w:val="GridTable5Dark"/>
        <w:tblW w:w="0" w:type="auto"/>
        <w:tblInd w:w="790" w:type="dxa"/>
        <w:tblLook w:val="04A0" w:firstRow="1" w:lastRow="0" w:firstColumn="1" w:lastColumn="0" w:noHBand="0" w:noVBand="1"/>
      </w:tblPr>
      <w:tblGrid>
        <w:gridCol w:w="2592"/>
        <w:gridCol w:w="2592"/>
        <w:gridCol w:w="2592"/>
      </w:tblGrid>
      <w:tr w:rsidR="000C5367" w:rsidRPr="00736EF6" w14:paraId="28C91A99" w14:textId="77777777" w:rsidTr="00A05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07C133BE" w14:textId="77777777" w:rsidR="000C5367" w:rsidRPr="00736EF6" w:rsidRDefault="000C5367" w:rsidP="00A05E37">
            <w:pPr>
              <w:jc w:val="center"/>
              <w:rPr>
                <w:sz w:val="20"/>
              </w:rPr>
            </w:pPr>
          </w:p>
        </w:tc>
        <w:tc>
          <w:tcPr>
            <w:tcW w:w="2592" w:type="dxa"/>
            <w:vAlign w:val="center"/>
          </w:tcPr>
          <w:p w14:paraId="19EABCF1" w14:textId="77777777" w:rsidR="000C5367" w:rsidRPr="00736EF6" w:rsidRDefault="000C5367" w:rsidP="00A05E37">
            <w:pPr>
              <w:tabs>
                <w:tab w:val="left" w:pos="760"/>
              </w:tabs>
              <w:jc w:val="center"/>
              <w:cnfStyle w:val="100000000000" w:firstRow="1" w:lastRow="0" w:firstColumn="0" w:lastColumn="0" w:oddVBand="0" w:evenVBand="0" w:oddHBand="0" w:evenHBand="0" w:firstRowFirstColumn="0" w:firstRowLastColumn="0" w:lastRowFirstColumn="0" w:lastRowLastColumn="0"/>
              <w:rPr>
                <w:sz w:val="20"/>
              </w:rPr>
            </w:pPr>
            <w:r>
              <w:rPr>
                <w:sz w:val="20"/>
              </w:rPr>
              <w:t>Action</w:t>
            </w:r>
          </w:p>
        </w:tc>
        <w:tc>
          <w:tcPr>
            <w:tcW w:w="2592" w:type="dxa"/>
            <w:vAlign w:val="center"/>
          </w:tcPr>
          <w:p w14:paraId="5D5F36E0" w14:textId="77777777" w:rsidR="000C5367" w:rsidRPr="00736EF6" w:rsidRDefault="000C5367" w:rsidP="00A05E37">
            <w:pPr>
              <w:jc w:val="center"/>
              <w:cnfStyle w:val="100000000000" w:firstRow="1" w:lastRow="0" w:firstColumn="0" w:lastColumn="0" w:oddVBand="0" w:evenVBand="0" w:oddHBand="0" w:evenHBand="0" w:firstRowFirstColumn="0" w:firstRowLastColumn="0" w:lastRowFirstColumn="0" w:lastRowLastColumn="0"/>
              <w:rPr>
                <w:sz w:val="20"/>
              </w:rPr>
            </w:pPr>
            <w:r>
              <w:rPr>
                <w:sz w:val="20"/>
              </w:rPr>
              <w:t>Inaction</w:t>
            </w:r>
          </w:p>
        </w:tc>
      </w:tr>
      <w:tr w:rsidR="000C5367" w:rsidRPr="002660BF" w14:paraId="3B4D2335" w14:textId="77777777" w:rsidTr="00A0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460E36A6" w14:textId="77777777" w:rsidR="000C5367" w:rsidRPr="00736EF6" w:rsidRDefault="000C5367" w:rsidP="00A05E37">
            <w:pPr>
              <w:jc w:val="center"/>
              <w:rPr>
                <w:sz w:val="20"/>
              </w:rPr>
            </w:pPr>
            <w:r>
              <w:rPr>
                <w:sz w:val="20"/>
              </w:rPr>
              <w:t>Enforcement</w:t>
            </w:r>
          </w:p>
        </w:tc>
        <w:tc>
          <w:tcPr>
            <w:tcW w:w="2592" w:type="dxa"/>
            <w:vAlign w:val="center"/>
          </w:tcPr>
          <w:p w14:paraId="2A535AB1" w14:textId="77777777" w:rsidR="000C5367" w:rsidRPr="002660BF" w:rsidRDefault="000C5367" w:rsidP="00A05E37">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Presumptively Reviewable – </w:t>
            </w:r>
            <w:r>
              <w:rPr>
                <w:i/>
                <w:sz w:val="20"/>
              </w:rPr>
              <w:t>Webster</w:t>
            </w:r>
            <w:r>
              <w:rPr>
                <w:sz w:val="20"/>
              </w:rPr>
              <w:t xml:space="preserve">, </w:t>
            </w:r>
            <w:r>
              <w:rPr>
                <w:i/>
                <w:sz w:val="20"/>
              </w:rPr>
              <w:t>Chenery II</w:t>
            </w:r>
          </w:p>
        </w:tc>
        <w:tc>
          <w:tcPr>
            <w:tcW w:w="2592" w:type="dxa"/>
            <w:vAlign w:val="center"/>
          </w:tcPr>
          <w:p w14:paraId="5ACB10B7" w14:textId="77777777" w:rsidR="000C5367" w:rsidRPr="002660BF" w:rsidRDefault="000C5367" w:rsidP="00A05E37">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Presumptively Non-Reviewable – </w:t>
            </w:r>
            <w:r>
              <w:rPr>
                <w:i/>
                <w:sz w:val="20"/>
              </w:rPr>
              <w:t>Heckler</w:t>
            </w:r>
          </w:p>
        </w:tc>
      </w:tr>
      <w:tr w:rsidR="000C5367" w:rsidRPr="002660BF" w14:paraId="258F391D" w14:textId="77777777" w:rsidTr="00A05E37">
        <w:tc>
          <w:tcPr>
            <w:cnfStyle w:val="001000000000" w:firstRow="0" w:lastRow="0" w:firstColumn="1" w:lastColumn="0" w:oddVBand="0" w:evenVBand="0" w:oddHBand="0" w:evenHBand="0" w:firstRowFirstColumn="0" w:firstRowLastColumn="0" w:lastRowFirstColumn="0" w:lastRowLastColumn="0"/>
            <w:tcW w:w="2592" w:type="dxa"/>
            <w:vAlign w:val="center"/>
          </w:tcPr>
          <w:p w14:paraId="194C8338" w14:textId="77777777" w:rsidR="000C5367" w:rsidRPr="00736EF6" w:rsidRDefault="000C5367" w:rsidP="00A05E37">
            <w:pPr>
              <w:jc w:val="center"/>
              <w:rPr>
                <w:sz w:val="20"/>
              </w:rPr>
            </w:pPr>
            <w:r>
              <w:rPr>
                <w:sz w:val="20"/>
              </w:rPr>
              <w:t>Rulemaking</w:t>
            </w:r>
          </w:p>
        </w:tc>
        <w:tc>
          <w:tcPr>
            <w:tcW w:w="2592" w:type="dxa"/>
            <w:vAlign w:val="center"/>
          </w:tcPr>
          <w:p w14:paraId="2752C274" w14:textId="6329C60A" w:rsidR="000C5367" w:rsidRPr="002660BF" w:rsidRDefault="000C5367" w:rsidP="00A05E37">
            <w:pPr>
              <w:jc w:val="center"/>
              <w:cnfStyle w:val="000000000000" w:firstRow="0" w:lastRow="0" w:firstColumn="0" w:lastColumn="0" w:oddVBand="0" w:evenVBand="0" w:oddHBand="0" w:evenHBand="0" w:firstRowFirstColumn="0" w:firstRowLastColumn="0" w:lastRowFirstColumn="0" w:lastRowLastColumn="0"/>
              <w:rPr>
                <w:i/>
                <w:sz w:val="20"/>
              </w:rPr>
            </w:pPr>
            <w:r>
              <w:rPr>
                <w:sz w:val="20"/>
              </w:rPr>
              <w:t xml:space="preserve">Presumptively Reviewable – </w:t>
            </w:r>
            <w:r>
              <w:rPr>
                <w:i/>
                <w:sz w:val="20"/>
              </w:rPr>
              <w:t>Abbot</w:t>
            </w:r>
            <w:r w:rsidR="00A05E37">
              <w:rPr>
                <w:i/>
                <w:sz w:val="20"/>
              </w:rPr>
              <w:t>t</w:t>
            </w:r>
            <w:r>
              <w:rPr>
                <w:i/>
                <w:sz w:val="20"/>
              </w:rPr>
              <w:t xml:space="preserve"> Labs</w:t>
            </w:r>
          </w:p>
        </w:tc>
        <w:tc>
          <w:tcPr>
            <w:tcW w:w="2592" w:type="dxa"/>
            <w:vAlign w:val="center"/>
          </w:tcPr>
          <w:p w14:paraId="2CFA9E14" w14:textId="77777777" w:rsidR="000C5367" w:rsidRPr="002660BF" w:rsidRDefault="000C5367" w:rsidP="00A05E37">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WEAK Presumption Against Reviewability – </w:t>
            </w:r>
            <w:r>
              <w:rPr>
                <w:i/>
                <w:sz w:val="20"/>
              </w:rPr>
              <w:t>Mass v. EPA</w:t>
            </w:r>
          </w:p>
        </w:tc>
      </w:tr>
    </w:tbl>
    <w:p w14:paraId="4FD12898" w14:textId="148A4258" w:rsidR="00CE6BF1" w:rsidRPr="00CE3522" w:rsidRDefault="00180EFC" w:rsidP="00180EFC">
      <w:pPr>
        <w:pStyle w:val="ListParagraph"/>
        <w:numPr>
          <w:ilvl w:val="0"/>
          <w:numId w:val="16"/>
        </w:numPr>
      </w:pPr>
      <w:r>
        <w:rPr>
          <w:sz w:val="20"/>
        </w:rPr>
        <w:t xml:space="preserve">§702(a)(2) – </w:t>
      </w:r>
      <w:r w:rsidR="00CE6BF1">
        <w:rPr>
          <w:sz w:val="20"/>
        </w:rPr>
        <w:t>Agency action is committed to agency discretion by law</w:t>
      </w:r>
    </w:p>
    <w:p w14:paraId="260F2A69" w14:textId="39C10998" w:rsidR="00CE6BF1" w:rsidRPr="00CE3522" w:rsidRDefault="00CE6BF1" w:rsidP="00180EFC">
      <w:pPr>
        <w:pStyle w:val="ListParagraph"/>
        <w:numPr>
          <w:ilvl w:val="1"/>
          <w:numId w:val="16"/>
        </w:numPr>
      </w:pPr>
      <w:r>
        <w:rPr>
          <w:sz w:val="20"/>
        </w:rPr>
        <w:t xml:space="preserve">This exception must be construed narrowly, otherwise every </w:t>
      </w:r>
      <w:r>
        <w:rPr>
          <w:i/>
          <w:sz w:val="20"/>
        </w:rPr>
        <w:t xml:space="preserve">Chevron </w:t>
      </w:r>
      <w:r>
        <w:rPr>
          <w:sz w:val="20"/>
        </w:rPr>
        <w:t>case becomes a non</w:t>
      </w:r>
      <w:r w:rsidR="00180EFC">
        <w:rPr>
          <w:sz w:val="20"/>
        </w:rPr>
        <w:t>-</w:t>
      </w:r>
      <w:r>
        <w:rPr>
          <w:sz w:val="20"/>
        </w:rPr>
        <w:t>reviewability case! (Interpretation has been “committed to agency discretion”)</w:t>
      </w:r>
    </w:p>
    <w:p w14:paraId="17304EB0" w14:textId="7DEA94BF" w:rsidR="00CE6BF1" w:rsidRPr="005877F3" w:rsidRDefault="00CE6BF1" w:rsidP="00180EFC">
      <w:pPr>
        <w:pStyle w:val="ListParagraph"/>
        <w:numPr>
          <w:ilvl w:val="1"/>
          <w:numId w:val="16"/>
        </w:numPr>
      </w:pPr>
      <w:r>
        <w:rPr>
          <w:sz w:val="20"/>
        </w:rPr>
        <w:t>Early court decisions focused on indicia of inappropriateness for judicial review – technical complexity, separation of powers, subject matter (i.e., foreign policy)</w:t>
      </w:r>
    </w:p>
    <w:p w14:paraId="2B594ED6" w14:textId="2E5FB34D" w:rsidR="005877F3" w:rsidRPr="00CE3522" w:rsidRDefault="005877F3" w:rsidP="00180EFC">
      <w:pPr>
        <w:pStyle w:val="ListParagraph"/>
        <w:numPr>
          <w:ilvl w:val="1"/>
          <w:numId w:val="16"/>
        </w:numPr>
      </w:pPr>
      <w:r>
        <w:rPr>
          <w:i/>
          <w:sz w:val="20"/>
        </w:rPr>
        <w:t xml:space="preserve">Overton Park </w:t>
      </w:r>
      <w:r>
        <w:rPr>
          <w:sz w:val="20"/>
        </w:rPr>
        <w:t>formulates the “no law to apply” standard – agency has discretion of the statute provides no standards by which agency choice may be measured</w:t>
      </w:r>
    </w:p>
    <w:p w14:paraId="3347648B" w14:textId="29B8F05F" w:rsidR="00CE6BF1" w:rsidRPr="00CE3522" w:rsidRDefault="00180EFC" w:rsidP="00180EFC">
      <w:pPr>
        <w:pStyle w:val="ListParagraph"/>
        <w:numPr>
          <w:ilvl w:val="2"/>
          <w:numId w:val="16"/>
        </w:numPr>
      </w:pPr>
      <w:r>
        <w:rPr>
          <w:sz w:val="20"/>
        </w:rPr>
        <w:t xml:space="preserve">This </w:t>
      </w:r>
      <w:r>
        <w:rPr>
          <w:i/>
          <w:sz w:val="20"/>
        </w:rPr>
        <w:t>can’t</w:t>
      </w:r>
      <w:r w:rsidR="00CE6BF1">
        <w:rPr>
          <w:i/>
          <w:sz w:val="20"/>
        </w:rPr>
        <w:t xml:space="preserve"> </w:t>
      </w:r>
      <w:r w:rsidR="00CE6BF1">
        <w:rPr>
          <w:sz w:val="20"/>
        </w:rPr>
        <w:t xml:space="preserve">be the test – there is </w:t>
      </w:r>
      <w:r w:rsidR="00CE6BF1">
        <w:rPr>
          <w:i/>
          <w:sz w:val="20"/>
        </w:rPr>
        <w:t xml:space="preserve">always </w:t>
      </w:r>
      <w:r w:rsidR="00CE6BF1">
        <w:rPr>
          <w:sz w:val="20"/>
        </w:rPr>
        <w:t>law to apply (A&amp;C</w:t>
      </w:r>
      <w:r>
        <w:rPr>
          <w:sz w:val="20"/>
        </w:rPr>
        <w:t>, due process, Constitution</w:t>
      </w:r>
      <w:r w:rsidR="00CE6BF1">
        <w:rPr>
          <w:sz w:val="20"/>
        </w:rPr>
        <w:t>)</w:t>
      </w:r>
    </w:p>
    <w:p w14:paraId="54E90196" w14:textId="77777777" w:rsidR="00CE6BF1" w:rsidRPr="00CE3522" w:rsidRDefault="00CE6BF1" w:rsidP="00180EFC">
      <w:pPr>
        <w:pStyle w:val="ListParagraph"/>
        <w:numPr>
          <w:ilvl w:val="2"/>
          <w:numId w:val="16"/>
        </w:numPr>
      </w:pPr>
      <w:r>
        <w:rPr>
          <w:sz w:val="20"/>
        </w:rPr>
        <w:t>Court is caught between three competing impulses</w:t>
      </w:r>
    </w:p>
    <w:p w14:paraId="09EEB036" w14:textId="77777777" w:rsidR="00CE6BF1" w:rsidRPr="00CE3522" w:rsidRDefault="00CE6BF1" w:rsidP="00180EFC">
      <w:pPr>
        <w:pStyle w:val="ListParagraph"/>
        <w:numPr>
          <w:ilvl w:val="3"/>
          <w:numId w:val="16"/>
        </w:numPr>
      </w:pPr>
      <w:r>
        <w:rPr>
          <w:sz w:val="20"/>
        </w:rPr>
        <w:t>Presumption of availability of judicial review</w:t>
      </w:r>
    </w:p>
    <w:p w14:paraId="24EABD7E" w14:textId="77777777" w:rsidR="00CE6BF1" w:rsidRPr="00CE3522" w:rsidRDefault="00CE6BF1" w:rsidP="00180EFC">
      <w:pPr>
        <w:pStyle w:val="ListParagraph"/>
        <w:numPr>
          <w:ilvl w:val="3"/>
          <w:numId w:val="16"/>
        </w:numPr>
      </w:pPr>
      <w:r>
        <w:rPr>
          <w:sz w:val="20"/>
        </w:rPr>
        <w:t>Hostility to common law as determinant of APA meaning</w:t>
      </w:r>
    </w:p>
    <w:p w14:paraId="5C745540" w14:textId="77777777" w:rsidR="00CE6BF1" w:rsidRPr="00164635" w:rsidRDefault="00CE6BF1" w:rsidP="00180EFC">
      <w:pPr>
        <w:pStyle w:val="ListParagraph"/>
        <w:numPr>
          <w:ilvl w:val="3"/>
          <w:numId w:val="16"/>
        </w:numPr>
      </w:pPr>
      <w:r>
        <w:rPr>
          <w:sz w:val="20"/>
        </w:rPr>
        <w:t>Respect for Congressional instruction to defer to agencies</w:t>
      </w:r>
    </w:p>
    <w:p w14:paraId="75F76737" w14:textId="7BC4E0C1" w:rsidR="00CE6BF1" w:rsidRPr="00872AC9" w:rsidRDefault="00CE6BF1" w:rsidP="00180EFC">
      <w:pPr>
        <w:pStyle w:val="ListParagraph"/>
        <w:numPr>
          <w:ilvl w:val="2"/>
          <w:numId w:val="16"/>
        </w:numPr>
      </w:pPr>
      <w:r>
        <w:rPr>
          <w:i/>
          <w:sz w:val="20"/>
        </w:rPr>
        <w:t xml:space="preserve">Heckler v. Chaney </w:t>
      </w:r>
      <w:r>
        <w:rPr>
          <w:sz w:val="20"/>
        </w:rPr>
        <w:t xml:space="preserve">creates an </w:t>
      </w:r>
      <w:r>
        <w:rPr>
          <w:i/>
          <w:sz w:val="20"/>
        </w:rPr>
        <w:t xml:space="preserve">additional </w:t>
      </w:r>
      <w:r>
        <w:rPr>
          <w:sz w:val="20"/>
        </w:rPr>
        <w:t xml:space="preserve">presumption </w:t>
      </w:r>
      <w:r>
        <w:rPr>
          <w:i/>
          <w:sz w:val="20"/>
        </w:rPr>
        <w:t xml:space="preserve">against </w:t>
      </w:r>
      <w:r>
        <w:rPr>
          <w:sz w:val="20"/>
        </w:rPr>
        <w:t>judicial review when agency’s refusal to act is being reviewed</w:t>
      </w:r>
    </w:p>
    <w:p w14:paraId="73E906BB" w14:textId="29120E29" w:rsidR="00872AC9" w:rsidRPr="00872AC9" w:rsidRDefault="00872AC9" w:rsidP="00180EFC">
      <w:pPr>
        <w:pStyle w:val="ListParagraph"/>
        <w:numPr>
          <w:ilvl w:val="3"/>
          <w:numId w:val="16"/>
        </w:numPr>
      </w:pPr>
      <w:r>
        <w:rPr>
          <w:sz w:val="20"/>
        </w:rPr>
        <w:t>Presumption may be rebutted if:</w:t>
      </w:r>
    </w:p>
    <w:p w14:paraId="04F8FB4E" w14:textId="60FCDC4D" w:rsidR="00872AC9" w:rsidRPr="00872AC9" w:rsidRDefault="00872AC9" w:rsidP="00180EFC">
      <w:pPr>
        <w:pStyle w:val="ListParagraph"/>
        <w:numPr>
          <w:ilvl w:val="4"/>
          <w:numId w:val="16"/>
        </w:numPr>
      </w:pPr>
      <w:r>
        <w:rPr>
          <w:sz w:val="20"/>
        </w:rPr>
        <w:t>No enforcement because agency asserts lack of jurisdiction</w:t>
      </w:r>
    </w:p>
    <w:p w14:paraId="5F9C6996" w14:textId="15DFA6F7" w:rsidR="00872AC9" w:rsidRPr="00ED4E6A" w:rsidRDefault="00872AC9" w:rsidP="00180EFC">
      <w:pPr>
        <w:pStyle w:val="ListParagraph"/>
        <w:numPr>
          <w:ilvl w:val="4"/>
          <w:numId w:val="16"/>
        </w:numPr>
      </w:pPr>
      <w:r>
        <w:rPr>
          <w:sz w:val="20"/>
        </w:rPr>
        <w:t xml:space="preserve">Adoption of </w:t>
      </w:r>
      <w:r>
        <w:rPr>
          <w:i/>
          <w:sz w:val="20"/>
        </w:rPr>
        <w:t xml:space="preserve">extreme </w:t>
      </w:r>
      <w:r>
        <w:rPr>
          <w:sz w:val="20"/>
        </w:rPr>
        <w:t>policy equal to abdication of statutory duties</w:t>
      </w:r>
    </w:p>
    <w:p w14:paraId="40151E4F" w14:textId="2C37551C" w:rsidR="00ED4E6A" w:rsidRPr="00ED4E6A" w:rsidRDefault="00ED4E6A" w:rsidP="00180EFC">
      <w:pPr>
        <w:pStyle w:val="ListParagraph"/>
        <w:numPr>
          <w:ilvl w:val="3"/>
          <w:numId w:val="16"/>
        </w:numPr>
      </w:pPr>
      <w:r>
        <w:rPr>
          <w:sz w:val="20"/>
        </w:rPr>
        <w:t xml:space="preserve">Agency inaction must be discrete to be reviewable – </w:t>
      </w:r>
      <w:r>
        <w:rPr>
          <w:i/>
          <w:sz w:val="20"/>
        </w:rPr>
        <w:t>SUWA</w:t>
      </w:r>
    </w:p>
    <w:p w14:paraId="06096DCB" w14:textId="56C52E68" w:rsidR="00ED4E6A" w:rsidRPr="00ED4E6A" w:rsidRDefault="00ED4E6A" w:rsidP="00180EFC">
      <w:pPr>
        <w:pStyle w:val="ListParagraph"/>
        <w:numPr>
          <w:ilvl w:val="4"/>
          <w:numId w:val="16"/>
        </w:numPr>
      </w:pPr>
      <w:r>
        <w:rPr>
          <w:sz w:val="20"/>
        </w:rPr>
        <w:t>Agency actions are: rules, orders, licenses, sanctions, or relief</w:t>
      </w:r>
    </w:p>
    <w:p w14:paraId="659240AB" w14:textId="66AE8077" w:rsidR="00ED4E6A" w:rsidRPr="00284347" w:rsidRDefault="00ED4E6A" w:rsidP="00180EFC">
      <w:pPr>
        <w:pStyle w:val="ListParagraph"/>
        <w:numPr>
          <w:ilvl w:val="4"/>
          <w:numId w:val="16"/>
        </w:numPr>
      </w:pPr>
      <w:r>
        <w:rPr>
          <w:i/>
          <w:sz w:val="20"/>
        </w:rPr>
        <w:t xml:space="preserve">SUWA </w:t>
      </w:r>
      <w:r w:rsidR="00E05A59">
        <w:rPr>
          <w:sz w:val="20"/>
        </w:rPr>
        <w:t>also a</w:t>
      </w:r>
      <w:r>
        <w:rPr>
          <w:sz w:val="20"/>
        </w:rPr>
        <w:t>rgue</w:t>
      </w:r>
      <w:r w:rsidR="00E05A59">
        <w:rPr>
          <w:sz w:val="20"/>
        </w:rPr>
        <w:t>s</w:t>
      </w:r>
      <w:r>
        <w:rPr>
          <w:sz w:val="20"/>
        </w:rPr>
        <w:t xml:space="preserve"> that action must be legally required to be reviewable –</w:t>
      </w:r>
      <w:r w:rsidR="00E05A59">
        <w:rPr>
          <w:sz w:val="20"/>
        </w:rPr>
        <w:t xml:space="preserve"> AV says</w:t>
      </w:r>
      <w:r>
        <w:rPr>
          <w:sz w:val="20"/>
        </w:rPr>
        <w:t xml:space="preserve"> this </w:t>
      </w:r>
      <w:r w:rsidR="00E05A59">
        <w:rPr>
          <w:i/>
          <w:sz w:val="20"/>
        </w:rPr>
        <w:t>can’</w:t>
      </w:r>
      <w:r>
        <w:rPr>
          <w:i/>
          <w:sz w:val="20"/>
        </w:rPr>
        <w:t xml:space="preserve">t </w:t>
      </w:r>
      <w:r w:rsidR="00E05A59">
        <w:rPr>
          <w:sz w:val="20"/>
        </w:rPr>
        <w:t>be right; t</w:t>
      </w:r>
      <w:r>
        <w:rPr>
          <w:sz w:val="20"/>
        </w:rPr>
        <w:t>here must be a way to challenge non-enforcement based on unreasonable grounds</w:t>
      </w:r>
    </w:p>
    <w:p w14:paraId="27CE6D2F" w14:textId="443B523B" w:rsidR="00284347" w:rsidRPr="005B5785" w:rsidRDefault="00284347" w:rsidP="00180EFC">
      <w:pPr>
        <w:pStyle w:val="ListParagraph"/>
        <w:numPr>
          <w:ilvl w:val="4"/>
          <w:numId w:val="16"/>
        </w:numPr>
      </w:pPr>
      <w:r>
        <w:rPr>
          <w:sz w:val="20"/>
        </w:rPr>
        <w:lastRenderedPageBreak/>
        <w:t xml:space="preserve">Challenges to agency’s </w:t>
      </w:r>
      <w:r>
        <w:rPr>
          <w:i/>
          <w:sz w:val="20"/>
        </w:rPr>
        <w:t xml:space="preserve">management </w:t>
      </w:r>
      <w:r>
        <w:rPr>
          <w:sz w:val="20"/>
        </w:rPr>
        <w:t>policies (not rulemaking or enforcement) are not reviewable</w:t>
      </w:r>
    </w:p>
    <w:p w14:paraId="32CE7415" w14:textId="4D3AE380" w:rsidR="005B5785" w:rsidRPr="005B5785" w:rsidRDefault="005B5785" w:rsidP="00180EFC">
      <w:pPr>
        <w:pStyle w:val="ListParagraph"/>
        <w:numPr>
          <w:ilvl w:val="5"/>
          <w:numId w:val="16"/>
        </w:numPr>
      </w:pPr>
      <w:r>
        <w:rPr>
          <w:sz w:val="20"/>
        </w:rPr>
        <w:t xml:space="preserve">Failing to set up a </w:t>
      </w:r>
      <w:r>
        <w:rPr>
          <w:i/>
          <w:sz w:val="20"/>
        </w:rPr>
        <w:t xml:space="preserve">system </w:t>
      </w:r>
      <w:r>
        <w:rPr>
          <w:sz w:val="20"/>
        </w:rPr>
        <w:t>isn’t reviewable – prevents private groups from conscripting agency enforcement to their favor</w:t>
      </w:r>
    </w:p>
    <w:p w14:paraId="1FE2E715" w14:textId="43C2EB10" w:rsidR="005B5785" w:rsidRPr="00AE1EDF" w:rsidRDefault="005B5785" w:rsidP="00180EFC">
      <w:pPr>
        <w:pStyle w:val="ListParagraph"/>
        <w:numPr>
          <w:ilvl w:val="5"/>
          <w:numId w:val="16"/>
        </w:numPr>
      </w:pPr>
      <w:r>
        <w:rPr>
          <w:sz w:val="20"/>
        </w:rPr>
        <w:t xml:space="preserve">Court may require action, but may not tell agency </w:t>
      </w:r>
      <w:r>
        <w:rPr>
          <w:i/>
          <w:sz w:val="20"/>
        </w:rPr>
        <w:t xml:space="preserve">how </w:t>
      </w:r>
      <w:r>
        <w:rPr>
          <w:sz w:val="20"/>
        </w:rPr>
        <w:t>to act</w:t>
      </w:r>
    </w:p>
    <w:p w14:paraId="4ECE515B" w14:textId="6A36417A" w:rsidR="00AE1EDF" w:rsidRPr="00B84F9D" w:rsidRDefault="00AE1EDF" w:rsidP="00180EFC">
      <w:pPr>
        <w:pStyle w:val="ListParagraph"/>
        <w:numPr>
          <w:ilvl w:val="3"/>
          <w:numId w:val="16"/>
        </w:numPr>
      </w:pPr>
      <w:r>
        <w:rPr>
          <w:sz w:val="20"/>
        </w:rPr>
        <w:t xml:space="preserve">Can’t presumption be made at merits stage? Do we </w:t>
      </w:r>
      <w:r>
        <w:rPr>
          <w:i/>
          <w:sz w:val="20"/>
        </w:rPr>
        <w:t xml:space="preserve">want </w:t>
      </w:r>
      <w:r>
        <w:rPr>
          <w:sz w:val="20"/>
        </w:rPr>
        <w:t>this as a gatekeeper?</w:t>
      </w:r>
    </w:p>
    <w:p w14:paraId="219F8771" w14:textId="13799171" w:rsidR="00B84F9D" w:rsidRPr="00795919" w:rsidRDefault="00B84F9D" w:rsidP="00180EFC">
      <w:pPr>
        <w:pStyle w:val="ListParagraph"/>
        <w:numPr>
          <w:ilvl w:val="2"/>
          <w:numId w:val="16"/>
        </w:numPr>
      </w:pPr>
      <w:r>
        <w:rPr>
          <w:i/>
          <w:sz w:val="20"/>
        </w:rPr>
        <w:t xml:space="preserve">Webster </w:t>
      </w:r>
      <w:r>
        <w:rPr>
          <w:sz w:val="20"/>
        </w:rPr>
        <w:t xml:space="preserve">mixes up 701(a)(1) and (a)(2) – there </w:t>
      </w:r>
      <w:r>
        <w:rPr>
          <w:i/>
          <w:sz w:val="20"/>
        </w:rPr>
        <w:t xml:space="preserve">is </w:t>
      </w:r>
      <w:r>
        <w:rPr>
          <w:sz w:val="20"/>
        </w:rPr>
        <w:t>law to apply, so the c</w:t>
      </w:r>
      <w:r w:rsidR="00180EFC">
        <w:rPr>
          <w:sz w:val="20"/>
        </w:rPr>
        <w:t>ourt has to go</w:t>
      </w:r>
      <w:r>
        <w:rPr>
          <w:sz w:val="20"/>
        </w:rPr>
        <w:t xml:space="preserve"> back to (a)(1) to find preclusion under the statute</w:t>
      </w:r>
    </w:p>
    <w:p w14:paraId="43206392" w14:textId="5668BAA4" w:rsidR="00795919" w:rsidRPr="00A05E37" w:rsidRDefault="00795919" w:rsidP="00180EFC">
      <w:pPr>
        <w:pStyle w:val="ListParagraph"/>
        <w:numPr>
          <w:ilvl w:val="3"/>
          <w:numId w:val="16"/>
        </w:numPr>
      </w:pPr>
      <w:r>
        <w:rPr>
          <w:sz w:val="20"/>
        </w:rPr>
        <w:t>Scalia argues for a return to field-based non</w:t>
      </w:r>
      <w:r w:rsidR="00EF0AA8">
        <w:rPr>
          <w:sz w:val="20"/>
        </w:rPr>
        <w:t>-</w:t>
      </w:r>
      <w:r>
        <w:rPr>
          <w:sz w:val="20"/>
        </w:rPr>
        <w:t>reviewability – if review was unavailable under common law, it should be unavailable now</w:t>
      </w:r>
      <w:r w:rsidR="0044226D">
        <w:rPr>
          <w:sz w:val="20"/>
        </w:rPr>
        <w:t>. Acts as an effort to give independent content to (a)(2)</w:t>
      </w:r>
    </w:p>
    <w:p w14:paraId="0ACD1BD2" w14:textId="6D6B82F9" w:rsidR="00A05E37" w:rsidRPr="005816B4" w:rsidRDefault="00A05E37" w:rsidP="00A05E37">
      <w:pPr>
        <w:pStyle w:val="ListParagraph"/>
        <w:numPr>
          <w:ilvl w:val="4"/>
          <w:numId w:val="16"/>
        </w:numPr>
      </w:pPr>
      <w:r>
        <w:rPr>
          <w:sz w:val="20"/>
        </w:rPr>
        <w:t xml:space="preserve">Scalia’s test encourages courts to look to </w:t>
      </w:r>
      <w:r>
        <w:rPr>
          <w:i/>
          <w:sz w:val="20"/>
        </w:rPr>
        <w:t xml:space="preserve">both </w:t>
      </w:r>
      <w:r>
        <w:rPr>
          <w:sz w:val="20"/>
        </w:rPr>
        <w:t>“relevant traditions” and “costs &amp; benefits of interfering with agency action”</w:t>
      </w:r>
    </w:p>
    <w:p w14:paraId="5515B73B" w14:textId="7A5174DB" w:rsidR="00B839BC" w:rsidRPr="00B839BC" w:rsidRDefault="00CC1442" w:rsidP="00180EFC">
      <w:pPr>
        <w:pStyle w:val="ListParagraph"/>
        <w:numPr>
          <w:ilvl w:val="1"/>
          <w:numId w:val="16"/>
        </w:numPr>
      </w:pPr>
      <w:r>
        <w:rPr>
          <w:sz w:val="20"/>
        </w:rPr>
        <w:t>In</w:t>
      </w:r>
      <w:r w:rsidR="005816B4">
        <w:rPr>
          <w:sz w:val="20"/>
        </w:rPr>
        <w:t xml:space="preserve"> reviewability</w:t>
      </w:r>
      <w:r>
        <w:rPr>
          <w:sz w:val="20"/>
        </w:rPr>
        <w:t xml:space="preserve"> analysis</w:t>
      </w:r>
      <w:r w:rsidR="005816B4">
        <w:rPr>
          <w:sz w:val="20"/>
        </w:rPr>
        <w:t xml:space="preserve">, use “no law to apply”, but </w:t>
      </w:r>
      <w:r w:rsidR="005816B4">
        <w:rPr>
          <w:i/>
          <w:sz w:val="20"/>
        </w:rPr>
        <w:t xml:space="preserve">also </w:t>
      </w:r>
      <w:r w:rsidR="005816B4">
        <w:rPr>
          <w:sz w:val="20"/>
        </w:rPr>
        <w:t>use Scalia’</w:t>
      </w:r>
      <w:r>
        <w:rPr>
          <w:sz w:val="20"/>
        </w:rPr>
        <w:t xml:space="preserve">s pragmatic </w:t>
      </w:r>
      <w:r w:rsidR="005816B4">
        <w:rPr>
          <w:i/>
          <w:sz w:val="20"/>
        </w:rPr>
        <w:t>Webster</w:t>
      </w:r>
      <w:r>
        <w:rPr>
          <w:i/>
          <w:sz w:val="20"/>
        </w:rPr>
        <w:t xml:space="preserve"> </w:t>
      </w:r>
      <w:r>
        <w:rPr>
          <w:sz w:val="20"/>
        </w:rPr>
        <w:t>fields</w:t>
      </w:r>
    </w:p>
    <w:p w14:paraId="3700225F" w14:textId="180A23B8" w:rsidR="00B839BC" w:rsidRPr="00FA4939" w:rsidRDefault="00FA4939" w:rsidP="00B839BC">
      <w:pPr>
        <w:pStyle w:val="ListParagraph"/>
        <w:numPr>
          <w:ilvl w:val="0"/>
          <w:numId w:val="16"/>
        </w:numPr>
      </w:pPr>
      <w:r>
        <w:rPr>
          <w:sz w:val="20"/>
        </w:rPr>
        <w:t xml:space="preserve">§553(e), in conjunction with §555(e), can </w:t>
      </w:r>
      <w:r>
        <w:rPr>
          <w:i/>
          <w:sz w:val="20"/>
        </w:rPr>
        <w:t xml:space="preserve">force </w:t>
      </w:r>
      <w:r>
        <w:rPr>
          <w:sz w:val="20"/>
        </w:rPr>
        <w:t xml:space="preserve">an agency to respond to a request for rulemaking. Parties may then take the agency’s denial of request to </w:t>
      </w:r>
      <w:r w:rsidR="00A05E37">
        <w:rPr>
          <w:sz w:val="20"/>
        </w:rPr>
        <w:t xml:space="preserve">its </w:t>
      </w:r>
      <w:r>
        <w:rPr>
          <w:sz w:val="20"/>
        </w:rPr>
        <w:t>court, challenging it for any number of reasons</w:t>
      </w:r>
    </w:p>
    <w:p w14:paraId="1C91A292" w14:textId="002614CF" w:rsidR="002660BF" w:rsidRPr="002660BF" w:rsidRDefault="00FA4939" w:rsidP="00FA4939">
      <w:pPr>
        <w:pStyle w:val="ListParagraph"/>
        <w:numPr>
          <w:ilvl w:val="1"/>
          <w:numId w:val="16"/>
        </w:numPr>
      </w:pPr>
      <w:r>
        <w:rPr>
          <w:sz w:val="20"/>
        </w:rPr>
        <w:t xml:space="preserve">However, parties may </w:t>
      </w:r>
      <w:r>
        <w:rPr>
          <w:i/>
          <w:sz w:val="20"/>
        </w:rPr>
        <w:t xml:space="preserve">not </w:t>
      </w:r>
      <w:r>
        <w:rPr>
          <w:sz w:val="20"/>
        </w:rPr>
        <w:t>require an agency to embark on adjudication</w:t>
      </w:r>
    </w:p>
    <w:p w14:paraId="2F3FA98F" w14:textId="2D62FCF9" w:rsidR="00CE6BF1" w:rsidRPr="00593F3B" w:rsidRDefault="00CE6BF1" w:rsidP="00CE6BF1">
      <w:pPr>
        <w:pStyle w:val="Heading4"/>
        <w:rPr>
          <w:sz w:val="20"/>
        </w:rPr>
      </w:pPr>
      <w:r w:rsidRPr="00593F3B">
        <w:rPr>
          <w:sz w:val="20"/>
        </w:rPr>
        <w:t>Ripeness</w:t>
      </w:r>
      <w:r w:rsidR="00FA4939">
        <w:rPr>
          <w:sz w:val="20"/>
        </w:rPr>
        <w:t xml:space="preserve"> </w:t>
      </w:r>
      <w:r w:rsidR="007645E9">
        <w:rPr>
          <w:sz w:val="20"/>
        </w:rPr>
        <w:t>&amp; Finality</w:t>
      </w:r>
    </w:p>
    <w:p w14:paraId="37C19D21" w14:textId="6550AB27" w:rsidR="00CE6BF1" w:rsidRPr="00F14E0F" w:rsidRDefault="00F14E0F" w:rsidP="00FA4939">
      <w:pPr>
        <w:pStyle w:val="ListParagraph"/>
        <w:numPr>
          <w:ilvl w:val="0"/>
          <w:numId w:val="17"/>
        </w:numPr>
      </w:pPr>
      <w:r>
        <w:rPr>
          <w:sz w:val="20"/>
        </w:rPr>
        <w:t>Ripeness is a two-part inquiry: (</w:t>
      </w:r>
      <w:r>
        <w:rPr>
          <w:i/>
          <w:sz w:val="20"/>
        </w:rPr>
        <w:t>Abbott Labs</w:t>
      </w:r>
      <w:r>
        <w:rPr>
          <w:sz w:val="20"/>
        </w:rPr>
        <w:t>)</w:t>
      </w:r>
    </w:p>
    <w:p w14:paraId="62C2E29D" w14:textId="5B611258" w:rsidR="00F14E0F" w:rsidRPr="00F14E0F" w:rsidRDefault="00F14E0F" w:rsidP="00F14E0F">
      <w:pPr>
        <w:pStyle w:val="ListParagraph"/>
        <w:numPr>
          <w:ilvl w:val="1"/>
          <w:numId w:val="17"/>
        </w:numPr>
      </w:pPr>
      <w:r>
        <w:rPr>
          <w:sz w:val="20"/>
        </w:rPr>
        <w:t>Fitness of issue for judicial decision</w:t>
      </w:r>
    </w:p>
    <w:p w14:paraId="31686D1C" w14:textId="31BF878E" w:rsidR="00AD0391" w:rsidRPr="00F14E0F" w:rsidRDefault="00F14E0F" w:rsidP="00AD0391">
      <w:pPr>
        <w:pStyle w:val="ListParagraph"/>
        <w:numPr>
          <w:ilvl w:val="2"/>
          <w:numId w:val="17"/>
        </w:numPr>
      </w:pPr>
      <w:r>
        <w:rPr>
          <w:sz w:val="20"/>
        </w:rPr>
        <w:t>Issue must be purely legal, and decision is final under §704</w:t>
      </w:r>
    </w:p>
    <w:p w14:paraId="1405A0B1" w14:textId="67FAD67E" w:rsidR="00F14E0F" w:rsidRPr="00F14E0F" w:rsidRDefault="00F14E0F" w:rsidP="00F14E0F">
      <w:pPr>
        <w:pStyle w:val="ListParagraph"/>
        <w:numPr>
          <w:ilvl w:val="1"/>
          <w:numId w:val="17"/>
        </w:numPr>
      </w:pPr>
      <w:r>
        <w:rPr>
          <w:sz w:val="20"/>
        </w:rPr>
        <w:t>Hardship to parties of withholding court consideration</w:t>
      </w:r>
    </w:p>
    <w:p w14:paraId="743CB0CF" w14:textId="5296C358" w:rsidR="00F14E0F" w:rsidRPr="00F14E0F" w:rsidRDefault="00F14E0F" w:rsidP="00F14E0F">
      <w:pPr>
        <w:pStyle w:val="ListParagraph"/>
        <w:numPr>
          <w:ilvl w:val="2"/>
          <w:numId w:val="17"/>
        </w:numPr>
      </w:pPr>
      <w:r>
        <w:rPr>
          <w:sz w:val="20"/>
        </w:rPr>
        <w:t>Alternative to compliance subjects regulated entities to potential civil/criminal violations, and compliance engenders substantial costs</w:t>
      </w:r>
    </w:p>
    <w:p w14:paraId="7CD0E00E" w14:textId="113A3262" w:rsidR="00F14E0F" w:rsidRPr="00AD0391" w:rsidRDefault="00F14E0F" w:rsidP="00F14E0F">
      <w:pPr>
        <w:pStyle w:val="ListParagraph"/>
        <w:numPr>
          <w:ilvl w:val="2"/>
          <w:numId w:val="17"/>
        </w:numPr>
      </w:pPr>
      <w:r>
        <w:rPr>
          <w:sz w:val="20"/>
        </w:rPr>
        <w:t xml:space="preserve">Availability of “immediate” agency review will cut against a finding of pre-enforcement reviewability – </w:t>
      </w:r>
      <w:r>
        <w:rPr>
          <w:i/>
          <w:sz w:val="20"/>
        </w:rPr>
        <w:t>Toilet Goods</w:t>
      </w:r>
    </w:p>
    <w:p w14:paraId="0E957F3F" w14:textId="68D83728" w:rsidR="00B46E0C" w:rsidRPr="00C2217A" w:rsidRDefault="00B46E0C" w:rsidP="00C2217A">
      <w:pPr>
        <w:pStyle w:val="ListParagraph"/>
        <w:numPr>
          <w:ilvl w:val="1"/>
          <w:numId w:val="17"/>
        </w:numPr>
      </w:pPr>
      <w:r>
        <w:rPr>
          <w:sz w:val="20"/>
        </w:rPr>
        <w:t xml:space="preserve">Although the </w:t>
      </w:r>
      <w:r>
        <w:rPr>
          <w:i/>
          <w:sz w:val="20"/>
        </w:rPr>
        <w:t xml:space="preserve">Texaco </w:t>
      </w:r>
      <w:r>
        <w:rPr>
          <w:sz w:val="20"/>
        </w:rPr>
        <w:t xml:space="preserve">two-step might apply to challengers of a rule’s validity at the agency level, judicial review will </w:t>
      </w:r>
      <w:r>
        <w:rPr>
          <w:i/>
          <w:sz w:val="20"/>
        </w:rPr>
        <w:t xml:space="preserve">still </w:t>
      </w:r>
      <w:r>
        <w:rPr>
          <w:sz w:val="20"/>
        </w:rPr>
        <w:t xml:space="preserve">be available </w:t>
      </w:r>
    </w:p>
    <w:p w14:paraId="49C8DCD0" w14:textId="217B53BB" w:rsidR="00C2217A" w:rsidRPr="007F576C" w:rsidRDefault="00C2217A" w:rsidP="00C2217A">
      <w:pPr>
        <w:pStyle w:val="ListParagraph"/>
        <w:numPr>
          <w:ilvl w:val="2"/>
          <w:numId w:val="17"/>
        </w:numPr>
      </w:pPr>
      <w:r>
        <w:rPr>
          <w:sz w:val="20"/>
        </w:rPr>
        <w:t xml:space="preserve">This is made possible by </w:t>
      </w:r>
      <w:r>
        <w:rPr>
          <w:i/>
          <w:sz w:val="20"/>
        </w:rPr>
        <w:t>Abbott Labs</w:t>
      </w:r>
      <w:r>
        <w:rPr>
          <w:sz w:val="20"/>
        </w:rPr>
        <w:t>’ “parceling” of claims between pre-enforcement judicial challenges to agency rules and challenges before the agency</w:t>
      </w:r>
      <w:r w:rsidR="0042601A">
        <w:rPr>
          <w:sz w:val="20"/>
        </w:rPr>
        <w:t xml:space="preserve"> for adjudications</w:t>
      </w:r>
    </w:p>
    <w:p w14:paraId="44BD5E24" w14:textId="6C01B5A5" w:rsidR="007F576C" w:rsidRPr="006B26BD" w:rsidRDefault="007F576C" w:rsidP="00B46E0C">
      <w:pPr>
        <w:pStyle w:val="ListParagraph"/>
        <w:numPr>
          <w:ilvl w:val="1"/>
          <w:numId w:val="17"/>
        </w:numPr>
      </w:pPr>
      <w:r>
        <w:rPr>
          <w:sz w:val="20"/>
        </w:rPr>
        <w:t>Ripeness exists to 1) protect the courts from being entangled in abstract policy discussions, and 2) protect agencies from unwarranted judicial interference before policies can be formalized, and before parties can feel concrete effects</w:t>
      </w:r>
    </w:p>
    <w:p w14:paraId="10F153E5" w14:textId="48B79B62" w:rsidR="00AD0391" w:rsidRPr="00BD455C" w:rsidRDefault="006B26BD" w:rsidP="00AD0391">
      <w:pPr>
        <w:pStyle w:val="ListParagraph"/>
        <w:numPr>
          <w:ilvl w:val="0"/>
          <w:numId w:val="17"/>
        </w:numPr>
      </w:pPr>
      <w:r>
        <w:rPr>
          <w:sz w:val="20"/>
        </w:rPr>
        <w:t xml:space="preserve">Although </w:t>
      </w:r>
      <w:r>
        <w:rPr>
          <w:i/>
          <w:sz w:val="20"/>
        </w:rPr>
        <w:t xml:space="preserve">Abbott Labs </w:t>
      </w:r>
      <w:r>
        <w:rPr>
          <w:sz w:val="20"/>
        </w:rPr>
        <w:t xml:space="preserve">created a presumption in favor of pre-enforcement review, </w:t>
      </w:r>
      <w:r>
        <w:rPr>
          <w:i/>
          <w:sz w:val="20"/>
        </w:rPr>
        <w:t xml:space="preserve">Thunder Basin </w:t>
      </w:r>
      <w:r w:rsidR="007177ED">
        <w:rPr>
          <w:sz w:val="20"/>
        </w:rPr>
        <w:t xml:space="preserve">and other cases have </w:t>
      </w:r>
      <w:r>
        <w:rPr>
          <w:sz w:val="20"/>
        </w:rPr>
        <w:t>found implied preclusion</w:t>
      </w:r>
      <w:r w:rsidR="007177ED">
        <w:rPr>
          <w:sz w:val="20"/>
        </w:rPr>
        <w:t xml:space="preserve"> if statute grants post-enforcement review</w:t>
      </w:r>
      <w:r>
        <w:rPr>
          <w:sz w:val="20"/>
        </w:rPr>
        <w:t xml:space="preserve">. This seems </w:t>
      </w:r>
      <w:r>
        <w:rPr>
          <w:i/>
          <w:sz w:val="20"/>
        </w:rPr>
        <w:t>wrong!</w:t>
      </w:r>
    </w:p>
    <w:p w14:paraId="43089166" w14:textId="4C93A49C" w:rsidR="00BD455C" w:rsidRPr="00A33CC1" w:rsidRDefault="00BD455C" w:rsidP="00BD455C">
      <w:pPr>
        <w:pStyle w:val="ListParagraph"/>
        <w:numPr>
          <w:ilvl w:val="1"/>
          <w:numId w:val="17"/>
        </w:numPr>
      </w:pPr>
      <w:r>
        <w:rPr>
          <w:i/>
          <w:sz w:val="20"/>
        </w:rPr>
        <w:t>National Parks Hospitality Association</w:t>
      </w:r>
      <w:r>
        <w:rPr>
          <w:sz w:val="20"/>
        </w:rPr>
        <w:t xml:space="preserve"> shifts ripeness </w:t>
      </w:r>
      <w:r w:rsidR="00180EFC">
        <w:rPr>
          <w:sz w:val="20"/>
        </w:rPr>
        <w:t>to</w:t>
      </w:r>
      <w:r w:rsidR="00A33CC1">
        <w:rPr>
          <w:sz w:val="20"/>
        </w:rPr>
        <w:t xml:space="preserve"> a much more stringent inquiry</w:t>
      </w:r>
    </w:p>
    <w:p w14:paraId="218188FA" w14:textId="55CCDC9E" w:rsidR="00A33CC1" w:rsidRPr="00AD0391" w:rsidRDefault="00A33CC1" w:rsidP="00A33CC1">
      <w:pPr>
        <w:pStyle w:val="ListParagraph"/>
        <w:numPr>
          <w:ilvl w:val="2"/>
          <w:numId w:val="17"/>
        </w:numPr>
      </w:pPr>
      <w:r>
        <w:rPr>
          <w:sz w:val="20"/>
        </w:rPr>
        <w:t xml:space="preserve">Legal uncertainty is insufficient to make a finding of “legal harm” – but isn’t this all that is being protected against in </w:t>
      </w:r>
      <w:r>
        <w:rPr>
          <w:i/>
          <w:sz w:val="20"/>
        </w:rPr>
        <w:t>Abbott Labs</w:t>
      </w:r>
      <w:r>
        <w:rPr>
          <w:sz w:val="20"/>
        </w:rPr>
        <w:t>?</w:t>
      </w:r>
    </w:p>
    <w:p w14:paraId="6EA3D787" w14:textId="0FF997A1" w:rsidR="00AD0391" w:rsidRPr="00180E71" w:rsidRDefault="00AD0391" w:rsidP="00AD0391">
      <w:pPr>
        <w:pStyle w:val="ListParagraph"/>
        <w:numPr>
          <w:ilvl w:val="0"/>
          <w:numId w:val="17"/>
        </w:numPr>
      </w:pPr>
      <w:r>
        <w:rPr>
          <w:sz w:val="20"/>
        </w:rPr>
        <w:t xml:space="preserve">Finality requires: </w:t>
      </w:r>
      <w:r w:rsidR="00180E71">
        <w:rPr>
          <w:sz w:val="20"/>
        </w:rPr>
        <w:t>(</w:t>
      </w:r>
      <w:r w:rsidR="00180E71">
        <w:rPr>
          <w:i/>
          <w:sz w:val="20"/>
        </w:rPr>
        <w:t>Bennet v. Spear</w:t>
      </w:r>
      <w:r w:rsidR="00180E71">
        <w:rPr>
          <w:sz w:val="20"/>
        </w:rPr>
        <w:t>)</w:t>
      </w:r>
    </w:p>
    <w:p w14:paraId="753AAB11" w14:textId="1F9A1664" w:rsidR="00180E71" w:rsidRPr="00180E71" w:rsidRDefault="00180E71" w:rsidP="00180E71">
      <w:pPr>
        <w:pStyle w:val="ListParagraph"/>
        <w:numPr>
          <w:ilvl w:val="1"/>
          <w:numId w:val="17"/>
        </w:numPr>
      </w:pPr>
      <w:r>
        <w:rPr>
          <w:sz w:val="20"/>
        </w:rPr>
        <w:t>Completion of agency decision making (§704)</w:t>
      </w:r>
    </w:p>
    <w:p w14:paraId="7559B166" w14:textId="421163D0" w:rsidR="00180E71" w:rsidRPr="00AD0391" w:rsidRDefault="00180E71" w:rsidP="00180E71">
      <w:pPr>
        <w:pStyle w:val="ListParagraph"/>
        <w:numPr>
          <w:ilvl w:val="1"/>
          <w:numId w:val="17"/>
        </w:numPr>
      </w:pPr>
      <w:r>
        <w:rPr>
          <w:sz w:val="20"/>
        </w:rPr>
        <w:t>Action determining rights with attendant legal consequences</w:t>
      </w:r>
    </w:p>
    <w:p w14:paraId="2FBA0BD0" w14:textId="3E71059E" w:rsidR="00AD0391" w:rsidRPr="00AD0391" w:rsidRDefault="00AD0391" w:rsidP="00180E71">
      <w:pPr>
        <w:pStyle w:val="ListParagraph"/>
        <w:numPr>
          <w:ilvl w:val="2"/>
          <w:numId w:val="17"/>
        </w:numPr>
      </w:pPr>
      <w:r>
        <w:rPr>
          <w:sz w:val="20"/>
        </w:rPr>
        <w:t>If there is no strictly legal harm, the issue is not yet ripe</w:t>
      </w:r>
    </w:p>
    <w:p w14:paraId="1F64C5EA" w14:textId="32AF3010" w:rsidR="00A8387A" w:rsidRPr="00A8387A" w:rsidRDefault="00AD0391" w:rsidP="00A8387A">
      <w:pPr>
        <w:pStyle w:val="ListParagraph"/>
        <w:numPr>
          <w:ilvl w:val="3"/>
          <w:numId w:val="17"/>
        </w:numPr>
      </w:pPr>
      <w:r>
        <w:rPr>
          <w:sz w:val="20"/>
        </w:rPr>
        <w:t xml:space="preserve">Under this logic, neither interpretive rules nor general statements of policy will </w:t>
      </w:r>
      <w:r>
        <w:rPr>
          <w:i/>
          <w:sz w:val="20"/>
        </w:rPr>
        <w:t xml:space="preserve">ever </w:t>
      </w:r>
      <w:r>
        <w:rPr>
          <w:sz w:val="20"/>
        </w:rPr>
        <w:t>b</w:t>
      </w:r>
      <w:r w:rsidR="00C07819">
        <w:rPr>
          <w:sz w:val="20"/>
        </w:rPr>
        <w:t>e reviewable, because there is no</w:t>
      </w:r>
      <w:r>
        <w:rPr>
          <w:sz w:val="20"/>
        </w:rPr>
        <w:t xml:space="preserve"> binding legal effect!</w:t>
      </w:r>
      <w:r w:rsidR="00A90901">
        <w:rPr>
          <w:sz w:val="20"/>
        </w:rPr>
        <w:t xml:space="preserve"> – </w:t>
      </w:r>
      <w:r w:rsidR="00A90901">
        <w:rPr>
          <w:i/>
          <w:sz w:val="20"/>
        </w:rPr>
        <w:t>Lincoln v. Vigil</w:t>
      </w:r>
    </w:p>
    <w:p w14:paraId="0FFCDF20" w14:textId="36C74D78" w:rsidR="00A8387A" w:rsidRPr="00AD0391" w:rsidRDefault="00A8387A" w:rsidP="00A8387A">
      <w:pPr>
        <w:pStyle w:val="ListParagraph"/>
        <w:numPr>
          <w:ilvl w:val="4"/>
          <w:numId w:val="17"/>
        </w:numPr>
      </w:pPr>
      <w:r>
        <w:rPr>
          <w:i/>
          <w:sz w:val="20"/>
        </w:rPr>
        <w:t xml:space="preserve">National Parks </w:t>
      </w:r>
      <w:r>
        <w:rPr>
          <w:sz w:val="20"/>
        </w:rPr>
        <w:t xml:space="preserve">implies that the difference between IRs and GSPs is whether an agency is interpreting its own organic statute. </w:t>
      </w:r>
    </w:p>
    <w:p w14:paraId="15521A0C" w14:textId="57D2B8DD" w:rsidR="000C5367" w:rsidRPr="00050F27" w:rsidRDefault="00AD0391" w:rsidP="00883E8F">
      <w:pPr>
        <w:pStyle w:val="ListParagraph"/>
        <w:numPr>
          <w:ilvl w:val="3"/>
          <w:numId w:val="17"/>
        </w:numPr>
        <w:rPr>
          <w:rFonts w:asciiTheme="majorHAnsi" w:eastAsiaTheme="majorEastAsia" w:hAnsiTheme="majorHAnsi" w:cstheme="majorBidi"/>
          <w:color w:val="1F4D78" w:themeColor="accent1" w:themeShade="7F"/>
          <w:szCs w:val="24"/>
        </w:rPr>
      </w:pPr>
      <w:r w:rsidRPr="00050F27">
        <w:rPr>
          <w:sz w:val="20"/>
        </w:rPr>
        <w:t xml:space="preserve">The D.C. Circuit (and SCOTUS in </w:t>
      </w:r>
      <w:r w:rsidRPr="00050F27">
        <w:rPr>
          <w:i/>
          <w:sz w:val="20"/>
        </w:rPr>
        <w:t>American Trucking</w:t>
      </w:r>
      <w:r w:rsidRPr="00050F27">
        <w:rPr>
          <w:sz w:val="20"/>
        </w:rPr>
        <w:t xml:space="preserve">) have always stated that interpretive rules are reviewable – see </w:t>
      </w:r>
      <w:r w:rsidRPr="00050F27">
        <w:rPr>
          <w:i/>
          <w:sz w:val="20"/>
        </w:rPr>
        <w:t xml:space="preserve">Hawkes </w:t>
      </w:r>
      <w:r w:rsidRPr="00050F27">
        <w:rPr>
          <w:sz w:val="20"/>
        </w:rPr>
        <w:t>lat</w:t>
      </w:r>
      <w:r w:rsidR="00EF0AA8" w:rsidRPr="00050F27">
        <w:rPr>
          <w:sz w:val="20"/>
        </w:rPr>
        <w:t>er this term!</w:t>
      </w:r>
    </w:p>
    <w:p w14:paraId="7CB3189A" w14:textId="6EE654DA" w:rsidR="00EB75BB" w:rsidRDefault="00EB75BB" w:rsidP="00EB75BB">
      <w:pPr>
        <w:pStyle w:val="Heading3"/>
        <w:spacing w:before="0"/>
        <w:rPr>
          <w:sz w:val="22"/>
        </w:rPr>
      </w:pPr>
      <w:r>
        <w:rPr>
          <w:sz w:val="22"/>
        </w:rPr>
        <w:lastRenderedPageBreak/>
        <w:t>Procedure</w:t>
      </w:r>
    </w:p>
    <w:p w14:paraId="04EF0953" w14:textId="222CBFFD" w:rsidR="00CE6BF1" w:rsidRPr="00CE6BF1" w:rsidRDefault="00CE6BF1" w:rsidP="00CE6BF1">
      <w:pPr>
        <w:pStyle w:val="ListParagraph"/>
        <w:numPr>
          <w:ilvl w:val="0"/>
          <w:numId w:val="13"/>
        </w:numPr>
      </w:pPr>
      <w:r>
        <w:rPr>
          <w:sz w:val="20"/>
        </w:rPr>
        <w:t xml:space="preserve">Five sources of agency procedural requirements: 1) Agency’s organic statute, 2) Agency’s procedural regulation, 3) APA procedures, 4) Federal common law (i.e., </w:t>
      </w:r>
      <w:r>
        <w:rPr>
          <w:i/>
          <w:sz w:val="20"/>
        </w:rPr>
        <w:t>Chenery</w:t>
      </w:r>
      <w:r>
        <w:rPr>
          <w:sz w:val="20"/>
        </w:rPr>
        <w:t>) and 5) Constitutional due process</w:t>
      </w:r>
    </w:p>
    <w:p w14:paraId="229EB13C" w14:textId="7E577B49" w:rsidR="0027104D" w:rsidRPr="0027104D" w:rsidRDefault="0027104D" w:rsidP="00EB75BB">
      <w:pPr>
        <w:pStyle w:val="ListParagraph"/>
        <w:numPr>
          <w:ilvl w:val="0"/>
          <w:numId w:val="13"/>
        </w:numPr>
      </w:pPr>
      <w:r>
        <w:rPr>
          <w:sz w:val="20"/>
        </w:rPr>
        <w:t>Grid for determining what processes are due under the APA:</w:t>
      </w:r>
    </w:p>
    <w:tbl>
      <w:tblPr>
        <w:tblStyle w:val="GridTable5Dark"/>
        <w:tblW w:w="6785" w:type="dxa"/>
        <w:jc w:val="center"/>
        <w:tblLook w:val="04A0" w:firstRow="1" w:lastRow="0" w:firstColumn="1" w:lastColumn="0" w:noHBand="0" w:noVBand="1"/>
      </w:tblPr>
      <w:tblGrid>
        <w:gridCol w:w="1704"/>
        <w:gridCol w:w="3168"/>
        <w:gridCol w:w="1913"/>
      </w:tblGrid>
      <w:tr w:rsidR="0027104D" w:rsidRPr="00954BF3" w14:paraId="6EE8550D" w14:textId="77777777" w:rsidTr="008448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vAlign w:val="center"/>
          </w:tcPr>
          <w:p w14:paraId="37E7F01F" w14:textId="227D9166" w:rsidR="0027104D" w:rsidRPr="00954BF3" w:rsidRDefault="0027104D" w:rsidP="00844831">
            <w:pPr>
              <w:pStyle w:val="ListParagraph"/>
              <w:ind w:left="0"/>
              <w:jc w:val="center"/>
              <w:rPr>
                <w:sz w:val="20"/>
                <w:szCs w:val="20"/>
              </w:rPr>
            </w:pPr>
          </w:p>
        </w:tc>
        <w:tc>
          <w:tcPr>
            <w:tcW w:w="3168" w:type="dxa"/>
            <w:vAlign w:val="center"/>
          </w:tcPr>
          <w:p w14:paraId="57F3AE93" w14:textId="50893DD8" w:rsidR="0027104D" w:rsidRPr="00954BF3" w:rsidRDefault="0027104D" w:rsidP="00844831">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t>
            </w:r>
            <w:r w:rsidRPr="00954BF3">
              <w:rPr>
                <w:sz w:val="20"/>
                <w:szCs w:val="20"/>
              </w:rPr>
              <w:t>On the record after opportunity for hearing</w:t>
            </w:r>
            <w:r>
              <w:rPr>
                <w:sz w:val="20"/>
                <w:szCs w:val="20"/>
              </w:rPr>
              <w:t>”</w:t>
            </w:r>
            <w:r w:rsidRPr="00954BF3">
              <w:rPr>
                <w:sz w:val="20"/>
                <w:szCs w:val="20"/>
              </w:rPr>
              <w:t xml:space="preserve"> (Formal)</w:t>
            </w:r>
          </w:p>
        </w:tc>
        <w:tc>
          <w:tcPr>
            <w:tcW w:w="1913" w:type="dxa"/>
            <w:vAlign w:val="center"/>
          </w:tcPr>
          <w:p w14:paraId="3A7D2B06" w14:textId="77777777" w:rsidR="0027104D" w:rsidRPr="00954BF3" w:rsidRDefault="0027104D" w:rsidP="00844831">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54BF3">
              <w:rPr>
                <w:sz w:val="20"/>
                <w:szCs w:val="20"/>
              </w:rPr>
              <w:t>Informal</w:t>
            </w:r>
          </w:p>
        </w:tc>
      </w:tr>
      <w:tr w:rsidR="0027104D" w:rsidRPr="00954BF3" w14:paraId="021B6A99" w14:textId="77777777" w:rsidTr="00844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vAlign w:val="center"/>
          </w:tcPr>
          <w:p w14:paraId="6213C5B0" w14:textId="77777777" w:rsidR="0027104D" w:rsidRPr="00954BF3" w:rsidRDefault="0027104D" w:rsidP="00844831">
            <w:pPr>
              <w:pStyle w:val="ListParagraph"/>
              <w:ind w:left="0"/>
              <w:jc w:val="center"/>
              <w:rPr>
                <w:b w:val="0"/>
                <w:sz w:val="20"/>
                <w:szCs w:val="20"/>
              </w:rPr>
            </w:pPr>
            <w:r w:rsidRPr="00954BF3">
              <w:rPr>
                <w:sz w:val="20"/>
                <w:szCs w:val="20"/>
              </w:rPr>
              <w:t>Rulemaking</w:t>
            </w:r>
          </w:p>
        </w:tc>
        <w:tc>
          <w:tcPr>
            <w:tcW w:w="3168" w:type="dxa"/>
            <w:vAlign w:val="center"/>
          </w:tcPr>
          <w:p w14:paraId="2B93D56B" w14:textId="77777777" w:rsidR="0027104D" w:rsidRPr="00954BF3" w:rsidRDefault="0027104D" w:rsidP="00844831">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954BF3">
              <w:rPr>
                <w:sz w:val="20"/>
                <w:szCs w:val="20"/>
              </w:rPr>
              <w:t>§§553, 556-57</w:t>
            </w:r>
          </w:p>
        </w:tc>
        <w:tc>
          <w:tcPr>
            <w:tcW w:w="1913" w:type="dxa"/>
            <w:vAlign w:val="center"/>
          </w:tcPr>
          <w:p w14:paraId="616F3399" w14:textId="77777777" w:rsidR="0027104D" w:rsidRPr="00954BF3" w:rsidRDefault="0027104D" w:rsidP="00844831">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954BF3">
              <w:rPr>
                <w:sz w:val="20"/>
                <w:szCs w:val="20"/>
              </w:rPr>
              <w:t>§553 (notice-and-comment)</w:t>
            </w:r>
          </w:p>
        </w:tc>
      </w:tr>
      <w:tr w:rsidR="0027104D" w:rsidRPr="00954BF3" w14:paraId="385B93E9" w14:textId="77777777" w:rsidTr="00844831">
        <w:trPr>
          <w:jc w:val="center"/>
        </w:trPr>
        <w:tc>
          <w:tcPr>
            <w:cnfStyle w:val="001000000000" w:firstRow="0" w:lastRow="0" w:firstColumn="1" w:lastColumn="0" w:oddVBand="0" w:evenVBand="0" w:oddHBand="0" w:evenHBand="0" w:firstRowFirstColumn="0" w:firstRowLastColumn="0" w:lastRowFirstColumn="0" w:lastRowLastColumn="0"/>
            <w:tcW w:w="1704" w:type="dxa"/>
            <w:vAlign w:val="center"/>
          </w:tcPr>
          <w:p w14:paraId="70D52647" w14:textId="77777777" w:rsidR="0027104D" w:rsidRPr="00954BF3" w:rsidRDefault="0027104D" w:rsidP="00844831">
            <w:pPr>
              <w:pStyle w:val="ListParagraph"/>
              <w:ind w:left="0"/>
              <w:jc w:val="center"/>
              <w:rPr>
                <w:b w:val="0"/>
                <w:sz w:val="20"/>
                <w:szCs w:val="20"/>
              </w:rPr>
            </w:pPr>
            <w:r w:rsidRPr="00954BF3">
              <w:rPr>
                <w:sz w:val="20"/>
                <w:szCs w:val="20"/>
              </w:rPr>
              <w:t>Adjudication</w:t>
            </w:r>
          </w:p>
        </w:tc>
        <w:tc>
          <w:tcPr>
            <w:tcW w:w="3168" w:type="dxa"/>
            <w:vAlign w:val="center"/>
          </w:tcPr>
          <w:p w14:paraId="3C2A6290" w14:textId="77777777" w:rsidR="0027104D" w:rsidRPr="00954BF3" w:rsidRDefault="0027104D" w:rsidP="00844831">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54BF3">
              <w:rPr>
                <w:sz w:val="20"/>
                <w:szCs w:val="20"/>
              </w:rPr>
              <w:t>§§554, 556-57</w:t>
            </w:r>
          </w:p>
        </w:tc>
        <w:tc>
          <w:tcPr>
            <w:tcW w:w="1913" w:type="dxa"/>
            <w:vAlign w:val="center"/>
          </w:tcPr>
          <w:p w14:paraId="411406F4" w14:textId="77777777" w:rsidR="0027104D" w:rsidRPr="00954BF3" w:rsidRDefault="0027104D" w:rsidP="00844831">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54BF3">
              <w:rPr>
                <w:sz w:val="20"/>
                <w:szCs w:val="20"/>
              </w:rPr>
              <w:t>Almost no APA procedures</w:t>
            </w:r>
          </w:p>
        </w:tc>
      </w:tr>
    </w:tbl>
    <w:p w14:paraId="19A4C7FA" w14:textId="2BC3DBC0" w:rsidR="0027104D" w:rsidRPr="00892E14" w:rsidRDefault="0027104D" w:rsidP="00EB75BB">
      <w:pPr>
        <w:pStyle w:val="ListParagraph"/>
        <w:numPr>
          <w:ilvl w:val="1"/>
          <w:numId w:val="13"/>
        </w:numPr>
      </w:pPr>
      <w:r>
        <w:rPr>
          <w:sz w:val="20"/>
        </w:rPr>
        <w:t>Exceptions are 1) interpretive rules, 2) policy statements, 3) rules of agency organization and 4) good cause rules</w:t>
      </w:r>
    </w:p>
    <w:p w14:paraId="13D21F3B" w14:textId="569A347D" w:rsidR="00892E14" w:rsidRPr="007152ED" w:rsidRDefault="00892E14" w:rsidP="00EB75BB">
      <w:pPr>
        <w:pStyle w:val="ListParagraph"/>
        <w:numPr>
          <w:ilvl w:val="2"/>
          <w:numId w:val="13"/>
        </w:numPr>
      </w:pPr>
      <w:r>
        <w:rPr>
          <w:sz w:val="20"/>
        </w:rPr>
        <w:t>Distinguishing factor betwe</w:t>
      </w:r>
      <w:r w:rsidR="00606B28">
        <w:rPr>
          <w:sz w:val="20"/>
        </w:rPr>
        <w:t>en interpretive rules and other legislative</w:t>
      </w:r>
      <w:r>
        <w:rPr>
          <w:sz w:val="20"/>
        </w:rPr>
        <w:t xml:space="preserve"> rules is that legislative rules have the “force &amp; effect of law” and interpretive rules do not</w:t>
      </w:r>
    </w:p>
    <w:p w14:paraId="401090AE" w14:textId="3E08ECDC" w:rsidR="007152ED" w:rsidRPr="00E836E7" w:rsidRDefault="007152ED" w:rsidP="00EB75BB">
      <w:pPr>
        <w:pStyle w:val="ListParagraph"/>
        <w:numPr>
          <w:ilvl w:val="2"/>
          <w:numId w:val="13"/>
        </w:numPr>
      </w:pPr>
      <w:r>
        <w:rPr>
          <w:sz w:val="20"/>
        </w:rPr>
        <w:t>Good cause exception can be invoked to: 1) comply with legislative deadlines, 2) correct technical err</w:t>
      </w:r>
      <w:r w:rsidR="004825BF">
        <w:rPr>
          <w:sz w:val="20"/>
        </w:rPr>
        <w:t>ors,</w:t>
      </w:r>
      <w:r>
        <w:rPr>
          <w:sz w:val="20"/>
        </w:rPr>
        <w:t xml:space="preserve"> 3) if surprise is necessary (i.e., p</w:t>
      </w:r>
      <w:r w:rsidR="004825BF">
        <w:rPr>
          <w:sz w:val="20"/>
        </w:rPr>
        <w:t>rice-freezes), or 4) the unforeseen</w:t>
      </w:r>
    </w:p>
    <w:p w14:paraId="073E7B4D" w14:textId="77F46768" w:rsidR="00E836E7" w:rsidRPr="00EB75BB" w:rsidRDefault="00E836E7" w:rsidP="00EB75BB">
      <w:pPr>
        <w:pStyle w:val="ListParagraph"/>
        <w:numPr>
          <w:ilvl w:val="3"/>
          <w:numId w:val="13"/>
        </w:numPr>
      </w:pPr>
      <w:r>
        <w:rPr>
          <w:sz w:val="20"/>
        </w:rPr>
        <w:t>Agency’s reliance on good</w:t>
      </w:r>
      <w:r w:rsidR="007A64BA">
        <w:rPr>
          <w:sz w:val="20"/>
        </w:rPr>
        <w:t xml:space="preserve"> </w:t>
      </w:r>
      <w:r>
        <w:rPr>
          <w:sz w:val="20"/>
        </w:rPr>
        <w:t>cause exception is reviewed de novo</w:t>
      </w:r>
      <w:r w:rsidR="00852941">
        <w:rPr>
          <w:sz w:val="20"/>
        </w:rPr>
        <w:t>, and under an arbitrary &amp; capricious standard for fact</w:t>
      </w:r>
      <w:r w:rsidR="007A64BA">
        <w:rPr>
          <w:sz w:val="20"/>
        </w:rPr>
        <w:t xml:space="preserve"> </w:t>
      </w:r>
      <w:r w:rsidR="00852941">
        <w:rPr>
          <w:sz w:val="20"/>
        </w:rPr>
        <w:t>finding</w:t>
      </w:r>
    </w:p>
    <w:p w14:paraId="762FE871" w14:textId="02057D2A" w:rsidR="00EB75BB" w:rsidRPr="00892C0B" w:rsidRDefault="00EB75BB" w:rsidP="00EB75BB">
      <w:pPr>
        <w:pStyle w:val="ListParagraph"/>
        <w:numPr>
          <w:ilvl w:val="2"/>
          <w:numId w:val="13"/>
        </w:numPr>
      </w:pPr>
      <w:r>
        <w:rPr>
          <w:sz w:val="20"/>
        </w:rPr>
        <w:t xml:space="preserve">General statements of policy are </w:t>
      </w:r>
      <w:r>
        <w:rPr>
          <w:i/>
          <w:sz w:val="20"/>
        </w:rPr>
        <w:t xml:space="preserve">never </w:t>
      </w:r>
      <w:r>
        <w:rPr>
          <w:sz w:val="20"/>
        </w:rPr>
        <w:t xml:space="preserve">reviewable due to lack of finality – </w:t>
      </w:r>
      <w:r>
        <w:rPr>
          <w:i/>
          <w:sz w:val="20"/>
        </w:rPr>
        <w:t>Cohen v. U.S.</w:t>
      </w:r>
    </w:p>
    <w:p w14:paraId="670001B4" w14:textId="690DF772" w:rsidR="004F280F" w:rsidRPr="004F280F" w:rsidRDefault="004F280F" w:rsidP="00EB75BB">
      <w:pPr>
        <w:pStyle w:val="ListParagraph"/>
        <w:numPr>
          <w:ilvl w:val="0"/>
          <w:numId w:val="13"/>
        </w:numPr>
      </w:pPr>
      <w:r>
        <w:rPr>
          <w:sz w:val="20"/>
        </w:rPr>
        <w:t xml:space="preserve">The </w:t>
      </w:r>
      <w:r>
        <w:rPr>
          <w:i/>
          <w:sz w:val="20"/>
        </w:rPr>
        <w:t xml:space="preserve">Wyman-Gordon </w:t>
      </w:r>
      <w:r>
        <w:rPr>
          <w:sz w:val="20"/>
        </w:rPr>
        <w:t>arc starts with an assertion that agencies cannot hybridize rules and orders (issue an order with only prospective effect)</w:t>
      </w:r>
    </w:p>
    <w:p w14:paraId="40A7C961" w14:textId="681547E5" w:rsidR="004F280F" w:rsidRPr="00830EDE" w:rsidRDefault="004F280F" w:rsidP="00EB75BB">
      <w:pPr>
        <w:pStyle w:val="ListParagraph"/>
        <w:numPr>
          <w:ilvl w:val="1"/>
          <w:numId w:val="13"/>
        </w:numPr>
      </w:pPr>
      <w:r>
        <w:rPr>
          <w:sz w:val="20"/>
        </w:rPr>
        <w:t xml:space="preserve">The first question SCOTUS decided in </w:t>
      </w:r>
      <w:r>
        <w:rPr>
          <w:i/>
          <w:sz w:val="20"/>
        </w:rPr>
        <w:t xml:space="preserve">W-G </w:t>
      </w:r>
      <w:r>
        <w:rPr>
          <w:sz w:val="20"/>
        </w:rPr>
        <w:t>was whether an “order” announced in a previous adjudication was valid. Answer was “no” because it was actually a disguised rule</w:t>
      </w:r>
    </w:p>
    <w:p w14:paraId="13740AF0" w14:textId="575A5485" w:rsidR="00830EDE" w:rsidRPr="004F280F" w:rsidRDefault="00830EDE" w:rsidP="00830EDE">
      <w:pPr>
        <w:pStyle w:val="ListParagraph"/>
        <w:numPr>
          <w:ilvl w:val="2"/>
          <w:numId w:val="13"/>
        </w:numPr>
      </w:pPr>
      <w:r>
        <w:rPr>
          <w:sz w:val="20"/>
        </w:rPr>
        <w:t>Rule is defined as something that has “general applicability” and “future effect”</w:t>
      </w:r>
    </w:p>
    <w:p w14:paraId="23312963" w14:textId="5AE33677" w:rsidR="004F280F" w:rsidRPr="00441D47" w:rsidRDefault="004F280F" w:rsidP="00830EDE">
      <w:pPr>
        <w:pStyle w:val="ListParagraph"/>
        <w:numPr>
          <w:ilvl w:val="3"/>
          <w:numId w:val="13"/>
        </w:numPr>
      </w:pPr>
      <w:r>
        <w:rPr>
          <w:i/>
          <w:sz w:val="20"/>
        </w:rPr>
        <w:t xml:space="preserve">Everything </w:t>
      </w:r>
      <w:r>
        <w:rPr>
          <w:sz w:val="20"/>
        </w:rPr>
        <w:t xml:space="preserve">has future effect – that </w:t>
      </w:r>
      <w:r>
        <w:rPr>
          <w:i/>
          <w:sz w:val="20"/>
        </w:rPr>
        <w:t xml:space="preserve">can’t </w:t>
      </w:r>
      <w:r>
        <w:rPr>
          <w:sz w:val="20"/>
        </w:rPr>
        <w:t>be the defining feature of a rule</w:t>
      </w:r>
      <w:r w:rsidR="00B561B9">
        <w:rPr>
          <w:sz w:val="20"/>
        </w:rPr>
        <w:t xml:space="preserve"> </w:t>
      </w:r>
    </w:p>
    <w:p w14:paraId="681FA13C" w14:textId="4329DE8A" w:rsidR="00441D47" w:rsidRPr="00441D47" w:rsidRDefault="00606B28" w:rsidP="00EB75BB">
      <w:pPr>
        <w:pStyle w:val="ListParagraph"/>
        <w:numPr>
          <w:ilvl w:val="1"/>
          <w:numId w:val="13"/>
        </w:numPr>
      </w:pPr>
      <w:r>
        <w:rPr>
          <w:sz w:val="20"/>
        </w:rPr>
        <w:t xml:space="preserve">Court quickly gives up in </w:t>
      </w:r>
      <w:r w:rsidR="00441D47">
        <w:rPr>
          <w:i/>
          <w:sz w:val="20"/>
        </w:rPr>
        <w:t>Bell Aerospace</w:t>
      </w:r>
      <w:r w:rsidR="00441D47">
        <w:rPr>
          <w:sz w:val="20"/>
        </w:rPr>
        <w:t xml:space="preserve"> – both </w:t>
      </w:r>
      <w:r w:rsidR="00441D47">
        <w:rPr>
          <w:i/>
          <w:sz w:val="20"/>
        </w:rPr>
        <w:t xml:space="preserve">Chenery II </w:t>
      </w:r>
      <w:r w:rsidR="00441D47">
        <w:rPr>
          <w:sz w:val="20"/>
        </w:rPr>
        <w:t xml:space="preserve">and </w:t>
      </w:r>
      <w:r w:rsidR="00441D47">
        <w:rPr>
          <w:i/>
          <w:sz w:val="20"/>
        </w:rPr>
        <w:t>W-G</w:t>
      </w:r>
      <w:r w:rsidR="00441D47">
        <w:rPr>
          <w:sz w:val="20"/>
        </w:rPr>
        <w:t xml:space="preserve"> </w:t>
      </w:r>
      <w:r>
        <w:rPr>
          <w:sz w:val="20"/>
        </w:rPr>
        <w:t>argue that</w:t>
      </w:r>
      <w:r w:rsidR="00441D47">
        <w:rPr>
          <w:sz w:val="20"/>
        </w:rPr>
        <w:t xml:space="preserve"> agencies may announce new principles in adjudications, subject to court review for arbitrari</w:t>
      </w:r>
      <w:r w:rsidR="00352E37">
        <w:rPr>
          <w:sz w:val="20"/>
        </w:rPr>
        <w:t xml:space="preserve">ness </w:t>
      </w:r>
      <w:r w:rsidR="00441D47">
        <w:rPr>
          <w:sz w:val="20"/>
        </w:rPr>
        <w:t>as to whether rulemaking/adjudication is appropriate</w:t>
      </w:r>
    </w:p>
    <w:p w14:paraId="481B3AFC" w14:textId="49F820D9" w:rsidR="00441D47" w:rsidRPr="004F280F" w:rsidRDefault="00EB75BB" w:rsidP="00EB75BB">
      <w:pPr>
        <w:pStyle w:val="ListParagraph"/>
        <w:numPr>
          <w:ilvl w:val="2"/>
          <w:numId w:val="13"/>
        </w:numPr>
      </w:pPr>
      <w:r>
        <w:rPr>
          <w:sz w:val="20"/>
        </w:rPr>
        <w:t>I</w:t>
      </w:r>
      <w:r w:rsidR="00441D47">
        <w:rPr>
          <w:sz w:val="20"/>
        </w:rPr>
        <w:t>t can be very difficult to distinguish rules from adjudications</w:t>
      </w:r>
      <w:r w:rsidR="00EF6ACF">
        <w:rPr>
          <w:sz w:val="20"/>
        </w:rPr>
        <w:t xml:space="preserve">, and in practice it never happens – </w:t>
      </w:r>
      <w:r w:rsidR="00EF6ACF">
        <w:rPr>
          <w:i/>
          <w:sz w:val="20"/>
        </w:rPr>
        <w:t xml:space="preserve">City of Arlington </w:t>
      </w:r>
      <w:r w:rsidR="00EF6ACF">
        <w:rPr>
          <w:sz w:val="20"/>
        </w:rPr>
        <w:t>(5th Cir.)</w:t>
      </w:r>
    </w:p>
    <w:p w14:paraId="7902EC42" w14:textId="2C8B059A" w:rsidR="004F280F" w:rsidRPr="004F280F" w:rsidRDefault="004F280F" w:rsidP="00EB75BB">
      <w:pPr>
        <w:pStyle w:val="ListParagraph"/>
        <w:numPr>
          <w:ilvl w:val="1"/>
          <w:numId w:val="13"/>
        </w:numPr>
      </w:pPr>
      <w:r>
        <w:rPr>
          <w:sz w:val="20"/>
        </w:rPr>
        <w:t xml:space="preserve">An agency is bound by their own internal guidelines – </w:t>
      </w:r>
      <w:r>
        <w:rPr>
          <w:i/>
          <w:sz w:val="20"/>
        </w:rPr>
        <w:t>Morton v. Ruiz</w:t>
      </w:r>
    </w:p>
    <w:p w14:paraId="127CB6BC" w14:textId="51C8A3D3" w:rsidR="00441D47" w:rsidRPr="00E529E2" w:rsidRDefault="004F280F" w:rsidP="00EB75BB">
      <w:pPr>
        <w:pStyle w:val="ListParagraph"/>
        <w:numPr>
          <w:ilvl w:val="2"/>
          <w:numId w:val="13"/>
        </w:numPr>
      </w:pPr>
      <w:r>
        <w:rPr>
          <w:sz w:val="20"/>
        </w:rPr>
        <w:t xml:space="preserve">AV argues this is empowering to agencies, </w:t>
      </w:r>
      <w:r w:rsidR="00390D45">
        <w:rPr>
          <w:sz w:val="20"/>
        </w:rPr>
        <w:t xml:space="preserve">since the power to bind </w:t>
      </w:r>
      <w:r>
        <w:rPr>
          <w:sz w:val="20"/>
        </w:rPr>
        <w:t>is val</w:t>
      </w:r>
      <w:r w:rsidR="00E529E2">
        <w:rPr>
          <w:sz w:val="20"/>
        </w:rPr>
        <w:t>uable</w:t>
      </w:r>
      <w:r w:rsidR="00390D45">
        <w:rPr>
          <w:sz w:val="20"/>
        </w:rPr>
        <w:t xml:space="preserve"> (Ulysses)</w:t>
      </w:r>
    </w:p>
    <w:p w14:paraId="5CBB6B3E" w14:textId="28ED925D" w:rsidR="00E529E2" w:rsidRDefault="00E529E2" w:rsidP="00EB75BB">
      <w:pPr>
        <w:pStyle w:val="ListParagraph"/>
        <w:numPr>
          <w:ilvl w:val="0"/>
          <w:numId w:val="13"/>
        </w:numPr>
        <w:rPr>
          <w:sz w:val="20"/>
        </w:rPr>
      </w:pPr>
      <w:r>
        <w:rPr>
          <w:sz w:val="20"/>
        </w:rPr>
        <w:t xml:space="preserve">Agencies </w:t>
      </w:r>
      <w:r w:rsidR="00E35733">
        <w:rPr>
          <w:sz w:val="20"/>
        </w:rPr>
        <w:t>can use rules to narrow the issues parties can challenge in adjudication</w:t>
      </w:r>
      <w:r w:rsidR="00AC656E">
        <w:rPr>
          <w:sz w:val="20"/>
        </w:rPr>
        <w:t xml:space="preserve"> – </w:t>
      </w:r>
      <w:r>
        <w:rPr>
          <w:i/>
          <w:sz w:val="20"/>
        </w:rPr>
        <w:t>Texaco</w:t>
      </w:r>
      <w:r w:rsidR="00AC656E">
        <w:rPr>
          <w:sz w:val="20"/>
        </w:rPr>
        <w:t xml:space="preserve"> </w:t>
      </w:r>
    </w:p>
    <w:p w14:paraId="1D3016F2" w14:textId="0E8C95E2" w:rsidR="00E529E2" w:rsidRDefault="00E529E2" w:rsidP="00EB75BB">
      <w:pPr>
        <w:pStyle w:val="ListParagraph"/>
        <w:numPr>
          <w:ilvl w:val="1"/>
          <w:numId w:val="13"/>
        </w:numPr>
        <w:rPr>
          <w:sz w:val="20"/>
        </w:rPr>
      </w:pPr>
      <w:r>
        <w:rPr>
          <w:sz w:val="20"/>
        </w:rPr>
        <w:t>The “hearing” occurred during notice-and-comment rulemaking</w:t>
      </w:r>
    </w:p>
    <w:p w14:paraId="425EB1FA" w14:textId="3150F8C4" w:rsidR="00E529E2" w:rsidRDefault="00E35733" w:rsidP="00EB75BB">
      <w:pPr>
        <w:pStyle w:val="ListParagraph"/>
        <w:numPr>
          <w:ilvl w:val="2"/>
          <w:numId w:val="13"/>
        </w:numPr>
        <w:rPr>
          <w:sz w:val="20"/>
        </w:rPr>
      </w:pPr>
      <w:r>
        <w:rPr>
          <w:sz w:val="20"/>
        </w:rPr>
        <w:t>A</w:t>
      </w:r>
      <w:r w:rsidR="00E529E2">
        <w:rPr>
          <w:sz w:val="20"/>
        </w:rPr>
        <w:t>lternate interpretation is that these are separate issues. We a</w:t>
      </w:r>
      <w:r>
        <w:rPr>
          <w:sz w:val="20"/>
        </w:rPr>
        <w:t>lready decided the rule i</w:t>
      </w:r>
      <w:r w:rsidR="00E529E2">
        <w:rPr>
          <w:sz w:val="20"/>
        </w:rPr>
        <w:t>s permissible –</w:t>
      </w:r>
      <w:r>
        <w:rPr>
          <w:sz w:val="20"/>
        </w:rPr>
        <w:t xml:space="preserve"> only discussion surrounds </w:t>
      </w:r>
      <w:r w:rsidR="00E529E2">
        <w:rPr>
          <w:sz w:val="20"/>
        </w:rPr>
        <w:t>application that prima facie violates the rule</w:t>
      </w:r>
    </w:p>
    <w:p w14:paraId="3D55A2EF" w14:textId="0B1F2313" w:rsidR="00E529E2" w:rsidRDefault="00EB75BB" w:rsidP="00EB75BB">
      <w:pPr>
        <w:pStyle w:val="ListParagraph"/>
        <w:numPr>
          <w:ilvl w:val="3"/>
          <w:numId w:val="13"/>
        </w:numPr>
        <w:rPr>
          <w:sz w:val="20"/>
        </w:rPr>
      </w:pPr>
      <w:r>
        <w:rPr>
          <w:sz w:val="20"/>
        </w:rPr>
        <w:t xml:space="preserve">No </w:t>
      </w:r>
      <w:r w:rsidR="00E529E2">
        <w:rPr>
          <w:sz w:val="20"/>
        </w:rPr>
        <w:t>hearing unless there is something to have a hearing about</w:t>
      </w:r>
    </w:p>
    <w:p w14:paraId="30DE1AB4" w14:textId="72829E1E" w:rsidR="00E529E2" w:rsidRDefault="00E529E2" w:rsidP="00EB75BB">
      <w:pPr>
        <w:pStyle w:val="ListParagraph"/>
        <w:numPr>
          <w:ilvl w:val="1"/>
          <w:numId w:val="13"/>
        </w:numPr>
        <w:rPr>
          <w:sz w:val="20"/>
        </w:rPr>
      </w:pPr>
      <w:r>
        <w:rPr>
          <w:sz w:val="20"/>
        </w:rPr>
        <w:t>Somewhat Orwellian because the “rule” and “order” were promulgated by the same people, simply wearing different hats</w:t>
      </w:r>
    </w:p>
    <w:p w14:paraId="4DE3A2F1" w14:textId="607AFC79" w:rsidR="00E529E2" w:rsidRDefault="00E529E2" w:rsidP="00EB75BB">
      <w:pPr>
        <w:pStyle w:val="ListParagraph"/>
        <w:numPr>
          <w:ilvl w:val="1"/>
          <w:numId w:val="13"/>
        </w:numPr>
        <w:rPr>
          <w:sz w:val="20"/>
        </w:rPr>
      </w:pPr>
      <w:r>
        <w:rPr>
          <w:i/>
          <w:sz w:val="20"/>
        </w:rPr>
        <w:t xml:space="preserve">Heckler v. Campbell </w:t>
      </w:r>
      <w:r>
        <w:rPr>
          <w:sz w:val="20"/>
        </w:rPr>
        <w:t>(Social Security g</w:t>
      </w:r>
      <w:r w:rsidR="00EB75BB">
        <w:rPr>
          <w:sz w:val="20"/>
        </w:rPr>
        <w:t>rid system) similarly upholds</w:t>
      </w:r>
      <w:r>
        <w:rPr>
          <w:sz w:val="20"/>
        </w:rPr>
        <w:t xml:space="preserve"> agency’s right to make generalized statements about rules that may not be challen</w:t>
      </w:r>
      <w:r w:rsidR="00BE7517">
        <w:rPr>
          <w:sz w:val="20"/>
        </w:rPr>
        <w:t>ged in individual adjudications</w:t>
      </w:r>
    </w:p>
    <w:p w14:paraId="6934931C" w14:textId="0A08C3BD" w:rsidR="007177ED" w:rsidRPr="00E529E2" w:rsidRDefault="007177ED" w:rsidP="00EB75BB">
      <w:pPr>
        <w:pStyle w:val="ListParagraph"/>
        <w:numPr>
          <w:ilvl w:val="1"/>
          <w:numId w:val="13"/>
        </w:numPr>
        <w:rPr>
          <w:sz w:val="20"/>
        </w:rPr>
      </w:pPr>
      <w:r>
        <w:rPr>
          <w:i/>
          <w:sz w:val="20"/>
        </w:rPr>
        <w:t xml:space="preserve">Texaco </w:t>
      </w:r>
      <w:r>
        <w:rPr>
          <w:sz w:val="20"/>
        </w:rPr>
        <w:t xml:space="preserve">two-step only applies at the agency level – parties will </w:t>
      </w:r>
      <w:r>
        <w:rPr>
          <w:i/>
          <w:sz w:val="20"/>
        </w:rPr>
        <w:t xml:space="preserve">always </w:t>
      </w:r>
      <w:r w:rsidR="00606B28">
        <w:rPr>
          <w:sz w:val="20"/>
        </w:rPr>
        <w:t>be able to challenge rule’s</w:t>
      </w:r>
      <w:r>
        <w:rPr>
          <w:sz w:val="20"/>
        </w:rPr>
        <w:t xml:space="preserve"> validity in court, absent some other barrier (i.e., issue preclusion)</w:t>
      </w:r>
    </w:p>
    <w:p w14:paraId="5B1A9AB0" w14:textId="09144844" w:rsidR="0027104D" w:rsidRPr="0027104D" w:rsidRDefault="0027104D" w:rsidP="00EB75BB">
      <w:pPr>
        <w:pStyle w:val="ListParagraph"/>
        <w:numPr>
          <w:ilvl w:val="0"/>
          <w:numId w:val="13"/>
        </w:numPr>
      </w:pPr>
      <w:r>
        <w:rPr>
          <w:sz w:val="20"/>
        </w:rPr>
        <w:t xml:space="preserve">Agencies are entitled to </w:t>
      </w:r>
      <w:r>
        <w:rPr>
          <w:i/>
          <w:sz w:val="20"/>
        </w:rPr>
        <w:t xml:space="preserve">Chevron </w:t>
      </w:r>
      <w:r>
        <w:rPr>
          <w:sz w:val="20"/>
        </w:rPr>
        <w:t xml:space="preserve">deference when interpreting their own statutes – </w:t>
      </w:r>
      <w:r>
        <w:rPr>
          <w:i/>
          <w:sz w:val="20"/>
        </w:rPr>
        <w:t>Dominion Energy</w:t>
      </w:r>
    </w:p>
    <w:p w14:paraId="4E24FDF2" w14:textId="53854BEE" w:rsidR="0027104D" w:rsidRPr="0027104D" w:rsidRDefault="0027104D" w:rsidP="00EB75BB">
      <w:pPr>
        <w:pStyle w:val="ListParagraph"/>
        <w:numPr>
          <w:ilvl w:val="1"/>
          <w:numId w:val="13"/>
        </w:numPr>
      </w:pPr>
      <w:r>
        <w:rPr>
          <w:sz w:val="20"/>
        </w:rPr>
        <w:t>Agencies must show that they gave consideration to the relevant factors</w:t>
      </w:r>
    </w:p>
    <w:p w14:paraId="01562428" w14:textId="61319390" w:rsidR="00713D92" w:rsidRPr="00713D92" w:rsidRDefault="00713D92" w:rsidP="00EB75BB">
      <w:pPr>
        <w:pStyle w:val="ListParagraph"/>
        <w:numPr>
          <w:ilvl w:val="2"/>
          <w:numId w:val="13"/>
        </w:numPr>
      </w:pPr>
      <w:r>
        <w:rPr>
          <w:sz w:val="20"/>
        </w:rPr>
        <w:t xml:space="preserve">The relevant factors listed here are the </w:t>
      </w:r>
      <w:r>
        <w:rPr>
          <w:i/>
          <w:sz w:val="20"/>
        </w:rPr>
        <w:t xml:space="preserve">Matthews v. Eldridge </w:t>
      </w:r>
      <w:r>
        <w:rPr>
          <w:sz w:val="20"/>
        </w:rPr>
        <w:t>3-part test for due process</w:t>
      </w:r>
    </w:p>
    <w:p w14:paraId="2C014346" w14:textId="1AF116F8" w:rsidR="0027104D" w:rsidRPr="0027104D" w:rsidRDefault="00EB75BB" w:rsidP="00EB75BB">
      <w:pPr>
        <w:pStyle w:val="ListParagraph"/>
        <w:numPr>
          <w:ilvl w:val="2"/>
          <w:numId w:val="13"/>
        </w:numPr>
      </w:pPr>
      <w:r>
        <w:rPr>
          <w:sz w:val="20"/>
        </w:rPr>
        <w:t xml:space="preserve">If they did, </w:t>
      </w:r>
      <w:r w:rsidR="0027104D">
        <w:rPr>
          <w:sz w:val="20"/>
        </w:rPr>
        <w:t xml:space="preserve">prior judicial decisions yield to </w:t>
      </w:r>
      <w:r>
        <w:rPr>
          <w:sz w:val="20"/>
        </w:rPr>
        <w:t xml:space="preserve">agency’s reasonable interpretation – </w:t>
      </w:r>
      <w:r w:rsidR="0027104D">
        <w:rPr>
          <w:i/>
          <w:sz w:val="20"/>
        </w:rPr>
        <w:t>Brand X</w:t>
      </w:r>
    </w:p>
    <w:p w14:paraId="5E6081D6" w14:textId="790711C5" w:rsidR="0027104D" w:rsidRPr="0027104D" w:rsidRDefault="0027104D" w:rsidP="00EB75BB">
      <w:pPr>
        <w:pStyle w:val="ListParagraph"/>
        <w:numPr>
          <w:ilvl w:val="3"/>
          <w:numId w:val="13"/>
        </w:numPr>
      </w:pPr>
      <w:r>
        <w:rPr>
          <w:sz w:val="20"/>
        </w:rPr>
        <w:t>Are courts just not too worried about adjudication at issue here (informal)?</w:t>
      </w:r>
    </w:p>
    <w:p w14:paraId="6B935CB0" w14:textId="0C74D2C0" w:rsidR="0027104D" w:rsidRPr="00CE0FED" w:rsidRDefault="0027104D" w:rsidP="00EB75BB">
      <w:pPr>
        <w:pStyle w:val="ListParagraph"/>
        <w:numPr>
          <w:ilvl w:val="1"/>
          <w:numId w:val="13"/>
        </w:numPr>
      </w:pPr>
      <w:r>
        <w:rPr>
          <w:sz w:val="20"/>
        </w:rPr>
        <w:t>No deference is given when agencies try to interpret the APA</w:t>
      </w:r>
    </w:p>
    <w:p w14:paraId="78C5C03A" w14:textId="2C0FBE67" w:rsidR="00CE0FED" w:rsidRDefault="00CE0FED" w:rsidP="00EB75BB">
      <w:pPr>
        <w:pStyle w:val="ListParagraph"/>
        <w:numPr>
          <w:ilvl w:val="2"/>
          <w:numId w:val="13"/>
        </w:numPr>
      </w:pPr>
      <w:r>
        <w:rPr>
          <w:sz w:val="20"/>
        </w:rPr>
        <w:lastRenderedPageBreak/>
        <w:t>Doesn’t interpretation of CWA’s “public hearing” language trigger an “interpretation” of whether the APA intended to require formal procedures in cases like those presented?</w:t>
      </w:r>
    </w:p>
    <w:p w14:paraId="0A253319" w14:textId="1BCCC4C0" w:rsidR="00505123" w:rsidRDefault="00233D5C" w:rsidP="00233D5C">
      <w:pPr>
        <w:pStyle w:val="Heading4"/>
        <w:rPr>
          <w:sz w:val="20"/>
        </w:rPr>
      </w:pPr>
      <w:r w:rsidRPr="00233D5C">
        <w:rPr>
          <w:sz w:val="20"/>
        </w:rPr>
        <w:t>Constitutionality</w:t>
      </w:r>
    </w:p>
    <w:p w14:paraId="3A5C032F" w14:textId="4238DCF6" w:rsidR="0054140F" w:rsidRPr="0054140F" w:rsidRDefault="0054140F" w:rsidP="00471C75">
      <w:pPr>
        <w:pStyle w:val="ListParagraph"/>
        <w:numPr>
          <w:ilvl w:val="0"/>
          <w:numId w:val="3"/>
        </w:numPr>
      </w:pPr>
      <w:r>
        <w:rPr>
          <w:sz w:val="20"/>
        </w:rPr>
        <w:t>Administrat</w:t>
      </w:r>
      <w:r w:rsidR="00DF47F0">
        <w:rPr>
          <w:sz w:val="20"/>
          <w:szCs w:val="20"/>
        </w:rPr>
        <w:t>ive procedure’s</w:t>
      </w:r>
      <w:r w:rsidRPr="0054140F">
        <w:rPr>
          <w:sz w:val="20"/>
          <w:szCs w:val="20"/>
        </w:rPr>
        <w:t xml:space="preserve"> constitutional problems are: 1) Due process, 2) </w:t>
      </w:r>
      <w:r>
        <w:rPr>
          <w:sz w:val="20"/>
          <w:szCs w:val="20"/>
        </w:rPr>
        <w:t xml:space="preserve">Article III </w:t>
      </w:r>
      <w:r w:rsidRPr="0054140F">
        <w:rPr>
          <w:sz w:val="20"/>
          <w:szCs w:val="20"/>
        </w:rPr>
        <w:t>and 3) Retroactivity</w:t>
      </w:r>
    </w:p>
    <w:p w14:paraId="5E2F9508" w14:textId="0C917672" w:rsidR="0054140F" w:rsidRPr="00715C77" w:rsidRDefault="0054140F" w:rsidP="00471C75">
      <w:pPr>
        <w:pStyle w:val="ListParagraph"/>
        <w:numPr>
          <w:ilvl w:val="1"/>
          <w:numId w:val="3"/>
        </w:numPr>
      </w:pPr>
      <w:r>
        <w:rPr>
          <w:sz w:val="20"/>
          <w:szCs w:val="20"/>
        </w:rPr>
        <w:t>However, because all of these are fairly limited constraints, organic statutes and the APA will provide most of the procedural limits on agency decision</w:t>
      </w:r>
      <w:r w:rsidR="00715C77">
        <w:rPr>
          <w:sz w:val="20"/>
          <w:szCs w:val="20"/>
        </w:rPr>
        <w:t>-</w:t>
      </w:r>
      <w:r>
        <w:rPr>
          <w:sz w:val="20"/>
          <w:szCs w:val="20"/>
        </w:rPr>
        <w:t>making</w:t>
      </w:r>
    </w:p>
    <w:p w14:paraId="2EC9B8D2" w14:textId="21707B28" w:rsidR="00715C77" w:rsidRPr="00715C77" w:rsidRDefault="00715C77" w:rsidP="00471C75">
      <w:pPr>
        <w:pStyle w:val="ListParagraph"/>
        <w:numPr>
          <w:ilvl w:val="0"/>
          <w:numId w:val="3"/>
        </w:numPr>
      </w:pPr>
      <w:r>
        <w:rPr>
          <w:sz w:val="20"/>
          <w:szCs w:val="20"/>
        </w:rPr>
        <w:t>Due process only requires that you get “one good bite at the apple” somewhere – either before the agency or during judicial review</w:t>
      </w:r>
      <w:r w:rsidR="00A9367E">
        <w:rPr>
          <w:sz w:val="20"/>
          <w:szCs w:val="20"/>
        </w:rPr>
        <w:t>,</w:t>
      </w:r>
      <w:r w:rsidR="00E50925">
        <w:rPr>
          <w:sz w:val="20"/>
          <w:szCs w:val="20"/>
        </w:rPr>
        <w:t xml:space="preserve"> “</w:t>
      </w:r>
      <w:r w:rsidR="00A9367E">
        <w:rPr>
          <w:sz w:val="20"/>
          <w:szCs w:val="20"/>
        </w:rPr>
        <w:t>s</w:t>
      </w:r>
      <w:r w:rsidR="00E50925">
        <w:rPr>
          <w:sz w:val="20"/>
          <w:szCs w:val="20"/>
        </w:rPr>
        <w:t>ome kind of hearing”</w:t>
      </w:r>
      <w:r w:rsidR="002C08B0">
        <w:rPr>
          <w:sz w:val="20"/>
          <w:szCs w:val="20"/>
        </w:rPr>
        <w:t xml:space="preserve"> is required</w:t>
      </w:r>
    </w:p>
    <w:p w14:paraId="1E6E2A49" w14:textId="6526B7CA" w:rsidR="00715C77" w:rsidRPr="00577F42" w:rsidRDefault="00715C77" w:rsidP="00471C75">
      <w:pPr>
        <w:pStyle w:val="ListParagraph"/>
        <w:numPr>
          <w:ilvl w:val="1"/>
          <w:numId w:val="3"/>
        </w:numPr>
      </w:pPr>
      <w:r>
        <w:rPr>
          <w:sz w:val="20"/>
        </w:rPr>
        <w:t xml:space="preserve">In cases of legislative rulemaking, legislative process (i.e., voting) </w:t>
      </w:r>
      <w:r>
        <w:rPr>
          <w:i/>
          <w:sz w:val="20"/>
        </w:rPr>
        <w:t xml:space="preserve">is </w:t>
      </w:r>
      <w:r>
        <w:rPr>
          <w:sz w:val="20"/>
        </w:rPr>
        <w:t xml:space="preserve">due process – </w:t>
      </w:r>
      <w:r>
        <w:rPr>
          <w:i/>
          <w:sz w:val="20"/>
        </w:rPr>
        <w:t>Bi-Metallic</w:t>
      </w:r>
    </w:p>
    <w:p w14:paraId="1965A9BD" w14:textId="775BA99E" w:rsidR="00577F42" w:rsidRPr="00577F42" w:rsidRDefault="00577F42" w:rsidP="00471C75">
      <w:pPr>
        <w:pStyle w:val="ListParagraph"/>
        <w:numPr>
          <w:ilvl w:val="2"/>
          <w:numId w:val="3"/>
        </w:numPr>
      </w:pPr>
      <w:r>
        <w:rPr>
          <w:sz w:val="20"/>
        </w:rPr>
        <w:t>Limits to individual argument are n</w:t>
      </w:r>
      <w:r w:rsidR="00DF47F0">
        <w:rPr>
          <w:sz w:val="20"/>
        </w:rPr>
        <w:t>eeded, especially</w:t>
      </w:r>
      <w:r w:rsidR="00C51E68">
        <w:rPr>
          <w:sz w:val="20"/>
        </w:rPr>
        <w:t xml:space="preserve"> </w:t>
      </w:r>
      <w:r>
        <w:rPr>
          <w:sz w:val="20"/>
        </w:rPr>
        <w:t>statutes</w:t>
      </w:r>
      <w:r w:rsidR="00C51E68">
        <w:rPr>
          <w:sz w:val="20"/>
        </w:rPr>
        <w:t xml:space="preserve"> with “general applicability”</w:t>
      </w:r>
    </w:p>
    <w:p w14:paraId="774465F7" w14:textId="5B8AECB1" w:rsidR="00577F42" w:rsidRPr="00715C77" w:rsidRDefault="00577F42" w:rsidP="00471C75">
      <w:pPr>
        <w:pStyle w:val="ListParagraph"/>
        <w:numPr>
          <w:ilvl w:val="2"/>
          <w:numId w:val="3"/>
        </w:numPr>
      </w:pPr>
      <w:r>
        <w:rPr>
          <w:sz w:val="20"/>
        </w:rPr>
        <w:t>Unclear what facts (beyond widely known “legislative” facts) petitioners can provide</w:t>
      </w:r>
    </w:p>
    <w:p w14:paraId="3EACE175" w14:textId="5D67D23E" w:rsidR="00715C77" w:rsidRPr="00577F42" w:rsidRDefault="00DF47F0" w:rsidP="00471C75">
      <w:pPr>
        <w:pStyle w:val="ListParagraph"/>
        <w:numPr>
          <w:ilvl w:val="1"/>
          <w:numId w:val="3"/>
        </w:numPr>
      </w:pPr>
      <w:r>
        <w:rPr>
          <w:sz w:val="20"/>
        </w:rPr>
        <w:t>In adjudication,</w:t>
      </w:r>
      <w:r w:rsidR="00715C77">
        <w:rPr>
          <w:sz w:val="20"/>
        </w:rPr>
        <w:t xml:space="preserve"> oral hearing might be necessary, especially if judicial review is limited </w:t>
      </w:r>
      <w:r w:rsidR="00577F42">
        <w:rPr>
          <w:sz w:val="20"/>
        </w:rPr>
        <w:t>–</w:t>
      </w:r>
      <w:r w:rsidR="00715C77">
        <w:rPr>
          <w:sz w:val="20"/>
        </w:rPr>
        <w:t xml:space="preserve"> </w:t>
      </w:r>
      <w:r w:rsidR="00715C77">
        <w:rPr>
          <w:i/>
          <w:sz w:val="20"/>
        </w:rPr>
        <w:t>Londoner</w:t>
      </w:r>
    </w:p>
    <w:p w14:paraId="3A7673BA" w14:textId="3713F08B" w:rsidR="00577F42" w:rsidRPr="00EE1E9A" w:rsidRDefault="00577F42" w:rsidP="00471C75">
      <w:pPr>
        <w:pStyle w:val="ListParagraph"/>
        <w:numPr>
          <w:ilvl w:val="2"/>
          <w:numId w:val="3"/>
        </w:numPr>
      </w:pPr>
      <w:r>
        <w:rPr>
          <w:i/>
          <w:sz w:val="20"/>
        </w:rPr>
        <w:t xml:space="preserve">Southern Railway </w:t>
      </w:r>
      <w:r>
        <w:rPr>
          <w:sz w:val="20"/>
        </w:rPr>
        <w:t>elevates importance of judicial review, since the procedures afforded could not create a record under which courts could judge the decision’s arbitrariness</w:t>
      </w:r>
    </w:p>
    <w:p w14:paraId="12FFC876" w14:textId="4086E9F5" w:rsidR="00EE1E9A" w:rsidRPr="004D20BE" w:rsidRDefault="00EE1E9A" w:rsidP="00471C75">
      <w:pPr>
        <w:pStyle w:val="ListParagraph"/>
        <w:numPr>
          <w:ilvl w:val="0"/>
          <w:numId w:val="3"/>
        </w:numPr>
      </w:pPr>
      <w:r>
        <w:rPr>
          <w:sz w:val="20"/>
        </w:rPr>
        <w:t xml:space="preserve">The grounds on which an order is adjudicated is identical to the one initially given – agencies are not permitted to engage in post-hoc rationalization – </w:t>
      </w:r>
      <w:r>
        <w:rPr>
          <w:i/>
          <w:sz w:val="20"/>
        </w:rPr>
        <w:t>Chenery I</w:t>
      </w:r>
    </w:p>
    <w:p w14:paraId="12CA29DC" w14:textId="332254A9" w:rsidR="004D20BE" w:rsidRPr="004D20BE" w:rsidRDefault="004D20BE" w:rsidP="00471C75">
      <w:pPr>
        <w:pStyle w:val="ListParagraph"/>
        <w:numPr>
          <w:ilvl w:val="1"/>
          <w:numId w:val="3"/>
        </w:numPr>
      </w:pPr>
      <w:r>
        <w:rPr>
          <w:sz w:val="20"/>
        </w:rPr>
        <w:t>Since agency’s reasoning is legally incorrect, SCOTUS can’t supply alternative rationale</w:t>
      </w:r>
    </w:p>
    <w:p w14:paraId="47169549" w14:textId="516374C2" w:rsidR="004D20BE" w:rsidRPr="004D20BE" w:rsidRDefault="004D20BE" w:rsidP="00471C75">
      <w:pPr>
        <w:pStyle w:val="ListParagraph"/>
        <w:numPr>
          <w:ilvl w:val="1"/>
          <w:numId w:val="3"/>
        </w:numPr>
      </w:pPr>
      <w:r>
        <w:rPr>
          <w:sz w:val="20"/>
        </w:rPr>
        <w:t>Adequate explanation (reason-giving) is the currency agencies use to buy deference</w:t>
      </w:r>
    </w:p>
    <w:p w14:paraId="6F830706" w14:textId="4E52ABB1" w:rsidR="004D20BE" w:rsidRPr="00E50925" w:rsidRDefault="004D20BE" w:rsidP="00471C75">
      <w:pPr>
        <w:pStyle w:val="ListParagraph"/>
        <w:numPr>
          <w:ilvl w:val="1"/>
          <w:numId w:val="3"/>
        </w:numPr>
      </w:pPr>
      <w:r>
        <w:rPr>
          <w:sz w:val="20"/>
        </w:rPr>
        <w:t xml:space="preserve">Reflects </w:t>
      </w:r>
      <w:r>
        <w:rPr>
          <w:i/>
          <w:sz w:val="20"/>
        </w:rPr>
        <w:t>Crowell</w:t>
      </w:r>
      <w:r>
        <w:rPr>
          <w:sz w:val="20"/>
        </w:rPr>
        <w:t>’s division – court approves agency’s ability to set policy and give the order, but insists on a different legal rationale</w:t>
      </w:r>
    </w:p>
    <w:p w14:paraId="54918608" w14:textId="53E006EF" w:rsidR="00E50925" w:rsidRPr="0054140F" w:rsidRDefault="00E50925" w:rsidP="00471C75">
      <w:pPr>
        <w:pStyle w:val="ListParagraph"/>
        <w:numPr>
          <w:ilvl w:val="0"/>
          <w:numId w:val="3"/>
        </w:numPr>
      </w:pPr>
      <w:r>
        <w:rPr>
          <w:i/>
          <w:sz w:val="20"/>
        </w:rPr>
        <w:t xml:space="preserve">Chenery II </w:t>
      </w:r>
      <w:r>
        <w:rPr>
          <w:sz w:val="20"/>
        </w:rPr>
        <w:t>permits retroactivity in agency decisions as long as the costs are outweighed by the benefits</w:t>
      </w:r>
    </w:p>
    <w:p w14:paraId="1713F61F" w14:textId="088A6DB8" w:rsidR="00233D5C" w:rsidRDefault="00233D5C" w:rsidP="00233D5C">
      <w:pPr>
        <w:pStyle w:val="Heading4"/>
        <w:rPr>
          <w:sz w:val="20"/>
        </w:rPr>
      </w:pPr>
      <w:r w:rsidRPr="00233D5C">
        <w:rPr>
          <w:sz w:val="20"/>
        </w:rPr>
        <w:t>Rulemaking</w:t>
      </w:r>
    </w:p>
    <w:p w14:paraId="419FD37B" w14:textId="5F1428FD" w:rsidR="00CE0FED" w:rsidRPr="00CE0FED" w:rsidRDefault="00CE0FED" w:rsidP="00471C75">
      <w:pPr>
        <w:pStyle w:val="ListParagraph"/>
        <w:numPr>
          <w:ilvl w:val="0"/>
          <w:numId w:val="4"/>
        </w:numPr>
      </w:pPr>
      <w:r>
        <w:rPr>
          <w:sz w:val="20"/>
        </w:rPr>
        <w:t xml:space="preserve">Agencies are presumed to have rulemaking authority – </w:t>
      </w:r>
      <w:r>
        <w:rPr>
          <w:i/>
          <w:sz w:val="20"/>
        </w:rPr>
        <w:t xml:space="preserve">National Petroleum Refiners </w:t>
      </w:r>
      <w:r>
        <w:rPr>
          <w:sz w:val="20"/>
        </w:rPr>
        <w:t>(octane ratings)</w:t>
      </w:r>
    </w:p>
    <w:p w14:paraId="1233F723" w14:textId="212BE4B3" w:rsidR="00CE0FED" w:rsidRPr="00CE0FED" w:rsidRDefault="00CE0FED" w:rsidP="00471C75">
      <w:pPr>
        <w:pStyle w:val="ListParagraph"/>
        <w:numPr>
          <w:ilvl w:val="1"/>
          <w:numId w:val="4"/>
        </w:numPr>
      </w:pPr>
      <w:r>
        <w:rPr>
          <w:sz w:val="20"/>
        </w:rPr>
        <w:t xml:space="preserve">Embraces the fairness of rules’ </w:t>
      </w:r>
      <w:proofErr w:type="spellStart"/>
      <w:r>
        <w:rPr>
          <w:sz w:val="20"/>
        </w:rPr>
        <w:t>prospectivity</w:t>
      </w:r>
      <w:proofErr w:type="spellEnd"/>
      <w:r>
        <w:rPr>
          <w:sz w:val="20"/>
        </w:rPr>
        <w:t xml:space="preserve"> over adjudications</w:t>
      </w:r>
    </w:p>
    <w:p w14:paraId="2BF1588E" w14:textId="2B50C5F7" w:rsidR="00CE0FED" w:rsidRPr="00CE0FED" w:rsidRDefault="00CE0FED" w:rsidP="00471C75">
      <w:pPr>
        <w:pStyle w:val="ListParagraph"/>
        <w:numPr>
          <w:ilvl w:val="2"/>
          <w:numId w:val="4"/>
        </w:numPr>
      </w:pPr>
      <w:r>
        <w:rPr>
          <w:sz w:val="20"/>
        </w:rPr>
        <w:t xml:space="preserve">This was the dissent in </w:t>
      </w:r>
      <w:r>
        <w:rPr>
          <w:i/>
          <w:sz w:val="20"/>
        </w:rPr>
        <w:t>Chenery II</w:t>
      </w:r>
      <w:r w:rsidR="00DF47F0">
        <w:rPr>
          <w:sz w:val="20"/>
        </w:rPr>
        <w:t>!</w:t>
      </w:r>
      <w:r>
        <w:rPr>
          <w:sz w:val="20"/>
        </w:rPr>
        <w:t xml:space="preserve"> </w:t>
      </w:r>
      <w:r w:rsidR="00DF47F0">
        <w:rPr>
          <w:sz w:val="20"/>
        </w:rPr>
        <w:t>F</w:t>
      </w:r>
      <w:r>
        <w:rPr>
          <w:sz w:val="20"/>
        </w:rPr>
        <w:t>ailed when it attempted to limit agency’s discretion, but succeeded when it allowed agencies to engage</w:t>
      </w:r>
      <w:r w:rsidR="00DF47F0">
        <w:rPr>
          <w:sz w:val="20"/>
        </w:rPr>
        <w:t xml:space="preserve"> in rulemaking if</w:t>
      </w:r>
      <w:r w:rsidR="00BA035B">
        <w:rPr>
          <w:sz w:val="20"/>
        </w:rPr>
        <w:t xml:space="preserve"> they so desire</w:t>
      </w:r>
    </w:p>
    <w:p w14:paraId="68605E9F" w14:textId="71B2CE16" w:rsidR="00CE0FED" w:rsidRPr="00CE0FED" w:rsidRDefault="00CE0FED" w:rsidP="00471C75">
      <w:pPr>
        <w:pStyle w:val="ListParagraph"/>
        <w:numPr>
          <w:ilvl w:val="1"/>
          <w:numId w:val="4"/>
        </w:numPr>
      </w:pPr>
      <w:r>
        <w:rPr>
          <w:sz w:val="20"/>
        </w:rPr>
        <w:t>Could be interpreted narrowly (agency can make rules regarding its own adjudicative processes) or broadly (subst</w:t>
      </w:r>
      <w:r w:rsidR="00DF47F0">
        <w:rPr>
          <w:sz w:val="20"/>
        </w:rPr>
        <w:t>antive rulemaking authority). B</w:t>
      </w:r>
      <w:r>
        <w:rPr>
          <w:sz w:val="20"/>
        </w:rPr>
        <w:t>road</w:t>
      </w:r>
      <w:r w:rsidR="00DF47F0">
        <w:rPr>
          <w:sz w:val="20"/>
        </w:rPr>
        <w:t>er</w:t>
      </w:r>
      <w:r>
        <w:rPr>
          <w:sz w:val="20"/>
        </w:rPr>
        <w:t xml:space="preserve"> interpretation ultimately wins out</w:t>
      </w:r>
    </w:p>
    <w:p w14:paraId="2ADD4138" w14:textId="7D5B557E" w:rsidR="00CE0FED" w:rsidRPr="00CE0FED" w:rsidRDefault="00CE0FED" w:rsidP="00471C75">
      <w:pPr>
        <w:pStyle w:val="ListParagraph"/>
        <w:numPr>
          <w:ilvl w:val="1"/>
          <w:numId w:val="4"/>
        </w:numPr>
      </w:pPr>
      <w:r>
        <w:rPr>
          <w:sz w:val="20"/>
        </w:rPr>
        <w:t>Introduces a judicial check as to whether agencies evaluated pros and cons of a proposed rule</w:t>
      </w:r>
    </w:p>
    <w:p w14:paraId="33EBC2E7" w14:textId="7754A62C" w:rsidR="00CE0FED" w:rsidRPr="002F599C" w:rsidRDefault="00CE0FED" w:rsidP="00471C75">
      <w:pPr>
        <w:pStyle w:val="ListParagraph"/>
        <w:numPr>
          <w:ilvl w:val="2"/>
          <w:numId w:val="4"/>
        </w:numPr>
      </w:pPr>
      <w:r>
        <w:rPr>
          <w:sz w:val="20"/>
        </w:rPr>
        <w:t>Moves toward examining agency rationales and away from policing line between administrative state and judicial function</w:t>
      </w:r>
    </w:p>
    <w:p w14:paraId="0577DF4C" w14:textId="5A352665" w:rsidR="002F599C" w:rsidRPr="002F599C" w:rsidRDefault="002F599C" w:rsidP="00471C75">
      <w:pPr>
        <w:pStyle w:val="ListParagraph"/>
        <w:numPr>
          <w:ilvl w:val="0"/>
          <w:numId w:val="4"/>
        </w:numPr>
      </w:pPr>
      <w:r>
        <w:rPr>
          <w:sz w:val="20"/>
        </w:rPr>
        <w:t>There are four sources of rulemaking anxiety, attempts to lim</w:t>
      </w:r>
      <w:r w:rsidR="00A9367E">
        <w:rPr>
          <w:sz w:val="20"/>
        </w:rPr>
        <w:t>it agency discretion, and judicial</w:t>
      </w:r>
      <w:r>
        <w:rPr>
          <w:sz w:val="20"/>
        </w:rPr>
        <w:t xml:space="preserve"> responses</w:t>
      </w:r>
    </w:p>
    <w:p w14:paraId="2E4B7AC1" w14:textId="62ACA122" w:rsidR="002F599C" w:rsidRPr="002F599C" w:rsidRDefault="002F599C" w:rsidP="00471C75">
      <w:pPr>
        <w:pStyle w:val="ListParagraph"/>
        <w:numPr>
          <w:ilvl w:val="1"/>
          <w:numId w:val="4"/>
        </w:numPr>
      </w:pPr>
      <w:r>
        <w:rPr>
          <w:i/>
          <w:sz w:val="20"/>
        </w:rPr>
        <w:t xml:space="preserve">National Petroleum Refiners </w:t>
      </w:r>
      <w:r>
        <w:rPr>
          <w:sz w:val="20"/>
        </w:rPr>
        <w:t xml:space="preserve">(broad, substantive rulemaking authority) </w:t>
      </w:r>
    </w:p>
    <w:p w14:paraId="13AE848C" w14:textId="4E155CDF" w:rsidR="002F599C" w:rsidRPr="002F67C1" w:rsidRDefault="002F599C" w:rsidP="00471C75">
      <w:pPr>
        <w:pStyle w:val="ListParagraph"/>
        <w:numPr>
          <w:ilvl w:val="2"/>
          <w:numId w:val="4"/>
        </w:numPr>
      </w:pPr>
      <w:r>
        <w:rPr>
          <w:sz w:val="20"/>
        </w:rPr>
        <w:t xml:space="preserve">Lower courts respond with attempts to </w:t>
      </w:r>
      <w:proofErr w:type="spellStart"/>
      <w:r>
        <w:rPr>
          <w:sz w:val="20"/>
        </w:rPr>
        <w:t>proceduralize</w:t>
      </w:r>
      <w:proofErr w:type="spellEnd"/>
      <w:r>
        <w:rPr>
          <w:sz w:val="20"/>
        </w:rPr>
        <w:t xml:space="preserve"> agency actions</w:t>
      </w:r>
    </w:p>
    <w:p w14:paraId="506E7697" w14:textId="5EB27A53" w:rsidR="002F67C1" w:rsidRPr="002F67C1" w:rsidRDefault="002F67C1" w:rsidP="00AC4B28">
      <w:pPr>
        <w:pStyle w:val="ListParagraph"/>
        <w:numPr>
          <w:ilvl w:val="3"/>
          <w:numId w:val="4"/>
        </w:numPr>
      </w:pPr>
      <w:r>
        <w:rPr>
          <w:sz w:val="20"/>
        </w:rPr>
        <w:t xml:space="preserve">Notice-and-comment must be </w:t>
      </w:r>
      <w:r>
        <w:rPr>
          <w:i/>
          <w:sz w:val="20"/>
        </w:rPr>
        <w:t xml:space="preserve">meaningful </w:t>
      </w:r>
      <w:r>
        <w:rPr>
          <w:sz w:val="20"/>
        </w:rPr>
        <w:t>to meet APA requirements</w:t>
      </w:r>
    </w:p>
    <w:p w14:paraId="000BA151" w14:textId="4A643B3D" w:rsidR="002F67C1" w:rsidRPr="002F599C" w:rsidRDefault="002F67C1" w:rsidP="00AC4B28">
      <w:pPr>
        <w:pStyle w:val="ListParagraph"/>
        <w:numPr>
          <w:ilvl w:val="3"/>
          <w:numId w:val="4"/>
        </w:numPr>
      </w:pPr>
      <w:r>
        <w:rPr>
          <w:sz w:val="20"/>
        </w:rPr>
        <w:t>Without development of record, jud</w:t>
      </w:r>
      <w:r w:rsidR="0013039C">
        <w:rPr>
          <w:sz w:val="20"/>
        </w:rPr>
        <w:t>icial review is impossible, and regulation is therefore</w:t>
      </w:r>
      <w:r>
        <w:rPr>
          <w:sz w:val="20"/>
        </w:rPr>
        <w:t xml:space="preserve"> arbitrary</w:t>
      </w:r>
      <w:r>
        <w:rPr>
          <w:b/>
          <w:sz w:val="20"/>
        </w:rPr>
        <w:t xml:space="preserve"> </w:t>
      </w:r>
    </w:p>
    <w:p w14:paraId="0EB2049D" w14:textId="09EE2FD5" w:rsidR="002F599C" w:rsidRPr="00291A85" w:rsidRDefault="002F599C" w:rsidP="00471C75">
      <w:pPr>
        <w:pStyle w:val="ListParagraph"/>
        <w:numPr>
          <w:ilvl w:val="2"/>
          <w:numId w:val="4"/>
        </w:numPr>
      </w:pPr>
      <w:r>
        <w:rPr>
          <w:sz w:val="20"/>
        </w:rPr>
        <w:t xml:space="preserve">SCOTUS responds with </w:t>
      </w:r>
      <w:r>
        <w:rPr>
          <w:i/>
          <w:sz w:val="20"/>
        </w:rPr>
        <w:t>Vermont Yankee</w:t>
      </w:r>
      <w:r>
        <w:rPr>
          <w:sz w:val="20"/>
        </w:rPr>
        <w:t>, killing hybrid rulemaking</w:t>
      </w:r>
      <w:r w:rsidR="00291A85">
        <w:rPr>
          <w:sz w:val="20"/>
        </w:rPr>
        <w:t xml:space="preserve"> </w:t>
      </w:r>
    </w:p>
    <w:p w14:paraId="27BE07D4" w14:textId="10DD5AAB" w:rsidR="00291A85" w:rsidRPr="002F599C" w:rsidRDefault="00291A85" w:rsidP="00471C75">
      <w:pPr>
        <w:pStyle w:val="ListParagraph"/>
        <w:numPr>
          <w:ilvl w:val="3"/>
          <w:numId w:val="4"/>
        </w:numPr>
      </w:pPr>
      <w:r>
        <w:rPr>
          <w:sz w:val="20"/>
        </w:rPr>
        <w:t xml:space="preserve">§553 is a </w:t>
      </w:r>
      <w:r>
        <w:rPr>
          <w:i/>
          <w:sz w:val="20"/>
        </w:rPr>
        <w:t xml:space="preserve">ceiling </w:t>
      </w:r>
      <w:r>
        <w:rPr>
          <w:sz w:val="20"/>
        </w:rPr>
        <w:t xml:space="preserve">on procedural requirements that courts can impose on agencies – there is </w:t>
      </w:r>
      <w:r>
        <w:rPr>
          <w:i/>
          <w:sz w:val="20"/>
        </w:rPr>
        <w:t xml:space="preserve">no </w:t>
      </w:r>
      <w:r>
        <w:rPr>
          <w:sz w:val="20"/>
        </w:rPr>
        <w:t>common law of administrative procedures</w:t>
      </w:r>
    </w:p>
    <w:p w14:paraId="2FD6D958" w14:textId="1B76D4C9" w:rsidR="002F599C" w:rsidRPr="002F599C" w:rsidRDefault="002F599C" w:rsidP="00471C75">
      <w:pPr>
        <w:pStyle w:val="ListParagraph"/>
        <w:numPr>
          <w:ilvl w:val="2"/>
          <w:numId w:val="4"/>
        </w:numPr>
      </w:pPr>
      <w:r>
        <w:rPr>
          <w:i/>
          <w:sz w:val="20"/>
        </w:rPr>
        <w:t xml:space="preserve">Perez v. MBA </w:t>
      </w:r>
      <w:r>
        <w:rPr>
          <w:sz w:val="20"/>
        </w:rPr>
        <w:t xml:space="preserve">is </w:t>
      </w:r>
      <w:r>
        <w:rPr>
          <w:i/>
          <w:sz w:val="20"/>
        </w:rPr>
        <w:t xml:space="preserve">Vermont Yankee </w:t>
      </w:r>
      <w:r>
        <w:rPr>
          <w:sz w:val="20"/>
        </w:rPr>
        <w:t>2.0, killing the “definitive interpretation doctrine”</w:t>
      </w:r>
    </w:p>
    <w:p w14:paraId="38CDF54B" w14:textId="138A00B5" w:rsidR="002F599C" w:rsidRPr="002F67C1" w:rsidRDefault="002F599C" w:rsidP="00471C75">
      <w:pPr>
        <w:pStyle w:val="ListParagraph"/>
        <w:numPr>
          <w:ilvl w:val="3"/>
          <w:numId w:val="4"/>
        </w:numPr>
      </w:pPr>
      <w:r>
        <w:rPr>
          <w:sz w:val="20"/>
        </w:rPr>
        <w:t xml:space="preserve">“Definitive interpretation” was a D.C. Circuit innovation </w:t>
      </w:r>
      <w:r w:rsidR="00896F12">
        <w:rPr>
          <w:sz w:val="20"/>
        </w:rPr>
        <w:t>requiring</w:t>
      </w:r>
      <w:r>
        <w:rPr>
          <w:sz w:val="20"/>
        </w:rPr>
        <w:t xml:space="preserve"> notice-and-comment </w:t>
      </w:r>
      <w:r w:rsidR="00896F12">
        <w:rPr>
          <w:sz w:val="20"/>
        </w:rPr>
        <w:t xml:space="preserve">after an agency changes </w:t>
      </w:r>
      <w:r>
        <w:rPr>
          <w:sz w:val="20"/>
        </w:rPr>
        <w:t>a previously issued interpretive rule</w:t>
      </w:r>
    </w:p>
    <w:p w14:paraId="58B4FAF0" w14:textId="16F51FEB" w:rsidR="002F599C" w:rsidRPr="002F599C" w:rsidRDefault="002F599C" w:rsidP="00471C75">
      <w:pPr>
        <w:pStyle w:val="ListParagraph"/>
        <w:numPr>
          <w:ilvl w:val="1"/>
          <w:numId w:val="4"/>
        </w:numPr>
      </w:pPr>
      <w:r>
        <w:rPr>
          <w:i/>
          <w:sz w:val="20"/>
        </w:rPr>
        <w:t xml:space="preserve">Chenery II </w:t>
      </w:r>
      <w:r>
        <w:rPr>
          <w:sz w:val="20"/>
        </w:rPr>
        <w:t>(choice between rulemaking and adjudication)</w:t>
      </w:r>
    </w:p>
    <w:p w14:paraId="54D63C28" w14:textId="38C378E3" w:rsidR="002F599C" w:rsidRPr="002F599C" w:rsidRDefault="002F599C" w:rsidP="00471C75">
      <w:pPr>
        <w:pStyle w:val="ListParagraph"/>
        <w:numPr>
          <w:ilvl w:val="2"/>
          <w:numId w:val="4"/>
        </w:numPr>
      </w:pPr>
      <w:r>
        <w:rPr>
          <w:i/>
          <w:sz w:val="20"/>
        </w:rPr>
        <w:t xml:space="preserve">W-G </w:t>
      </w:r>
      <w:r>
        <w:rPr>
          <w:sz w:val="20"/>
        </w:rPr>
        <w:t>attempts to limit agency discretion, but ultimately fails</w:t>
      </w:r>
    </w:p>
    <w:p w14:paraId="3E0167C5" w14:textId="3BED0920" w:rsidR="002F599C" w:rsidRPr="002F599C" w:rsidRDefault="002F599C" w:rsidP="00471C75">
      <w:pPr>
        <w:pStyle w:val="ListParagraph"/>
        <w:numPr>
          <w:ilvl w:val="1"/>
          <w:numId w:val="4"/>
        </w:numPr>
      </w:pPr>
      <w:r>
        <w:rPr>
          <w:i/>
          <w:sz w:val="20"/>
        </w:rPr>
        <w:t xml:space="preserve">Texaco </w:t>
      </w:r>
      <w:r>
        <w:rPr>
          <w:sz w:val="20"/>
        </w:rPr>
        <w:t>two-step (Rules at time 1, limit issues for hearing at time 2)</w:t>
      </w:r>
    </w:p>
    <w:p w14:paraId="0F83E765" w14:textId="0CF3534C" w:rsidR="002F599C" w:rsidRPr="00F34B42" w:rsidRDefault="002F599C" w:rsidP="00471C75">
      <w:pPr>
        <w:pStyle w:val="ListParagraph"/>
        <w:numPr>
          <w:ilvl w:val="2"/>
          <w:numId w:val="4"/>
        </w:numPr>
      </w:pPr>
      <w:r>
        <w:rPr>
          <w:i/>
          <w:sz w:val="20"/>
        </w:rPr>
        <w:t xml:space="preserve">Nova Scotia </w:t>
      </w:r>
      <w:r>
        <w:rPr>
          <w:sz w:val="20"/>
        </w:rPr>
        <w:t>adds paper hearing requirements to informal rulemaking</w:t>
      </w:r>
      <w:r w:rsidR="00291A85">
        <w:rPr>
          <w:sz w:val="20"/>
        </w:rPr>
        <w:t xml:space="preserve"> – informal rulemaking must still produce enough of a record to allow for judicial review</w:t>
      </w:r>
    </w:p>
    <w:p w14:paraId="4C0C04D7" w14:textId="16E3F1B0" w:rsidR="00F34B42" w:rsidRPr="00F34B42" w:rsidRDefault="00F34B42" w:rsidP="00471C75">
      <w:pPr>
        <w:pStyle w:val="ListParagraph"/>
        <w:numPr>
          <w:ilvl w:val="3"/>
          <w:numId w:val="4"/>
        </w:numPr>
      </w:pPr>
      <w:r>
        <w:rPr>
          <w:sz w:val="20"/>
        </w:rPr>
        <w:lastRenderedPageBreak/>
        <w:t>Paper hearings have three requirements:</w:t>
      </w:r>
    </w:p>
    <w:p w14:paraId="41BBA330" w14:textId="1F2E4D3A" w:rsidR="00F34B42" w:rsidRPr="00F34B42" w:rsidRDefault="00F34B42" w:rsidP="00471C75">
      <w:pPr>
        <w:pStyle w:val="ListParagraph"/>
        <w:numPr>
          <w:ilvl w:val="4"/>
          <w:numId w:val="4"/>
        </w:numPr>
        <w:spacing w:before="240"/>
      </w:pPr>
      <w:r>
        <w:rPr>
          <w:sz w:val="20"/>
        </w:rPr>
        <w:t>Disclosure of material information agency relied on (</w:t>
      </w:r>
      <w:r>
        <w:rPr>
          <w:i/>
          <w:sz w:val="20"/>
        </w:rPr>
        <w:t>Portland Cement</w:t>
      </w:r>
      <w:r>
        <w:rPr>
          <w:sz w:val="20"/>
        </w:rPr>
        <w:t>)</w:t>
      </w:r>
    </w:p>
    <w:p w14:paraId="11FD69AC" w14:textId="4C9BA343" w:rsidR="00F34B42" w:rsidRPr="00F34B42" w:rsidRDefault="00F34B42" w:rsidP="00471C75">
      <w:pPr>
        <w:pStyle w:val="ListParagraph"/>
        <w:numPr>
          <w:ilvl w:val="4"/>
          <w:numId w:val="4"/>
        </w:numPr>
        <w:spacing w:before="240"/>
      </w:pPr>
      <w:r>
        <w:rPr>
          <w:sz w:val="20"/>
        </w:rPr>
        <w:t>Response to material, relevant comments (overlaps with A&amp;C review)</w:t>
      </w:r>
    </w:p>
    <w:p w14:paraId="09D315B6" w14:textId="07C8A2E3" w:rsidR="00F34B42" w:rsidRPr="00F34B42" w:rsidRDefault="00F34B42" w:rsidP="00471C75">
      <w:pPr>
        <w:pStyle w:val="ListParagraph"/>
        <w:numPr>
          <w:ilvl w:val="4"/>
          <w:numId w:val="4"/>
        </w:numPr>
        <w:spacing w:before="240"/>
      </w:pPr>
      <w:r>
        <w:rPr>
          <w:sz w:val="20"/>
        </w:rPr>
        <w:t xml:space="preserve">Logical outgrowth rule </w:t>
      </w:r>
    </w:p>
    <w:p w14:paraId="371D81C2" w14:textId="5F273B92" w:rsidR="00F34B42" w:rsidRPr="00E226D5" w:rsidRDefault="00F34B42" w:rsidP="00471C75">
      <w:pPr>
        <w:pStyle w:val="ListParagraph"/>
        <w:numPr>
          <w:ilvl w:val="5"/>
          <w:numId w:val="4"/>
        </w:numPr>
        <w:spacing w:before="240"/>
      </w:pPr>
      <w:r>
        <w:rPr>
          <w:sz w:val="20"/>
        </w:rPr>
        <w:t>Comments could not be meaningful because they were not addressed to the subject at issue</w:t>
      </w:r>
    </w:p>
    <w:p w14:paraId="26E2CF66" w14:textId="207C02D8" w:rsidR="00E226D5" w:rsidRPr="002F599C" w:rsidRDefault="00E226D5" w:rsidP="00471C75">
      <w:pPr>
        <w:pStyle w:val="ListParagraph"/>
        <w:numPr>
          <w:ilvl w:val="5"/>
          <w:numId w:val="4"/>
        </w:numPr>
        <w:spacing w:before="240"/>
      </w:pPr>
      <w:r>
        <w:rPr>
          <w:sz w:val="20"/>
        </w:rPr>
        <w:t xml:space="preserve">Applied in </w:t>
      </w:r>
      <w:r>
        <w:rPr>
          <w:i/>
          <w:sz w:val="20"/>
        </w:rPr>
        <w:t>Long Island Care at Home</w:t>
      </w:r>
      <w:r>
        <w:rPr>
          <w:sz w:val="20"/>
        </w:rPr>
        <w:t xml:space="preserve"> – did potential commenters recognize that their interests were at stake?</w:t>
      </w:r>
    </w:p>
    <w:p w14:paraId="2837BCC2" w14:textId="26845899" w:rsidR="002F599C" w:rsidRPr="00291A85" w:rsidRDefault="002F599C" w:rsidP="00471C75">
      <w:pPr>
        <w:pStyle w:val="ListParagraph"/>
        <w:numPr>
          <w:ilvl w:val="2"/>
          <w:numId w:val="4"/>
        </w:numPr>
      </w:pPr>
      <w:r>
        <w:rPr>
          <w:sz w:val="20"/>
        </w:rPr>
        <w:t>AV is skeptical that these procedures would be upheld if presented to SCOTUS today</w:t>
      </w:r>
    </w:p>
    <w:p w14:paraId="72A1C952" w14:textId="7B612221" w:rsidR="00291A85" w:rsidRPr="002F599C" w:rsidRDefault="00291A85" w:rsidP="00471C75">
      <w:pPr>
        <w:pStyle w:val="ListParagraph"/>
        <w:numPr>
          <w:ilvl w:val="2"/>
          <w:numId w:val="4"/>
        </w:numPr>
      </w:pPr>
      <w:r>
        <w:rPr>
          <w:sz w:val="20"/>
        </w:rPr>
        <w:t>Agencies can either 1) Give reasons, or 2) Run risk of arbitrariness review</w:t>
      </w:r>
    </w:p>
    <w:p w14:paraId="70BFD44F" w14:textId="6FCA9463" w:rsidR="00892E14" w:rsidRPr="00892E14" w:rsidRDefault="002F599C" w:rsidP="00471C75">
      <w:pPr>
        <w:pStyle w:val="ListParagraph"/>
        <w:numPr>
          <w:ilvl w:val="1"/>
          <w:numId w:val="4"/>
        </w:numPr>
      </w:pPr>
      <w:r>
        <w:rPr>
          <w:i/>
          <w:sz w:val="20"/>
        </w:rPr>
        <w:t>Florida East Coast</w:t>
      </w:r>
      <w:r w:rsidR="00892E14">
        <w:rPr>
          <w:i/>
          <w:sz w:val="20"/>
        </w:rPr>
        <w:t xml:space="preserve"> </w:t>
      </w:r>
      <w:r w:rsidR="00892E14">
        <w:rPr>
          <w:sz w:val="20"/>
        </w:rPr>
        <w:t>(emphasizes importance of “magic words” to trigger formal procedures</w:t>
      </w:r>
    </w:p>
    <w:p w14:paraId="49AB7DD8" w14:textId="06B31560" w:rsidR="00892E14" w:rsidRPr="00892E14" w:rsidRDefault="00892E14" w:rsidP="00471C75">
      <w:pPr>
        <w:pStyle w:val="ListParagraph"/>
        <w:numPr>
          <w:ilvl w:val="2"/>
          <w:numId w:val="4"/>
        </w:numPr>
      </w:pPr>
      <w:r>
        <w:rPr>
          <w:sz w:val="20"/>
        </w:rPr>
        <w:t>Serves to encourage informal rulemaking</w:t>
      </w:r>
    </w:p>
    <w:p w14:paraId="1F47BF25" w14:textId="161C3ADD" w:rsidR="00892E14" w:rsidRPr="00F34B42" w:rsidRDefault="00892E14" w:rsidP="00471C75">
      <w:pPr>
        <w:pStyle w:val="ListParagraph"/>
        <w:numPr>
          <w:ilvl w:val="2"/>
          <w:numId w:val="4"/>
        </w:numPr>
      </w:pPr>
      <w:r>
        <w:rPr>
          <w:sz w:val="20"/>
        </w:rPr>
        <w:t xml:space="preserve">Also reads generality distinction of </w:t>
      </w:r>
      <w:r>
        <w:rPr>
          <w:i/>
          <w:sz w:val="20"/>
        </w:rPr>
        <w:t xml:space="preserve">Londoner/Bi-Metallic </w:t>
      </w:r>
      <w:r>
        <w:rPr>
          <w:sz w:val="20"/>
        </w:rPr>
        <w:t xml:space="preserve">into an organic statute </w:t>
      </w:r>
    </w:p>
    <w:p w14:paraId="1F0E3E47" w14:textId="296C3197" w:rsidR="00F34B42" w:rsidRPr="00DA3A75" w:rsidRDefault="00F34B42" w:rsidP="00471C75">
      <w:pPr>
        <w:pStyle w:val="ListParagraph"/>
        <w:numPr>
          <w:ilvl w:val="0"/>
          <w:numId w:val="4"/>
        </w:numPr>
      </w:pPr>
      <w:r>
        <w:rPr>
          <w:sz w:val="20"/>
        </w:rPr>
        <w:t xml:space="preserve">The only </w:t>
      </w:r>
      <w:r w:rsidR="00DF47F0">
        <w:rPr>
          <w:sz w:val="20"/>
        </w:rPr>
        <w:t xml:space="preserve">remaining </w:t>
      </w:r>
      <w:r>
        <w:rPr>
          <w:sz w:val="20"/>
        </w:rPr>
        <w:t xml:space="preserve">way to ease rulemaking anxiety is </w:t>
      </w:r>
      <w:r w:rsidR="00DF47F0">
        <w:rPr>
          <w:sz w:val="20"/>
        </w:rPr>
        <w:t>A&amp;C review – the only remedy rooted in</w:t>
      </w:r>
      <w:r>
        <w:rPr>
          <w:sz w:val="20"/>
        </w:rPr>
        <w:t xml:space="preserve"> APA</w:t>
      </w:r>
      <w:r w:rsidR="00DF47F0">
        <w:rPr>
          <w:sz w:val="20"/>
        </w:rPr>
        <w:t>’s</w:t>
      </w:r>
      <w:r>
        <w:rPr>
          <w:sz w:val="20"/>
        </w:rPr>
        <w:t xml:space="preserve"> text</w:t>
      </w:r>
    </w:p>
    <w:p w14:paraId="36B728C0" w14:textId="1F5D3311" w:rsidR="00DA3A75" w:rsidRPr="009F45AB" w:rsidRDefault="00DA3A75" w:rsidP="00DA3A75">
      <w:pPr>
        <w:pStyle w:val="ListParagraph"/>
        <w:numPr>
          <w:ilvl w:val="1"/>
          <w:numId w:val="4"/>
        </w:numPr>
      </w:pPr>
      <w:r>
        <w:rPr>
          <w:sz w:val="20"/>
        </w:rPr>
        <w:t xml:space="preserve">However, A&amp;C review is not as strong as usually made out to be – </w:t>
      </w:r>
      <w:r>
        <w:rPr>
          <w:i/>
          <w:sz w:val="20"/>
        </w:rPr>
        <w:t>Baltimore Gas</w:t>
      </w:r>
    </w:p>
    <w:p w14:paraId="09907665" w14:textId="77777777" w:rsidR="005431E3" w:rsidRPr="005431E3" w:rsidRDefault="009F45AB" w:rsidP="00471C75">
      <w:pPr>
        <w:pStyle w:val="ListParagraph"/>
        <w:numPr>
          <w:ilvl w:val="0"/>
          <w:numId w:val="4"/>
        </w:numPr>
      </w:pPr>
      <w:r>
        <w:rPr>
          <w:sz w:val="20"/>
        </w:rPr>
        <w:t>Who gets to decide if a rule is interpretive?</w:t>
      </w:r>
    </w:p>
    <w:p w14:paraId="2E2302DF" w14:textId="2016CD08" w:rsidR="009F45AB" w:rsidRPr="007152ED" w:rsidRDefault="009F45AB" w:rsidP="005431E3">
      <w:pPr>
        <w:pStyle w:val="ListParagraph"/>
        <w:numPr>
          <w:ilvl w:val="1"/>
          <w:numId w:val="4"/>
        </w:numPr>
      </w:pPr>
      <w:r>
        <w:rPr>
          <w:sz w:val="20"/>
        </w:rPr>
        <w:t xml:space="preserve">Starr (dissent in </w:t>
      </w:r>
      <w:r>
        <w:rPr>
          <w:i/>
          <w:sz w:val="20"/>
        </w:rPr>
        <w:t>CNI</w:t>
      </w:r>
      <w:r>
        <w:rPr>
          <w:sz w:val="20"/>
        </w:rPr>
        <w:t xml:space="preserve">) argues that the agencies should get to choose, while </w:t>
      </w:r>
      <w:proofErr w:type="spellStart"/>
      <w:r>
        <w:rPr>
          <w:i/>
          <w:sz w:val="20"/>
        </w:rPr>
        <w:t>Hoctor</w:t>
      </w:r>
      <w:proofErr w:type="spellEnd"/>
      <w:r>
        <w:rPr>
          <w:i/>
          <w:sz w:val="20"/>
        </w:rPr>
        <w:t xml:space="preserve"> </w:t>
      </w:r>
      <w:r>
        <w:rPr>
          <w:sz w:val="20"/>
        </w:rPr>
        <w:t xml:space="preserve">and </w:t>
      </w:r>
      <w:r>
        <w:rPr>
          <w:i/>
          <w:sz w:val="20"/>
        </w:rPr>
        <w:t xml:space="preserve">AMC </w:t>
      </w:r>
      <w:r>
        <w:rPr>
          <w:sz w:val="20"/>
        </w:rPr>
        <w:t xml:space="preserve">argue that courts have final determination. </w:t>
      </w:r>
      <w:r w:rsidR="005431E3">
        <w:rPr>
          <w:sz w:val="20"/>
        </w:rPr>
        <w:t>Ultimately rejected</w:t>
      </w:r>
    </w:p>
    <w:p w14:paraId="1031F497" w14:textId="055EB9D1" w:rsidR="009F45AB" w:rsidRPr="007152ED" w:rsidRDefault="009F45AB" w:rsidP="005431E3">
      <w:pPr>
        <w:pStyle w:val="ListParagraph"/>
        <w:numPr>
          <w:ilvl w:val="2"/>
          <w:numId w:val="4"/>
        </w:numPr>
      </w:pPr>
      <w:proofErr w:type="spellStart"/>
      <w:r>
        <w:rPr>
          <w:i/>
          <w:sz w:val="20"/>
        </w:rPr>
        <w:t>Hoctor</w:t>
      </w:r>
      <w:proofErr w:type="spellEnd"/>
      <w:r>
        <w:rPr>
          <w:i/>
          <w:sz w:val="20"/>
        </w:rPr>
        <w:t xml:space="preserve"> </w:t>
      </w:r>
      <w:r w:rsidR="005431E3">
        <w:rPr>
          <w:sz w:val="20"/>
        </w:rPr>
        <w:t xml:space="preserve">takes </w:t>
      </w:r>
      <w:r>
        <w:rPr>
          <w:sz w:val="20"/>
        </w:rPr>
        <w:t xml:space="preserve">a </w:t>
      </w:r>
      <w:r w:rsidR="005431E3">
        <w:rPr>
          <w:sz w:val="20"/>
        </w:rPr>
        <w:t xml:space="preserve">hard </w:t>
      </w:r>
      <w:r>
        <w:rPr>
          <w:sz w:val="20"/>
        </w:rPr>
        <w:t xml:space="preserve">line in defining interpretation, arguing that “gap-fillers” that create specific guidelines out of broadly worded </w:t>
      </w:r>
      <w:r w:rsidR="0036258A">
        <w:rPr>
          <w:sz w:val="20"/>
        </w:rPr>
        <w:t>statues are not interpretive (8-</w:t>
      </w:r>
      <w:r>
        <w:rPr>
          <w:sz w:val="20"/>
        </w:rPr>
        <w:t>foot fence)</w:t>
      </w:r>
    </w:p>
    <w:p w14:paraId="6780F495" w14:textId="0A88E317" w:rsidR="009F45AB" w:rsidRPr="00487E92" w:rsidRDefault="009F45AB" w:rsidP="00471C75">
      <w:pPr>
        <w:pStyle w:val="ListParagraph"/>
        <w:numPr>
          <w:ilvl w:val="2"/>
          <w:numId w:val="4"/>
        </w:numPr>
      </w:pPr>
      <w:r>
        <w:rPr>
          <w:sz w:val="20"/>
        </w:rPr>
        <w:t>Isn’t certainty better t</w:t>
      </w:r>
      <w:r w:rsidR="00EC1B88">
        <w:rPr>
          <w:sz w:val="20"/>
        </w:rPr>
        <w:t>han being unsure as to when</w:t>
      </w:r>
      <w:r>
        <w:rPr>
          <w:sz w:val="20"/>
        </w:rPr>
        <w:t xml:space="preserve"> enforcement action will be brought? </w:t>
      </w:r>
    </w:p>
    <w:p w14:paraId="7BB0F27C" w14:textId="59AF958F" w:rsidR="00A9367E" w:rsidRPr="00A9367E" w:rsidRDefault="00A9367E" w:rsidP="00A9367E">
      <w:pPr>
        <w:pStyle w:val="ListParagraph"/>
        <w:numPr>
          <w:ilvl w:val="1"/>
          <w:numId w:val="4"/>
        </w:numPr>
      </w:pPr>
      <w:r w:rsidRPr="007152ED">
        <w:rPr>
          <w:i/>
          <w:sz w:val="20"/>
        </w:rPr>
        <w:t>CNI</w:t>
      </w:r>
      <w:r>
        <w:rPr>
          <w:sz w:val="20"/>
        </w:rPr>
        <w:t xml:space="preserve">’s argument is </w:t>
      </w:r>
      <w:r w:rsidRPr="007152ED">
        <w:rPr>
          <w:sz w:val="20"/>
        </w:rPr>
        <w:t>similar</w:t>
      </w:r>
      <w:r>
        <w:rPr>
          <w:sz w:val="20"/>
        </w:rPr>
        <w:t xml:space="preserve"> to </w:t>
      </w:r>
      <w:proofErr w:type="spellStart"/>
      <w:r>
        <w:rPr>
          <w:i/>
          <w:sz w:val="20"/>
        </w:rPr>
        <w:t>Hoctor</w:t>
      </w:r>
      <w:proofErr w:type="spellEnd"/>
      <w:r w:rsidR="005431E3">
        <w:rPr>
          <w:sz w:val="20"/>
        </w:rPr>
        <w:t xml:space="preserve">, emphasizing </w:t>
      </w:r>
      <w:r>
        <w:rPr>
          <w:sz w:val="20"/>
        </w:rPr>
        <w:t>regulation’s “binding” nat</w:t>
      </w:r>
      <w:r w:rsidR="005431E3">
        <w:rPr>
          <w:sz w:val="20"/>
        </w:rPr>
        <w:t>ure on regulated entities. They must</w:t>
      </w:r>
      <w:r>
        <w:rPr>
          <w:sz w:val="20"/>
        </w:rPr>
        <w:t xml:space="preserve"> submit to agency</w:t>
      </w:r>
      <w:r w:rsidR="005431E3">
        <w:rPr>
          <w:sz w:val="20"/>
        </w:rPr>
        <w:t>’s demands or risk being hauled</w:t>
      </w:r>
      <w:r>
        <w:rPr>
          <w:sz w:val="20"/>
        </w:rPr>
        <w:t xml:space="preserve"> </w:t>
      </w:r>
      <w:r w:rsidR="005431E3">
        <w:rPr>
          <w:sz w:val="20"/>
        </w:rPr>
        <w:t xml:space="preserve">to </w:t>
      </w:r>
      <w:r>
        <w:rPr>
          <w:sz w:val="20"/>
        </w:rPr>
        <w:t xml:space="preserve">court. </w:t>
      </w:r>
      <w:r w:rsidR="005431E3">
        <w:rPr>
          <w:sz w:val="20"/>
        </w:rPr>
        <w:t>Also rejected</w:t>
      </w:r>
    </w:p>
    <w:p w14:paraId="5948E0F5" w14:textId="1FD38156" w:rsidR="00E36927" w:rsidRPr="00EC1B88" w:rsidRDefault="005431E3" w:rsidP="005431E3">
      <w:pPr>
        <w:pStyle w:val="ListParagraph"/>
        <w:numPr>
          <w:ilvl w:val="1"/>
          <w:numId w:val="4"/>
        </w:numPr>
      </w:pPr>
      <w:r>
        <w:rPr>
          <w:sz w:val="20"/>
        </w:rPr>
        <w:t>Law settles on</w:t>
      </w:r>
      <w:r w:rsidR="009F45AB">
        <w:rPr>
          <w:sz w:val="20"/>
        </w:rPr>
        <w:t xml:space="preserve"> “</w:t>
      </w:r>
      <w:proofErr w:type="spellStart"/>
      <w:r w:rsidR="009F45AB">
        <w:rPr>
          <w:sz w:val="20"/>
        </w:rPr>
        <w:t>boundedly</w:t>
      </w:r>
      <w:proofErr w:type="spellEnd"/>
      <w:r w:rsidR="009F45AB">
        <w:rPr>
          <w:sz w:val="20"/>
        </w:rPr>
        <w:t xml:space="preserve"> arbitrary specification” </w:t>
      </w:r>
      <w:r>
        <w:rPr>
          <w:sz w:val="20"/>
        </w:rPr>
        <w:t xml:space="preserve">– </w:t>
      </w:r>
      <w:r w:rsidR="00CA66E6" w:rsidRPr="005431E3">
        <w:rPr>
          <w:i/>
          <w:sz w:val="20"/>
        </w:rPr>
        <w:t>Lincoln v. Vigil</w:t>
      </w:r>
      <w:r w:rsidR="00CA66E6">
        <w:t xml:space="preserve"> </w:t>
      </w:r>
      <w:r w:rsidR="00CA66E6" w:rsidRPr="005431E3">
        <w:rPr>
          <w:sz w:val="20"/>
        </w:rPr>
        <w:t xml:space="preserve">(general statement of policy) and </w:t>
      </w:r>
      <w:r w:rsidR="00CA66E6" w:rsidRPr="005431E3">
        <w:rPr>
          <w:i/>
          <w:sz w:val="20"/>
        </w:rPr>
        <w:t>AMC</w:t>
      </w:r>
      <w:r w:rsidR="00E36927" w:rsidRPr="005431E3">
        <w:rPr>
          <w:sz w:val="20"/>
        </w:rPr>
        <w:t xml:space="preserve"> (interpretive rule) apply t</w:t>
      </w:r>
      <w:r w:rsidR="00CA66E6" w:rsidRPr="005431E3">
        <w:rPr>
          <w:sz w:val="20"/>
        </w:rPr>
        <w:t>he</w:t>
      </w:r>
      <w:r w:rsidR="00E36927" w:rsidRPr="005431E3">
        <w:rPr>
          <w:sz w:val="20"/>
        </w:rPr>
        <w:t xml:space="preserve"> “binding statement” test</w:t>
      </w:r>
    </w:p>
    <w:p w14:paraId="3A80B303" w14:textId="6058CBBA" w:rsidR="00EC1B88" w:rsidRPr="00E36927" w:rsidRDefault="00EC1B88" w:rsidP="005431E3">
      <w:pPr>
        <w:pStyle w:val="ListParagraph"/>
        <w:numPr>
          <w:ilvl w:val="2"/>
          <w:numId w:val="4"/>
        </w:numPr>
      </w:pPr>
      <w:r>
        <w:rPr>
          <w:i/>
          <w:sz w:val="20"/>
        </w:rPr>
        <w:t xml:space="preserve">AMC </w:t>
      </w:r>
      <w:r>
        <w:rPr>
          <w:sz w:val="20"/>
        </w:rPr>
        <w:t xml:space="preserve">actually formulates four inquiries to determine if rule is interpretive – only survivor is “Whether in the absence of the rule there would </w:t>
      </w:r>
      <w:r w:rsidR="004C244A">
        <w:rPr>
          <w:sz w:val="20"/>
        </w:rPr>
        <w:t xml:space="preserve">not </w:t>
      </w:r>
      <w:r>
        <w:rPr>
          <w:sz w:val="20"/>
        </w:rPr>
        <w:t xml:space="preserve">be an adequate legislative basis for enforcement action?” </w:t>
      </w:r>
      <w:r w:rsidR="004C244A">
        <w:rPr>
          <w:sz w:val="20"/>
        </w:rPr>
        <w:t>If yes, then legislative</w:t>
      </w:r>
    </w:p>
    <w:p w14:paraId="00F29EEA" w14:textId="10864B7F" w:rsidR="00233D5C" w:rsidRPr="00233D5C" w:rsidRDefault="00233D5C" w:rsidP="00233D5C">
      <w:pPr>
        <w:pStyle w:val="Heading4"/>
        <w:rPr>
          <w:sz w:val="20"/>
        </w:rPr>
      </w:pPr>
      <w:r w:rsidRPr="00233D5C">
        <w:rPr>
          <w:sz w:val="20"/>
        </w:rPr>
        <w:t>Adjudication</w:t>
      </w:r>
    </w:p>
    <w:p w14:paraId="4D878476" w14:textId="05D4390C" w:rsidR="00CE0FED" w:rsidRPr="006A5F8E" w:rsidRDefault="002E0E33" w:rsidP="00CE0FED">
      <w:pPr>
        <w:pStyle w:val="ListParagraph"/>
        <w:numPr>
          <w:ilvl w:val="0"/>
          <w:numId w:val="1"/>
        </w:numPr>
      </w:pPr>
      <w:r>
        <w:rPr>
          <w:sz w:val="20"/>
        </w:rPr>
        <w:t xml:space="preserve">Agencies are presumed to have the power to interpret statutes via adjudication – </w:t>
      </w:r>
      <w:r>
        <w:rPr>
          <w:i/>
          <w:sz w:val="20"/>
        </w:rPr>
        <w:t>Chenery II</w:t>
      </w:r>
    </w:p>
    <w:p w14:paraId="399D2434" w14:textId="29DA2D01" w:rsidR="006A5F8E" w:rsidRPr="006A5F8E" w:rsidRDefault="00621B0B" w:rsidP="00CE0FED">
      <w:pPr>
        <w:pStyle w:val="ListParagraph"/>
        <w:numPr>
          <w:ilvl w:val="0"/>
          <w:numId w:val="1"/>
        </w:numPr>
      </w:pPr>
      <w:r>
        <w:rPr>
          <w:sz w:val="20"/>
        </w:rPr>
        <w:t>Facts are</w:t>
      </w:r>
      <w:r w:rsidR="006A5F8E">
        <w:rPr>
          <w:sz w:val="20"/>
        </w:rPr>
        <w:t xml:space="preserve"> app</w:t>
      </w:r>
      <w:r>
        <w:rPr>
          <w:sz w:val="20"/>
        </w:rPr>
        <w:t>ropriate for judicial notice include</w:t>
      </w:r>
      <w:r w:rsidR="006A5F8E">
        <w:rPr>
          <w:sz w:val="20"/>
        </w:rPr>
        <w:t xml:space="preserve"> 1) legislative facts, 2) official documents, or 3) facts within the agency’s special expertise</w:t>
      </w:r>
    </w:p>
    <w:p w14:paraId="1FC6D582" w14:textId="2273EF8A" w:rsidR="006A5F8E" w:rsidRPr="00844831" w:rsidRDefault="006A5F8E" w:rsidP="006A5F8E">
      <w:pPr>
        <w:pStyle w:val="ListParagraph"/>
        <w:numPr>
          <w:ilvl w:val="1"/>
          <w:numId w:val="1"/>
        </w:numPr>
      </w:pPr>
      <w:r>
        <w:rPr>
          <w:sz w:val="20"/>
        </w:rPr>
        <w:t xml:space="preserve">Agency </w:t>
      </w:r>
      <w:r>
        <w:rPr>
          <w:i/>
          <w:sz w:val="20"/>
        </w:rPr>
        <w:t xml:space="preserve">should </w:t>
      </w:r>
      <w:r>
        <w:rPr>
          <w:sz w:val="20"/>
        </w:rPr>
        <w:t>give parties an opportunity to rebut, but might not ha</w:t>
      </w:r>
      <w:r w:rsidR="00984CBE">
        <w:rPr>
          <w:sz w:val="20"/>
        </w:rPr>
        <w:t>ve to</w:t>
      </w:r>
      <w:r>
        <w:rPr>
          <w:sz w:val="20"/>
        </w:rPr>
        <w:t xml:space="preserve"> if they can argue no prejudicial error</w:t>
      </w:r>
      <w:r w:rsidR="00E36927">
        <w:rPr>
          <w:sz w:val="20"/>
        </w:rPr>
        <w:t xml:space="preserve"> (if error was harmless)</w:t>
      </w:r>
      <w:r w:rsidR="007F1C2B">
        <w:rPr>
          <w:sz w:val="20"/>
        </w:rPr>
        <w:t xml:space="preserve"> – </w:t>
      </w:r>
      <w:r w:rsidR="002A0065">
        <w:rPr>
          <w:i/>
          <w:sz w:val="20"/>
        </w:rPr>
        <w:t>Market Street</w:t>
      </w:r>
      <w:r w:rsidR="00844831">
        <w:rPr>
          <w:sz w:val="20"/>
        </w:rPr>
        <w:t xml:space="preserve"> </w:t>
      </w:r>
      <w:r w:rsidR="00A63C85">
        <w:rPr>
          <w:sz w:val="20"/>
        </w:rPr>
        <w:t>(citing §</w:t>
      </w:r>
      <w:r w:rsidR="004E0209">
        <w:rPr>
          <w:sz w:val="20"/>
        </w:rPr>
        <w:t>§</w:t>
      </w:r>
      <w:r w:rsidR="00A63C85">
        <w:rPr>
          <w:sz w:val="20"/>
        </w:rPr>
        <w:t>556(e)</w:t>
      </w:r>
      <w:r w:rsidR="004E0209">
        <w:rPr>
          <w:sz w:val="20"/>
        </w:rPr>
        <w:t>, 706</w:t>
      </w:r>
      <w:r w:rsidR="00A63C85">
        <w:rPr>
          <w:sz w:val="20"/>
        </w:rPr>
        <w:t>)</w:t>
      </w:r>
    </w:p>
    <w:p w14:paraId="4B0E80B3" w14:textId="36E53B09" w:rsidR="00844831" w:rsidRPr="00844831" w:rsidRDefault="004B5090" w:rsidP="00844831">
      <w:pPr>
        <w:pStyle w:val="ListParagraph"/>
        <w:numPr>
          <w:ilvl w:val="0"/>
          <w:numId w:val="1"/>
        </w:numPr>
      </w:pPr>
      <w:r>
        <w:rPr>
          <w:sz w:val="20"/>
        </w:rPr>
        <w:t>§557(d)</w:t>
      </w:r>
      <w:r w:rsidR="00844831">
        <w:rPr>
          <w:sz w:val="20"/>
        </w:rPr>
        <w:t xml:space="preserve"> ban</w:t>
      </w:r>
      <w:r>
        <w:rPr>
          <w:sz w:val="20"/>
        </w:rPr>
        <w:t>s</w:t>
      </w:r>
      <w:r w:rsidR="00844831">
        <w:rPr>
          <w:sz w:val="20"/>
        </w:rPr>
        <w:t xml:space="preserve"> ex parte communications that are “relevant to the merits of the proceeding” </w:t>
      </w:r>
      <w:r>
        <w:rPr>
          <w:sz w:val="20"/>
        </w:rPr>
        <w:t xml:space="preserve">and </w:t>
      </w:r>
      <w:r w:rsidR="00844831">
        <w:rPr>
          <w:sz w:val="20"/>
        </w:rPr>
        <w:t>applies to “interest</w:t>
      </w:r>
      <w:r w:rsidR="00984CBE">
        <w:rPr>
          <w:sz w:val="20"/>
        </w:rPr>
        <w:t>ed persons” (formal proceedings</w:t>
      </w:r>
      <w:r w:rsidR="00844831">
        <w:rPr>
          <w:sz w:val="20"/>
        </w:rPr>
        <w:t xml:space="preserve"> only)</w:t>
      </w:r>
    </w:p>
    <w:p w14:paraId="7A58140D" w14:textId="4473C3DE" w:rsidR="00844831" w:rsidRPr="00D514ED" w:rsidRDefault="00844831" w:rsidP="00844831">
      <w:pPr>
        <w:pStyle w:val="ListParagraph"/>
        <w:numPr>
          <w:ilvl w:val="1"/>
          <w:numId w:val="1"/>
        </w:numPr>
      </w:pPr>
      <w:r>
        <w:rPr>
          <w:sz w:val="20"/>
        </w:rPr>
        <w:t>“Interested person” is interpreted broadly to cover any individual with an interest in the proceeding greater than the general interest the public as a whole may have</w:t>
      </w:r>
    </w:p>
    <w:p w14:paraId="56D974AA" w14:textId="265CE7EF" w:rsidR="00D514ED" w:rsidRPr="00D514ED" w:rsidRDefault="00D514ED" w:rsidP="00844831">
      <w:pPr>
        <w:pStyle w:val="ListParagraph"/>
        <w:numPr>
          <w:ilvl w:val="1"/>
          <w:numId w:val="1"/>
        </w:numPr>
      </w:pPr>
      <w:r>
        <w:rPr>
          <w:sz w:val="20"/>
        </w:rPr>
        <w:t>Lack of prejudice might sterili</w:t>
      </w:r>
      <w:r w:rsidR="004B5090">
        <w:rPr>
          <w:sz w:val="20"/>
        </w:rPr>
        <w:t xml:space="preserve">ze otherwise improper contacts - </w:t>
      </w:r>
      <w:r w:rsidR="004B5090">
        <w:rPr>
          <w:i/>
          <w:sz w:val="20"/>
        </w:rPr>
        <w:t>PATCO</w:t>
      </w:r>
    </w:p>
    <w:p w14:paraId="1964FE41" w14:textId="4336F34F" w:rsidR="00D514ED" w:rsidRPr="00D514ED" w:rsidRDefault="00D514ED" w:rsidP="00972F9B">
      <w:pPr>
        <w:pStyle w:val="ListParagraph"/>
        <w:numPr>
          <w:ilvl w:val="0"/>
          <w:numId w:val="1"/>
        </w:numPr>
      </w:pPr>
      <w:r>
        <w:rPr>
          <w:sz w:val="20"/>
        </w:rPr>
        <w:t>Ex parte communication bans in the informal rulemaking sphere create a failed arc</w:t>
      </w:r>
    </w:p>
    <w:p w14:paraId="2E2101E2" w14:textId="6152EFA6" w:rsidR="00D514ED" w:rsidRPr="00BF31B5" w:rsidRDefault="00BF31B5" w:rsidP="00972F9B">
      <w:pPr>
        <w:pStyle w:val="ListParagraph"/>
        <w:numPr>
          <w:ilvl w:val="1"/>
          <w:numId w:val="1"/>
        </w:numPr>
      </w:pPr>
      <w:r>
        <w:rPr>
          <w:i/>
          <w:sz w:val="20"/>
        </w:rPr>
        <w:t xml:space="preserve">Sangamon Valley TV </w:t>
      </w:r>
      <w:r>
        <w:rPr>
          <w:sz w:val="20"/>
        </w:rPr>
        <w:t>introduces idea that informal rulemaking, when involving “resolution of conflicting private claims to a valuable privilege” can require a ban on ex parte communications</w:t>
      </w:r>
    </w:p>
    <w:p w14:paraId="45C091F0" w14:textId="765C2781" w:rsidR="00BF31B5" w:rsidRPr="00BF31B5" w:rsidRDefault="00C81E5D" w:rsidP="00972F9B">
      <w:pPr>
        <w:pStyle w:val="ListParagraph"/>
        <w:numPr>
          <w:ilvl w:val="1"/>
          <w:numId w:val="1"/>
        </w:numPr>
      </w:pPr>
      <w:r>
        <w:rPr>
          <w:i/>
          <w:sz w:val="20"/>
        </w:rPr>
        <w:t>HBO</w:t>
      </w:r>
      <w:r w:rsidR="00BF31B5">
        <w:rPr>
          <w:i/>
          <w:sz w:val="20"/>
        </w:rPr>
        <w:t xml:space="preserve"> </w:t>
      </w:r>
      <w:r w:rsidR="00BF31B5">
        <w:rPr>
          <w:sz w:val="20"/>
        </w:rPr>
        <w:t xml:space="preserve">extends by prohibiting </w:t>
      </w:r>
      <w:r w:rsidR="00BF31B5">
        <w:rPr>
          <w:i/>
          <w:sz w:val="20"/>
        </w:rPr>
        <w:t xml:space="preserve">any </w:t>
      </w:r>
      <w:r w:rsidR="00BF31B5">
        <w:rPr>
          <w:sz w:val="20"/>
        </w:rPr>
        <w:t>ex parte communications in informal rulemaking</w:t>
      </w:r>
    </w:p>
    <w:p w14:paraId="2C17548E" w14:textId="3D1155DD" w:rsidR="00BF31B5" w:rsidRPr="00BF31B5" w:rsidRDefault="00BF31B5" w:rsidP="00972F9B">
      <w:pPr>
        <w:pStyle w:val="ListParagraph"/>
        <w:numPr>
          <w:ilvl w:val="2"/>
          <w:numId w:val="1"/>
        </w:numPr>
      </w:pPr>
      <w:r>
        <w:rPr>
          <w:sz w:val="20"/>
        </w:rPr>
        <w:t xml:space="preserve">Argues that lack of revelation of ex parte contacts might </w:t>
      </w:r>
      <w:r>
        <w:rPr>
          <w:i/>
          <w:sz w:val="20"/>
        </w:rPr>
        <w:t xml:space="preserve">require </w:t>
      </w:r>
      <w:r>
        <w:rPr>
          <w:sz w:val="20"/>
        </w:rPr>
        <w:t>a</w:t>
      </w:r>
      <w:r w:rsidR="00E638B0">
        <w:rPr>
          <w:sz w:val="20"/>
        </w:rPr>
        <w:t xml:space="preserve"> finding of arbitrariness – </w:t>
      </w:r>
      <w:r>
        <w:rPr>
          <w:sz w:val="20"/>
        </w:rPr>
        <w:t>rationale is “a fictional account of the actual decision-making process”</w:t>
      </w:r>
    </w:p>
    <w:p w14:paraId="3003F30F" w14:textId="6CD4159D" w:rsidR="00BF31B5" w:rsidRPr="00BF31B5" w:rsidRDefault="00BF31B5" w:rsidP="00972F9B">
      <w:pPr>
        <w:pStyle w:val="ListParagraph"/>
        <w:numPr>
          <w:ilvl w:val="3"/>
          <w:numId w:val="1"/>
        </w:numPr>
      </w:pPr>
      <w:r>
        <w:rPr>
          <w:sz w:val="20"/>
        </w:rPr>
        <w:t>AV thi</w:t>
      </w:r>
      <w:r w:rsidR="005E4C3B">
        <w:rPr>
          <w:sz w:val="20"/>
        </w:rPr>
        <w:t>nks this is misguided due to</w:t>
      </w:r>
      <w:r>
        <w:rPr>
          <w:sz w:val="20"/>
        </w:rPr>
        <w:t xml:space="preserve"> possibility of lack of</w:t>
      </w:r>
      <w:r w:rsidR="005E4C3B">
        <w:rPr>
          <w:sz w:val="20"/>
        </w:rPr>
        <w:t xml:space="preserve"> prejudice – agency’s</w:t>
      </w:r>
      <w:r>
        <w:rPr>
          <w:sz w:val="20"/>
        </w:rPr>
        <w:t xml:space="preserve"> </w:t>
      </w:r>
      <w:r>
        <w:rPr>
          <w:i/>
          <w:sz w:val="20"/>
        </w:rPr>
        <w:t xml:space="preserve">actual </w:t>
      </w:r>
      <w:r>
        <w:rPr>
          <w:sz w:val="20"/>
        </w:rPr>
        <w:t xml:space="preserve">knowledge </w:t>
      </w:r>
      <w:r w:rsidR="005E4C3B">
        <w:rPr>
          <w:sz w:val="20"/>
        </w:rPr>
        <w:t>is irrelevant if</w:t>
      </w:r>
      <w:r>
        <w:rPr>
          <w:sz w:val="20"/>
        </w:rPr>
        <w:t xml:space="preserve"> public justification is based on </w:t>
      </w:r>
      <w:r w:rsidR="005E4C3B">
        <w:rPr>
          <w:sz w:val="20"/>
        </w:rPr>
        <w:t>record evidence</w:t>
      </w:r>
      <w:r>
        <w:rPr>
          <w:sz w:val="20"/>
        </w:rPr>
        <w:t xml:space="preserve"> </w:t>
      </w:r>
    </w:p>
    <w:p w14:paraId="6F443117" w14:textId="65EFBACC" w:rsidR="00BF31B5" w:rsidRPr="00BF31B5" w:rsidRDefault="00BF31B5" w:rsidP="00972F9B">
      <w:pPr>
        <w:pStyle w:val="ListParagraph"/>
        <w:numPr>
          <w:ilvl w:val="2"/>
          <w:numId w:val="1"/>
        </w:numPr>
      </w:pPr>
      <w:r>
        <w:rPr>
          <w:sz w:val="20"/>
        </w:rPr>
        <w:t xml:space="preserve">Implicitly overruled by </w:t>
      </w:r>
      <w:r>
        <w:rPr>
          <w:i/>
          <w:sz w:val="20"/>
        </w:rPr>
        <w:t>Vermont Yankee</w:t>
      </w:r>
      <w:r>
        <w:rPr>
          <w:sz w:val="20"/>
        </w:rPr>
        <w:t xml:space="preserve">’s ban on </w:t>
      </w:r>
      <w:proofErr w:type="spellStart"/>
      <w:r>
        <w:rPr>
          <w:sz w:val="20"/>
        </w:rPr>
        <w:t>proceduralization</w:t>
      </w:r>
      <w:proofErr w:type="spellEnd"/>
      <w:r>
        <w:rPr>
          <w:sz w:val="20"/>
        </w:rPr>
        <w:t xml:space="preserve">? </w:t>
      </w:r>
    </w:p>
    <w:p w14:paraId="38DE1E3E" w14:textId="63F01F45" w:rsidR="00BF31B5" w:rsidRPr="00BF31B5" w:rsidRDefault="00BF31B5" w:rsidP="00972F9B">
      <w:pPr>
        <w:pStyle w:val="ListParagraph"/>
        <w:numPr>
          <w:ilvl w:val="1"/>
          <w:numId w:val="1"/>
        </w:numPr>
      </w:pPr>
      <w:r>
        <w:rPr>
          <w:i/>
          <w:sz w:val="20"/>
        </w:rPr>
        <w:lastRenderedPageBreak/>
        <w:t xml:space="preserve">ACT </w:t>
      </w:r>
      <w:r>
        <w:rPr>
          <w:sz w:val="20"/>
        </w:rPr>
        <w:t xml:space="preserve">returns to rule of </w:t>
      </w:r>
      <w:r>
        <w:rPr>
          <w:i/>
          <w:sz w:val="20"/>
        </w:rPr>
        <w:t xml:space="preserve">Sangamon Valley </w:t>
      </w:r>
      <w:r>
        <w:rPr>
          <w:sz w:val="20"/>
        </w:rPr>
        <w:t>– ex parte is only categorically impermissible if “conflicting claims to a valuable privilege” by private parties is at issue</w:t>
      </w:r>
    </w:p>
    <w:p w14:paraId="0DEC92DB" w14:textId="6748A70F" w:rsidR="00BF31B5" w:rsidRPr="00D4167F" w:rsidRDefault="00BF31B5" w:rsidP="00972F9B">
      <w:pPr>
        <w:pStyle w:val="ListParagraph"/>
        <w:numPr>
          <w:ilvl w:val="2"/>
          <w:numId w:val="1"/>
        </w:numPr>
      </w:pPr>
      <w:r>
        <w:rPr>
          <w:sz w:val="20"/>
        </w:rPr>
        <w:t xml:space="preserve">Animated by practical concerns and desire to encourage cooperation between </w:t>
      </w:r>
      <w:r w:rsidR="004B5090">
        <w:rPr>
          <w:sz w:val="20"/>
        </w:rPr>
        <w:t>regulators and</w:t>
      </w:r>
      <w:r>
        <w:rPr>
          <w:sz w:val="20"/>
        </w:rPr>
        <w:t xml:space="preserve"> regulated</w:t>
      </w:r>
      <w:r w:rsidR="004B5090">
        <w:rPr>
          <w:sz w:val="20"/>
        </w:rPr>
        <w:t xml:space="preserve"> entities</w:t>
      </w:r>
    </w:p>
    <w:p w14:paraId="00DD70B0" w14:textId="3A52FDD9" w:rsidR="00D4167F" w:rsidRPr="00D4167F" w:rsidRDefault="004A42AF" w:rsidP="00972F9B">
      <w:pPr>
        <w:pStyle w:val="ListParagraph"/>
        <w:numPr>
          <w:ilvl w:val="0"/>
          <w:numId w:val="1"/>
        </w:numPr>
      </w:pPr>
      <w:r>
        <w:rPr>
          <w:sz w:val="20"/>
        </w:rPr>
        <w:t>Generally, executive officers may</w:t>
      </w:r>
      <w:r w:rsidR="00D4167F">
        <w:rPr>
          <w:sz w:val="20"/>
        </w:rPr>
        <w:t xml:space="preserve"> partic</w:t>
      </w:r>
      <w:r w:rsidR="007B6C5C">
        <w:rPr>
          <w:sz w:val="20"/>
        </w:rPr>
        <w:t>ipate in ex parte communication with agency officials –</w:t>
      </w:r>
      <w:r w:rsidR="00D4167F">
        <w:rPr>
          <w:i/>
          <w:sz w:val="20"/>
        </w:rPr>
        <w:t xml:space="preserve"> </w:t>
      </w:r>
      <w:proofErr w:type="spellStart"/>
      <w:r w:rsidR="00D4167F">
        <w:rPr>
          <w:i/>
          <w:sz w:val="20"/>
        </w:rPr>
        <w:t>Costle</w:t>
      </w:r>
      <w:proofErr w:type="spellEnd"/>
      <w:r w:rsidR="00D4167F">
        <w:rPr>
          <w:sz w:val="20"/>
        </w:rPr>
        <w:t xml:space="preserve"> </w:t>
      </w:r>
    </w:p>
    <w:p w14:paraId="18710FC3" w14:textId="46E60ABF" w:rsidR="00D4167F" w:rsidRPr="00433CE0" w:rsidRDefault="00D4167F" w:rsidP="00972F9B">
      <w:pPr>
        <w:pStyle w:val="ListParagraph"/>
        <w:numPr>
          <w:ilvl w:val="1"/>
          <w:numId w:val="1"/>
        </w:numPr>
      </w:pPr>
      <w:r>
        <w:rPr>
          <w:sz w:val="20"/>
        </w:rPr>
        <w:t xml:space="preserve">This exemption does </w:t>
      </w:r>
      <w:r>
        <w:rPr>
          <w:i/>
          <w:sz w:val="20"/>
        </w:rPr>
        <w:t xml:space="preserve">not </w:t>
      </w:r>
      <w:r>
        <w:rPr>
          <w:sz w:val="20"/>
        </w:rPr>
        <w:t>ex</w:t>
      </w:r>
      <w:r w:rsidR="009A3B8E">
        <w:rPr>
          <w:sz w:val="20"/>
        </w:rPr>
        <w:t>tend to formal adjudication (or rulemaking?)</w:t>
      </w:r>
      <w:r>
        <w:rPr>
          <w:sz w:val="20"/>
        </w:rPr>
        <w:t xml:space="preserve"> –</w:t>
      </w:r>
      <w:r w:rsidR="00363722">
        <w:rPr>
          <w:sz w:val="20"/>
        </w:rPr>
        <w:t xml:space="preserve"> </w:t>
      </w:r>
      <w:r>
        <w:rPr>
          <w:i/>
          <w:sz w:val="20"/>
        </w:rPr>
        <w:t xml:space="preserve">Portland </w:t>
      </w:r>
      <w:proofErr w:type="spellStart"/>
      <w:r>
        <w:rPr>
          <w:i/>
          <w:sz w:val="20"/>
        </w:rPr>
        <w:t>Audobon</w:t>
      </w:r>
      <w:proofErr w:type="spellEnd"/>
    </w:p>
    <w:p w14:paraId="2CF55ABF" w14:textId="759AF727" w:rsidR="00433CE0" w:rsidRPr="00972F9B" w:rsidRDefault="00433CE0" w:rsidP="00433CE0">
      <w:pPr>
        <w:pStyle w:val="ListParagraph"/>
        <w:numPr>
          <w:ilvl w:val="2"/>
          <w:numId w:val="1"/>
        </w:numPr>
      </w:pPr>
      <w:r>
        <w:rPr>
          <w:sz w:val="20"/>
        </w:rPr>
        <w:t xml:space="preserve">However, </w:t>
      </w:r>
      <w:r>
        <w:rPr>
          <w:i/>
          <w:sz w:val="20"/>
        </w:rPr>
        <w:t xml:space="preserve">Franklin </w:t>
      </w:r>
      <w:r>
        <w:rPr>
          <w:sz w:val="20"/>
        </w:rPr>
        <w:t>strongly implies that the President is not included within the APA’s restrictions on ex parte communications, out of respect for the separation of powers</w:t>
      </w:r>
    </w:p>
    <w:p w14:paraId="6E768F02" w14:textId="49C2D6FC" w:rsidR="00972F9B" w:rsidRDefault="00972F9B" w:rsidP="00972F9B">
      <w:pPr>
        <w:pStyle w:val="Heading4"/>
        <w:rPr>
          <w:sz w:val="20"/>
        </w:rPr>
      </w:pPr>
      <w:r w:rsidRPr="00972F9B">
        <w:rPr>
          <w:sz w:val="20"/>
        </w:rPr>
        <w:t>Adjudication Due Process</w:t>
      </w:r>
    </w:p>
    <w:p w14:paraId="52BE602E" w14:textId="1B00561B" w:rsidR="00972F9B" w:rsidRDefault="00972F9B" w:rsidP="00471C75">
      <w:pPr>
        <w:pStyle w:val="ListParagraph"/>
        <w:numPr>
          <w:ilvl w:val="0"/>
          <w:numId w:val="5"/>
        </w:numPr>
        <w:rPr>
          <w:sz w:val="20"/>
        </w:rPr>
      </w:pPr>
      <w:r w:rsidRPr="00972F9B">
        <w:rPr>
          <w:sz w:val="20"/>
        </w:rPr>
        <w:t>Is a protected interest at issue?</w:t>
      </w:r>
    </w:p>
    <w:p w14:paraId="76F40EE4" w14:textId="67FD206B" w:rsidR="00972F9B" w:rsidRDefault="00930E8E" w:rsidP="00471C75">
      <w:pPr>
        <w:pStyle w:val="ListParagraph"/>
        <w:numPr>
          <w:ilvl w:val="1"/>
          <w:numId w:val="5"/>
        </w:numPr>
        <w:rPr>
          <w:sz w:val="20"/>
        </w:rPr>
      </w:pPr>
      <w:r>
        <w:rPr>
          <w:sz w:val="20"/>
        </w:rPr>
        <w:t>L</w:t>
      </w:r>
      <w:r w:rsidR="00972F9B">
        <w:rPr>
          <w:sz w:val="20"/>
        </w:rPr>
        <w:t>iberty</w:t>
      </w:r>
    </w:p>
    <w:p w14:paraId="74D19D3B" w14:textId="066F8FAF" w:rsidR="00930E8E" w:rsidRDefault="00930E8E" w:rsidP="00471C75">
      <w:pPr>
        <w:pStyle w:val="ListParagraph"/>
        <w:numPr>
          <w:ilvl w:val="2"/>
          <w:numId w:val="5"/>
        </w:numPr>
        <w:rPr>
          <w:sz w:val="20"/>
        </w:rPr>
      </w:pPr>
      <w:r>
        <w:rPr>
          <w:sz w:val="20"/>
        </w:rPr>
        <w:t>Might be implicated if personal/profe</w:t>
      </w:r>
      <w:r w:rsidR="000D4618">
        <w:rPr>
          <w:sz w:val="20"/>
        </w:rPr>
        <w:t xml:space="preserve">ssional reputation is at stake – </w:t>
      </w:r>
      <w:r>
        <w:rPr>
          <w:i/>
          <w:sz w:val="20"/>
        </w:rPr>
        <w:t>Roth</w:t>
      </w:r>
    </w:p>
    <w:p w14:paraId="43514504" w14:textId="69C67DFC" w:rsidR="00972F9B" w:rsidRDefault="00972F9B" w:rsidP="00471C75">
      <w:pPr>
        <w:pStyle w:val="ListParagraph"/>
        <w:numPr>
          <w:ilvl w:val="1"/>
          <w:numId w:val="5"/>
        </w:numPr>
        <w:rPr>
          <w:sz w:val="20"/>
        </w:rPr>
      </w:pPr>
      <w:r>
        <w:rPr>
          <w:sz w:val="20"/>
        </w:rPr>
        <w:t>Property</w:t>
      </w:r>
    </w:p>
    <w:p w14:paraId="7EDC25B4" w14:textId="7BF22A79" w:rsidR="00930E8E" w:rsidRDefault="00930E8E" w:rsidP="00471C75">
      <w:pPr>
        <w:pStyle w:val="ListParagraph"/>
        <w:numPr>
          <w:ilvl w:val="2"/>
          <w:numId w:val="5"/>
        </w:numPr>
        <w:rPr>
          <w:sz w:val="20"/>
        </w:rPr>
      </w:pPr>
      <w:r>
        <w:rPr>
          <w:sz w:val="20"/>
        </w:rPr>
        <w:t>Property is an extra-constitutional legal entitlement that cabins agency discretion – is there a legal constraint on the a</w:t>
      </w:r>
      <w:r w:rsidR="000D4618">
        <w:rPr>
          <w:sz w:val="20"/>
        </w:rPr>
        <w:t>ctions that the state can take</w:t>
      </w:r>
      <w:r w:rsidR="0036258A">
        <w:rPr>
          <w:sz w:val="20"/>
        </w:rPr>
        <w:t>?</w:t>
      </w:r>
      <w:r w:rsidR="000D4618">
        <w:rPr>
          <w:sz w:val="20"/>
        </w:rPr>
        <w:t xml:space="preserve"> – </w:t>
      </w:r>
      <w:r w:rsidR="000D4618">
        <w:rPr>
          <w:i/>
          <w:sz w:val="20"/>
        </w:rPr>
        <w:t xml:space="preserve">Roth </w:t>
      </w:r>
    </w:p>
    <w:p w14:paraId="51B370CE" w14:textId="27691DB1" w:rsidR="00930E8E" w:rsidRDefault="000D4618" w:rsidP="00471C75">
      <w:pPr>
        <w:pStyle w:val="ListParagraph"/>
        <w:numPr>
          <w:ilvl w:val="2"/>
          <w:numId w:val="5"/>
        </w:numPr>
        <w:rPr>
          <w:sz w:val="20"/>
        </w:rPr>
      </w:pPr>
      <w:r>
        <w:rPr>
          <w:sz w:val="20"/>
        </w:rPr>
        <w:t xml:space="preserve">Property right </w:t>
      </w:r>
      <w:r w:rsidR="00930E8E">
        <w:rPr>
          <w:sz w:val="20"/>
        </w:rPr>
        <w:t>exist</w:t>
      </w:r>
      <w:r>
        <w:rPr>
          <w:sz w:val="20"/>
        </w:rPr>
        <w:t>s</w:t>
      </w:r>
      <w:r w:rsidR="00930E8E">
        <w:rPr>
          <w:sz w:val="20"/>
        </w:rPr>
        <w:t xml:space="preserve"> if “policies and practices” indicate a legitimate claim of entitlement – relies on contractual doctrines of relia</w:t>
      </w:r>
      <w:r>
        <w:rPr>
          <w:sz w:val="20"/>
        </w:rPr>
        <w:t xml:space="preserve">nce, promissory estoppel, etc. – </w:t>
      </w:r>
      <w:proofErr w:type="spellStart"/>
      <w:r w:rsidR="00930E8E">
        <w:rPr>
          <w:i/>
          <w:sz w:val="20"/>
        </w:rPr>
        <w:t>Sindermann</w:t>
      </w:r>
      <w:proofErr w:type="spellEnd"/>
    </w:p>
    <w:p w14:paraId="3E9624EB" w14:textId="5E10E42D" w:rsidR="00930E8E" w:rsidRDefault="00930E8E" w:rsidP="00471C75">
      <w:pPr>
        <w:pStyle w:val="ListParagraph"/>
        <w:numPr>
          <w:ilvl w:val="2"/>
          <w:numId w:val="5"/>
        </w:numPr>
        <w:rPr>
          <w:sz w:val="20"/>
        </w:rPr>
      </w:pPr>
      <w:r>
        <w:rPr>
          <w:sz w:val="20"/>
        </w:rPr>
        <w:t>There are three potential traps in the “entitlement as property doctrine”</w:t>
      </w:r>
    </w:p>
    <w:p w14:paraId="490E8BBB" w14:textId="39B747D5" w:rsidR="00930E8E" w:rsidRPr="009431EC" w:rsidRDefault="00930E8E" w:rsidP="00471C75">
      <w:pPr>
        <w:pStyle w:val="ListParagraph"/>
        <w:numPr>
          <w:ilvl w:val="3"/>
          <w:numId w:val="5"/>
        </w:numPr>
        <w:rPr>
          <w:sz w:val="20"/>
        </w:rPr>
      </w:pPr>
      <w:r>
        <w:rPr>
          <w:sz w:val="20"/>
        </w:rPr>
        <w:t xml:space="preserve">Bitter with the sweet – </w:t>
      </w:r>
      <w:r>
        <w:rPr>
          <w:i/>
          <w:sz w:val="20"/>
        </w:rPr>
        <w:t>Arnett v. Kennedy</w:t>
      </w:r>
    </w:p>
    <w:p w14:paraId="474B78B1" w14:textId="594549BE" w:rsidR="009431EC" w:rsidRDefault="009431EC" w:rsidP="00471C75">
      <w:pPr>
        <w:pStyle w:val="ListParagraph"/>
        <w:numPr>
          <w:ilvl w:val="4"/>
          <w:numId w:val="5"/>
        </w:numPr>
        <w:rPr>
          <w:sz w:val="20"/>
        </w:rPr>
      </w:pPr>
      <w:r>
        <w:rPr>
          <w:sz w:val="20"/>
        </w:rPr>
        <w:t>A truly positivist reading that denies the ability to divorce substantive right from the procedure given</w:t>
      </w:r>
    </w:p>
    <w:p w14:paraId="522AEF2A" w14:textId="2ACBBF26" w:rsidR="009431EC" w:rsidRPr="007373C3" w:rsidRDefault="004A42AF" w:rsidP="00471C75">
      <w:pPr>
        <w:pStyle w:val="ListParagraph"/>
        <w:numPr>
          <w:ilvl w:val="5"/>
          <w:numId w:val="5"/>
        </w:numPr>
        <w:rPr>
          <w:sz w:val="20"/>
        </w:rPr>
      </w:pPr>
      <w:r>
        <w:rPr>
          <w:sz w:val="20"/>
        </w:rPr>
        <w:t>How to square this with concept of c</w:t>
      </w:r>
      <w:r w:rsidR="009431EC">
        <w:rPr>
          <w:sz w:val="20"/>
        </w:rPr>
        <w:t xml:space="preserve">onstitutional superiority? </w:t>
      </w:r>
    </w:p>
    <w:p w14:paraId="1F715DFE" w14:textId="7BA35E5E" w:rsidR="007373C3" w:rsidRDefault="00621B0B" w:rsidP="00471C75">
      <w:pPr>
        <w:pStyle w:val="ListParagraph"/>
        <w:numPr>
          <w:ilvl w:val="5"/>
          <w:numId w:val="5"/>
        </w:numPr>
        <w:rPr>
          <w:sz w:val="20"/>
        </w:rPr>
      </w:pPr>
      <w:r>
        <w:rPr>
          <w:sz w:val="20"/>
        </w:rPr>
        <w:t>Should be rejected on</w:t>
      </w:r>
      <w:r w:rsidR="007373C3">
        <w:rPr>
          <w:sz w:val="20"/>
        </w:rPr>
        <w:t xml:space="preserve"> institutional competency or separation of powers grounds?</w:t>
      </w:r>
    </w:p>
    <w:p w14:paraId="1B6D277A" w14:textId="74DE29E7" w:rsidR="007373C3" w:rsidRDefault="007373C3" w:rsidP="00471C75">
      <w:pPr>
        <w:pStyle w:val="ListParagraph"/>
        <w:numPr>
          <w:ilvl w:val="4"/>
          <w:numId w:val="5"/>
        </w:numPr>
        <w:rPr>
          <w:sz w:val="20"/>
        </w:rPr>
      </w:pPr>
      <w:r>
        <w:rPr>
          <w:sz w:val="20"/>
        </w:rPr>
        <w:t xml:space="preserve">Rejected in </w:t>
      </w:r>
      <w:proofErr w:type="spellStart"/>
      <w:r>
        <w:rPr>
          <w:i/>
          <w:sz w:val="20"/>
        </w:rPr>
        <w:t>Loudermill</w:t>
      </w:r>
      <w:proofErr w:type="spellEnd"/>
      <w:r>
        <w:rPr>
          <w:sz w:val="20"/>
        </w:rPr>
        <w:t xml:space="preserve"> – DPC prevents property from being taken except subject to constitutionally guaranteed procedures</w:t>
      </w:r>
    </w:p>
    <w:p w14:paraId="09FA727D" w14:textId="6E9E04D5" w:rsidR="000F03DD" w:rsidRDefault="00E36927" w:rsidP="00471C75">
      <w:pPr>
        <w:pStyle w:val="ListParagraph"/>
        <w:numPr>
          <w:ilvl w:val="5"/>
          <w:numId w:val="5"/>
        </w:numPr>
        <w:rPr>
          <w:sz w:val="20"/>
        </w:rPr>
      </w:pPr>
      <w:r>
        <w:rPr>
          <w:sz w:val="20"/>
        </w:rPr>
        <w:t>J</w:t>
      </w:r>
      <w:r w:rsidR="000F03DD">
        <w:rPr>
          <w:sz w:val="20"/>
        </w:rPr>
        <w:t>udiciary has final, independent authority on the adequacy of statutorily defined procedures to meet requirements of DPC</w:t>
      </w:r>
    </w:p>
    <w:p w14:paraId="562A243E" w14:textId="09A3A6E2" w:rsidR="000F03DD" w:rsidRDefault="000F03DD" w:rsidP="00471C75">
      <w:pPr>
        <w:pStyle w:val="ListParagraph"/>
        <w:numPr>
          <w:ilvl w:val="5"/>
          <w:numId w:val="5"/>
        </w:numPr>
        <w:rPr>
          <w:sz w:val="20"/>
        </w:rPr>
      </w:pPr>
      <w:r>
        <w:rPr>
          <w:sz w:val="20"/>
        </w:rPr>
        <w:t xml:space="preserve">AV argues that agencies are constantly calibrating procedure and substance, combining inquiries of Steps 1 and 3 </w:t>
      </w:r>
    </w:p>
    <w:p w14:paraId="4A42FEF8" w14:textId="4A8752BE" w:rsidR="00621B0B" w:rsidRDefault="00621B0B" w:rsidP="00621B0B">
      <w:pPr>
        <w:pStyle w:val="ListParagraph"/>
        <w:numPr>
          <w:ilvl w:val="4"/>
          <w:numId w:val="5"/>
        </w:numPr>
        <w:rPr>
          <w:sz w:val="20"/>
        </w:rPr>
      </w:pPr>
      <w:r>
        <w:rPr>
          <w:i/>
          <w:sz w:val="20"/>
        </w:rPr>
        <w:t xml:space="preserve">Walters </w:t>
      </w:r>
      <w:r>
        <w:rPr>
          <w:sz w:val="20"/>
        </w:rPr>
        <w:t xml:space="preserve">and </w:t>
      </w:r>
      <w:r>
        <w:rPr>
          <w:i/>
          <w:sz w:val="20"/>
        </w:rPr>
        <w:t>Ingraham</w:t>
      </w:r>
      <w:r>
        <w:t xml:space="preserve"> </w:t>
      </w:r>
      <w:r>
        <w:rPr>
          <w:sz w:val="20"/>
        </w:rPr>
        <w:t xml:space="preserve">deemphasize </w:t>
      </w:r>
      <w:r>
        <w:rPr>
          <w:i/>
          <w:sz w:val="20"/>
        </w:rPr>
        <w:t xml:space="preserve">Matthews </w:t>
      </w:r>
      <w:r>
        <w:rPr>
          <w:sz w:val="20"/>
        </w:rPr>
        <w:t xml:space="preserve">factors and focus on justifications for the chosen policy (desire to keep veteran benefits process </w:t>
      </w:r>
      <w:r w:rsidR="007E4E08">
        <w:rPr>
          <w:sz w:val="20"/>
        </w:rPr>
        <w:t>non-</w:t>
      </w:r>
      <w:r>
        <w:rPr>
          <w:sz w:val="20"/>
        </w:rPr>
        <w:t>adversarial</w:t>
      </w:r>
      <w:r w:rsidR="007E4E08">
        <w:rPr>
          <w:sz w:val="20"/>
        </w:rPr>
        <w:t xml:space="preserve">, </w:t>
      </w:r>
      <w:r>
        <w:rPr>
          <w:sz w:val="20"/>
        </w:rPr>
        <w:t>need to maintain classroom discipline without exacerbating fear)</w:t>
      </w:r>
    </w:p>
    <w:p w14:paraId="6645CF51" w14:textId="38B65013" w:rsidR="00621B0B" w:rsidRPr="00621B0B" w:rsidRDefault="00621B0B" w:rsidP="00621B0B">
      <w:pPr>
        <w:pStyle w:val="ListParagraph"/>
        <w:numPr>
          <w:ilvl w:val="5"/>
          <w:numId w:val="5"/>
        </w:numPr>
        <w:rPr>
          <w:sz w:val="20"/>
        </w:rPr>
      </w:pPr>
      <w:r>
        <w:rPr>
          <w:sz w:val="20"/>
        </w:rPr>
        <w:t xml:space="preserve">Reflects </w:t>
      </w:r>
      <w:r>
        <w:rPr>
          <w:i/>
          <w:sz w:val="20"/>
        </w:rPr>
        <w:t xml:space="preserve">Arnett </w:t>
      </w:r>
      <w:r w:rsidR="007E4E08">
        <w:rPr>
          <w:sz w:val="20"/>
        </w:rPr>
        <w:t>in that</w:t>
      </w:r>
      <w:r>
        <w:rPr>
          <w:sz w:val="20"/>
        </w:rPr>
        <w:t xml:space="preserve"> agency discretion</w:t>
      </w:r>
      <w:r w:rsidR="007E4E08">
        <w:rPr>
          <w:sz w:val="20"/>
        </w:rPr>
        <w:t xml:space="preserve"> is maximized</w:t>
      </w:r>
      <w:r>
        <w:rPr>
          <w:sz w:val="20"/>
        </w:rPr>
        <w:t xml:space="preserve">, but conceptually distinct in that </w:t>
      </w:r>
      <w:r w:rsidR="00493D64">
        <w:rPr>
          <w:sz w:val="20"/>
        </w:rPr>
        <w:t>reason-giving is the focus</w:t>
      </w:r>
    </w:p>
    <w:p w14:paraId="7377FFFE" w14:textId="6F25FD73" w:rsidR="00930E8E" w:rsidRDefault="00930E8E" w:rsidP="00471C75">
      <w:pPr>
        <w:pStyle w:val="ListParagraph"/>
        <w:numPr>
          <w:ilvl w:val="3"/>
          <w:numId w:val="5"/>
        </w:numPr>
        <w:rPr>
          <w:sz w:val="20"/>
        </w:rPr>
      </w:pPr>
      <w:r>
        <w:rPr>
          <w:sz w:val="20"/>
        </w:rPr>
        <w:t>States can avoid due process concerns by defining away a property “right”</w:t>
      </w:r>
    </w:p>
    <w:p w14:paraId="1F79073C" w14:textId="7656F7CB" w:rsidR="00930E8E" w:rsidRDefault="00930E8E" w:rsidP="00471C75">
      <w:pPr>
        <w:pStyle w:val="ListParagraph"/>
        <w:numPr>
          <w:ilvl w:val="4"/>
          <w:numId w:val="5"/>
        </w:numPr>
        <w:rPr>
          <w:sz w:val="20"/>
        </w:rPr>
      </w:pPr>
      <w:r>
        <w:rPr>
          <w:sz w:val="20"/>
        </w:rPr>
        <w:t>By simply creating a discretionary grant, no entitlement is created</w:t>
      </w:r>
    </w:p>
    <w:p w14:paraId="74F76938" w14:textId="11E37462" w:rsidR="00930E8E" w:rsidRPr="009431EC" w:rsidRDefault="00930E8E" w:rsidP="00471C75">
      <w:pPr>
        <w:pStyle w:val="ListParagraph"/>
        <w:numPr>
          <w:ilvl w:val="3"/>
          <w:numId w:val="5"/>
        </w:numPr>
        <w:rPr>
          <w:sz w:val="20"/>
        </w:rPr>
      </w:pPr>
      <w:r>
        <w:rPr>
          <w:sz w:val="20"/>
        </w:rPr>
        <w:t xml:space="preserve">Importance of interest has no bearing on its status as “property” – cf. </w:t>
      </w:r>
      <w:r>
        <w:rPr>
          <w:i/>
          <w:sz w:val="20"/>
        </w:rPr>
        <w:t>Goldberg</w:t>
      </w:r>
    </w:p>
    <w:p w14:paraId="5DF47E89" w14:textId="4DAF9E8E" w:rsidR="009431EC" w:rsidRDefault="009431EC" w:rsidP="00471C75">
      <w:pPr>
        <w:pStyle w:val="ListParagraph"/>
        <w:numPr>
          <w:ilvl w:val="4"/>
          <w:numId w:val="5"/>
        </w:numPr>
        <w:rPr>
          <w:sz w:val="20"/>
        </w:rPr>
      </w:pPr>
      <w:r>
        <w:rPr>
          <w:sz w:val="20"/>
        </w:rPr>
        <w:t>Problems of both overinclusion (prisoner hobby kit) and under</w:t>
      </w:r>
      <w:r w:rsidR="000D4618">
        <w:rPr>
          <w:sz w:val="20"/>
        </w:rPr>
        <w:t>-</w:t>
      </w:r>
      <w:r>
        <w:rPr>
          <w:sz w:val="20"/>
        </w:rPr>
        <w:t>inclusion (</w:t>
      </w:r>
      <w:r>
        <w:rPr>
          <w:i/>
          <w:sz w:val="20"/>
        </w:rPr>
        <w:t xml:space="preserve">Ridgely v. FEMA </w:t>
      </w:r>
      <w:r>
        <w:rPr>
          <w:sz w:val="20"/>
        </w:rPr>
        <w:t xml:space="preserve">– President </w:t>
      </w:r>
      <w:r>
        <w:rPr>
          <w:i/>
          <w:sz w:val="20"/>
        </w:rPr>
        <w:t>may</w:t>
      </w:r>
      <w:r>
        <w:rPr>
          <w:sz w:val="20"/>
        </w:rPr>
        <w:t xml:space="preserve"> provide rental aid)</w:t>
      </w:r>
    </w:p>
    <w:p w14:paraId="61A3B3A5" w14:textId="241DF2FA" w:rsidR="00972F9B" w:rsidRDefault="00972F9B" w:rsidP="00471C75">
      <w:pPr>
        <w:pStyle w:val="ListParagraph"/>
        <w:numPr>
          <w:ilvl w:val="0"/>
          <w:numId w:val="5"/>
        </w:numPr>
        <w:rPr>
          <w:sz w:val="20"/>
        </w:rPr>
      </w:pPr>
      <w:r>
        <w:rPr>
          <w:sz w:val="20"/>
        </w:rPr>
        <w:t>Has there been an actual deprivation?</w:t>
      </w:r>
    </w:p>
    <w:p w14:paraId="2BFF223C" w14:textId="64FA1D6C" w:rsidR="00404D74" w:rsidRDefault="00404D74" w:rsidP="00471C75">
      <w:pPr>
        <w:pStyle w:val="ListParagraph"/>
        <w:numPr>
          <w:ilvl w:val="1"/>
          <w:numId w:val="5"/>
        </w:numPr>
        <w:rPr>
          <w:sz w:val="20"/>
        </w:rPr>
      </w:pPr>
      <w:r>
        <w:rPr>
          <w:sz w:val="20"/>
        </w:rPr>
        <w:t>A protected interest cannot be deprived unless it is done intentionally (recklessness</w:t>
      </w:r>
      <w:r w:rsidR="0036258A">
        <w:rPr>
          <w:sz w:val="20"/>
        </w:rPr>
        <w:t>/gross negligence</w:t>
      </w:r>
      <w:r>
        <w:rPr>
          <w:sz w:val="20"/>
        </w:rPr>
        <w:t xml:space="preserve"> might also be sufficient) </w:t>
      </w:r>
      <w:r w:rsidR="0036258A">
        <w:rPr>
          <w:sz w:val="20"/>
        </w:rPr>
        <w:t xml:space="preserve">– </w:t>
      </w:r>
      <w:r>
        <w:rPr>
          <w:i/>
          <w:sz w:val="20"/>
        </w:rPr>
        <w:t>Daniels v. Williams</w:t>
      </w:r>
    </w:p>
    <w:p w14:paraId="264CDF83" w14:textId="26C84606" w:rsidR="00972F9B" w:rsidRDefault="00972F9B" w:rsidP="00471C75">
      <w:pPr>
        <w:pStyle w:val="ListParagraph"/>
        <w:numPr>
          <w:ilvl w:val="0"/>
          <w:numId w:val="5"/>
        </w:numPr>
        <w:rPr>
          <w:sz w:val="20"/>
        </w:rPr>
      </w:pPr>
      <w:r>
        <w:rPr>
          <w:sz w:val="20"/>
        </w:rPr>
        <w:t>What process is due?</w:t>
      </w:r>
    </w:p>
    <w:p w14:paraId="29616BD8" w14:textId="6544EB9D" w:rsidR="00972F9B" w:rsidRDefault="00972F9B" w:rsidP="00471C75">
      <w:pPr>
        <w:pStyle w:val="ListParagraph"/>
        <w:numPr>
          <w:ilvl w:val="1"/>
          <w:numId w:val="5"/>
        </w:numPr>
        <w:rPr>
          <w:sz w:val="20"/>
        </w:rPr>
      </w:pPr>
      <w:r>
        <w:rPr>
          <w:sz w:val="20"/>
        </w:rPr>
        <w:t>Is the proceeding a rulemaking or an adjudication?</w:t>
      </w:r>
    </w:p>
    <w:p w14:paraId="200FD0E3" w14:textId="244870F3" w:rsidR="00972F9B" w:rsidRDefault="00972F9B" w:rsidP="00471C75">
      <w:pPr>
        <w:pStyle w:val="ListParagraph"/>
        <w:numPr>
          <w:ilvl w:val="2"/>
          <w:numId w:val="5"/>
        </w:numPr>
        <w:rPr>
          <w:sz w:val="20"/>
        </w:rPr>
      </w:pPr>
      <w:r>
        <w:rPr>
          <w:sz w:val="20"/>
        </w:rPr>
        <w:t xml:space="preserve">Decided under </w:t>
      </w:r>
      <w:r>
        <w:rPr>
          <w:i/>
          <w:sz w:val="20"/>
        </w:rPr>
        <w:t>Londoner</w:t>
      </w:r>
      <w:r>
        <w:rPr>
          <w:sz w:val="20"/>
        </w:rPr>
        <w:t>/</w:t>
      </w:r>
      <w:r>
        <w:rPr>
          <w:i/>
          <w:sz w:val="20"/>
        </w:rPr>
        <w:t>Bi-</w:t>
      </w:r>
      <w:proofErr w:type="spellStart"/>
      <w:r>
        <w:rPr>
          <w:i/>
          <w:sz w:val="20"/>
        </w:rPr>
        <w:t>Metallic</w:t>
      </w:r>
      <w:r>
        <w:rPr>
          <w:sz w:val="20"/>
        </w:rPr>
        <w:t>’s</w:t>
      </w:r>
      <w:proofErr w:type="spellEnd"/>
      <w:r>
        <w:rPr>
          <w:sz w:val="20"/>
        </w:rPr>
        <w:t xml:space="preserve"> generality principle</w:t>
      </w:r>
    </w:p>
    <w:p w14:paraId="0A21D9BF" w14:textId="33BE7823" w:rsidR="00972F9B" w:rsidRDefault="00972F9B" w:rsidP="00471C75">
      <w:pPr>
        <w:pStyle w:val="ListParagraph"/>
        <w:numPr>
          <w:ilvl w:val="2"/>
          <w:numId w:val="5"/>
        </w:numPr>
        <w:rPr>
          <w:sz w:val="20"/>
        </w:rPr>
      </w:pPr>
      <w:r>
        <w:rPr>
          <w:sz w:val="20"/>
        </w:rPr>
        <w:t>If rulemaking, legislative process is all that is due</w:t>
      </w:r>
    </w:p>
    <w:p w14:paraId="2D13AB03" w14:textId="0FBD340D" w:rsidR="00972F9B" w:rsidRDefault="00972F9B" w:rsidP="00471C75">
      <w:pPr>
        <w:pStyle w:val="ListParagraph"/>
        <w:numPr>
          <w:ilvl w:val="2"/>
          <w:numId w:val="5"/>
        </w:numPr>
        <w:rPr>
          <w:sz w:val="20"/>
        </w:rPr>
      </w:pPr>
      <w:r>
        <w:rPr>
          <w:sz w:val="20"/>
        </w:rPr>
        <w:lastRenderedPageBreak/>
        <w:t xml:space="preserve">If adjudication: </w:t>
      </w:r>
    </w:p>
    <w:p w14:paraId="6882913D" w14:textId="79BF311B" w:rsidR="00972F9B" w:rsidRDefault="00972F9B" w:rsidP="00471C75">
      <w:pPr>
        <w:pStyle w:val="ListParagraph"/>
        <w:numPr>
          <w:ilvl w:val="3"/>
          <w:numId w:val="5"/>
        </w:numPr>
        <w:rPr>
          <w:sz w:val="20"/>
        </w:rPr>
      </w:pPr>
      <w:r>
        <w:rPr>
          <w:sz w:val="20"/>
        </w:rPr>
        <w:t>Determine which elements are required from Friendly’s 10 factors under a marginal cost-benefit analysis</w:t>
      </w:r>
      <w:r w:rsidR="00A8310D">
        <w:rPr>
          <w:sz w:val="20"/>
        </w:rPr>
        <w:t xml:space="preserve"> (arranged so 1 is more important than 10)</w:t>
      </w:r>
    </w:p>
    <w:p w14:paraId="6997E2FE" w14:textId="422DBE36" w:rsidR="00972F9B" w:rsidRDefault="00972F9B" w:rsidP="00471C75">
      <w:pPr>
        <w:pStyle w:val="ListParagraph"/>
        <w:numPr>
          <w:ilvl w:val="4"/>
          <w:numId w:val="5"/>
        </w:numPr>
        <w:rPr>
          <w:sz w:val="20"/>
        </w:rPr>
      </w:pPr>
      <w:r>
        <w:rPr>
          <w:sz w:val="20"/>
        </w:rPr>
        <w:t>An unbiased tribunal</w:t>
      </w:r>
    </w:p>
    <w:p w14:paraId="6FE6FDBF" w14:textId="496E4712" w:rsidR="00972F9B" w:rsidRDefault="00972F9B" w:rsidP="00471C75">
      <w:pPr>
        <w:pStyle w:val="ListParagraph"/>
        <w:numPr>
          <w:ilvl w:val="4"/>
          <w:numId w:val="5"/>
        </w:numPr>
        <w:rPr>
          <w:sz w:val="20"/>
        </w:rPr>
      </w:pPr>
      <w:r>
        <w:rPr>
          <w:sz w:val="20"/>
        </w:rPr>
        <w:t>Notice of the proposed action and asserted grounds</w:t>
      </w:r>
    </w:p>
    <w:p w14:paraId="26A96458" w14:textId="56E41E22" w:rsidR="00972F9B" w:rsidRDefault="000D4618" w:rsidP="00471C75">
      <w:pPr>
        <w:pStyle w:val="ListParagraph"/>
        <w:numPr>
          <w:ilvl w:val="4"/>
          <w:numId w:val="5"/>
        </w:numPr>
        <w:rPr>
          <w:sz w:val="20"/>
        </w:rPr>
      </w:pPr>
      <w:r>
        <w:rPr>
          <w:sz w:val="20"/>
        </w:rPr>
        <w:t>Opportunity to argue</w:t>
      </w:r>
      <w:r w:rsidR="00972F9B">
        <w:rPr>
          <w:sz w:val="20"/>
        </w:rPr>
        <w:t xml:space="preserve"> reaso</w:t>
      </w:r>
      <w:r>
        <w:rPr>
          <w:sz w:val="20"/>
        </w:rPr>
        <w:t>ns why proposed action shouldn’</w:t>
      </w:r>
      <w:r w:rsidR="00972F9B">
        <w:rPr>
          <w:sz w:val="20"/>
        </w:rPr>
        <w:t>t be taken</w:t>
      </w:r>
    </w:p>
    <w:p w14:paraId="2DDD90D4" w14:textId="1A4D84E4" w:rsidR="00972F9B" w:rsidRDefault="00972F9B" w:rsidP="00471C75">
      <w:pPr>
        <w:pStyle w:val="ListParagraph"/>
        <w:numPr>
          <w:ilvl w:val="4"/>
          <w:numId w:val="5"/>
        </w:numPr>
        <w:rPr>
          <w:sz w:val="20"/>
        </w:rPr>
      </w:pPr>
      <w:r>
        <w:rPr>
          <w:sz w:val="20"/>
        </w:rPr>
        <w:t>Right to present evidence/call witnesses</w:t>
      </w:r>
    </w:p>
    <w:p w14:paraId="2AEFD201" w14:textId="351BC063" w:rsidR="00972F9B" w:rsidRDefault="00972F9B" w:rsidP="00471C75">
      <w:pPr>
        <w:pStyle w:val="ListParagraph"/>
        <w:numPr>
          <w:ilvl w:val="4"/>
          <w:numId w:val="5"/>
        </w:numPr>
        <w:rPr>
          <w:sz w:val="20"/>
        </w:rPr>
      </w:pPr>
      <w:r>
        <w:rPr>
          <w:sz w:val="20"/>
        </w:rPr>
        <w:t>Right to know of opposing evidence</w:t>
      </w:r>
    </w:p>
    <w:p w14:paraId="04B06B03" w14:textId="3E7452C5" w:rsidR="00972F9B" w:rsidRDefault="00972F9B" w:rsidP="00471C75">
      <w:pPr>
        <w:pStyle w:val="ListParagraph"/>
        <w:numPr>
          <w:ilvl w:val="4"/>
          <w:numId w:val="5"/>
        </w:numPr>
        <w:rPr>
          <w:sz w:val="20"/>
        </w:rPr>
      </w:pPr>
      <w:r>
        <w:rPr>
          <w:sz w:val="20"/>
        </w:rPr>
        <w:t>Right to cross-examine adverse witnesses</w:t>
      </w:r>
    </w:p>
    <w:p w14:paraId="0F981CD2" w14:textId="48FCBDD0" w:rsidR="00972F9B" w:rsidRDefault="00972F9B" w:rsidP="00471C75">
      <w:pPr>
        <w:pStyle w:val="ListParagraph"/>
        <w:numPr>
          <w:ilvl w:val="4"/>
          <w:numId w:val="5"/>
        </w:numPr>
        <w:rPr>
          <w:sz w:val="20"/>
        </w:rPr>
      </w:pPr>
      <w:r>
        <w:rPr>
          <w:sz w:val="20"/>
        </w:rPr>
        <w:t>Decision based exclusively on evidence presented</w:t>
      </w:r>
    </w:p>
    <w:p w14:paraId="230AA543" w14:textId="39EB1E0D" w:rsidR="00972F9B" w:rsidRDefault="00972F9B" w:rsidP="00471C75">
      <w:pPr>
        <w:pStyle w:val="ListParagraph"/>
        <w:numPr>
          <w:ilvl w:val="4"/>
          <w:numId w:val="5"/>
        </w:numPr>
        <w:rPr>
          <w:sz w:val="20"/>
        </w:rPr>
      </w:pPr>
      <w:r>
        <w:rPr>
          <w:sz w:val="20"/>
        </w:rPr>
        <w:t>Right to counsel</w:t>
      </w:r>
    </w:p>
    <w:p w14:paraId="0BEC992A" w14:textId="2FE63279" w:rsidR="00972F9B" w:rsidRDefault="00972F9B" w:rsidP="00471C75">
      <w:pPr>
        <w:pStyle w:val="ListParagraph"/>
        <w:numPr>
          <w:ilvl w:val="4"/>
          <w:numId w:val="5"/>
        </w:numPr>
        <w:rPr>
          <w:sz w:val="20"/>
        </w:rPr>
      </w:pPr>
      <w:r>
        <w:rPr>
          <w:sz w:val="20"/>
        </w:rPr>
        <w:t>Requirement that tribunal prepare a record of the evidence</w:t>
      </w:r>
    </w:p>
    <w:p w14:paraId="2D2B201A" w14:textId="73D885D0" w:rsidR="00972F9B" w:rsidRDefault="00972F9B" w:rsidP="00471C75">
      <w:pPr>
        <w:pStyle w:val="ListParagraph"/>
        <w:numPr>
          <w:ilvl w:val="4"/>
          <w:numId w:val="5"/>
        </w:numPr>
        <w:rPr>
          <w:sz w:val="20"/>
        </w:rPr>
      </w:pPr>
      <w:r>
        <w:rPr>
          <w:sz w:val="20"/>
        </w:rPr>
        <w:t>Requirement that tribunal prepare written findings of fact and reasons for its decision</w:t>
      </w:r>
    </w:p>
    <w:p w14:paraId="549270ED" w14:textId="667DAFCD" w:rsidR="007B3258" w:rsidRDefault="007B3258" w:rsidP="00471C75">
      <w:pPr>
        <w:pStyle w:val="ListParagraph"/>
        <w:numPr>
          <w:ilvl w:val="3"/>
          <w:numId w:val="5"/>
        </w:numPr>
        <w:rPr>
          <w:sz w:val="20"/>
        </w:rPr>
      </w:pPr>
      <w:r>
        <w:rPr>
          <w:sz w:val="20"/>
        </w:rPr>
        <w:t xml:space="preserve">Determine if a hearing is required pre- or post-deprivation? </w:t>
      </w:r>
    </w:p>
    <w:p w14:paraId="7ECE3604" w14:textId="76CAD090" w:rsidR="008F6A47" w:rsidRDefault="008F6A47" w:rsidP="00471C75">
      <w:pPr>
        <w:pStyle w:val="ListParagraph"/>
        <w:numPr>
          <w:ilvl w:val="4"/>
          <w:numId w:val="5"/>
        </w:numPr>
        <w:rPr>
          <w:sz w:val="20"/>
        </w:rPr>
      </w:pPr>
      <w:r>
        <w:rPr>
          <w:sz w:val="20"/>
        </w:rPr>
        <w:t>There is a free-floating presumption towards pre-deprivation process, but if adequate rea</w:t>
      </w:r>
      <w:r w:rsidR="00FF7773">
        <w:rPr>
          <w:sz w:val="20"/>
        </w:rPr>
        <w:t>sons are given, post-deprivation</w:t>
      </w:r>
      <w:r>
        <w:rPr>
          <w:sz w:val="20"/>
        </w:rPr>
        <w:t xml:space="preserve"> process might be sufficient</w:t>
      </w:r>
      <w:r w:rsidR="00712F77">
        <w:rPr>
          <w:sz w:val="20"/>
        </w:rPr>
        <w:t xml:space="preserve"> –</w:t>
      </w:r>
      <w:r w:rsidR="00712F77">
        <w:rPr>
          <w:i/>
          <w:sz w:val="20"/>
        </w:rPr>
        <w:t xml:space="preserve"> </w:t>
      </w:r>
      <w:r w:rsidR="00712F77">
        <w:rPr>
          <w:sz w:val="20"/>
        </w:rPr>
        <w:t>(</w:t>
      </w:r>
      <w:r w:rsidR="00712F77">
        <w:rPr>
          <w:i/>
          <w:sz w:val="20"/>
        </w:rPr>
        <w:t>North American Cold Storage</w:t>
      </w:r>
      <w:r w:rsidR="00712F77">
        <w:rPr>
          <w:sz w:val="20"/>
        </w:rPr>
        <w:t xml:space="preserve"> – emergency circumstances, coupled with ability for post-deprivation judicial review and </w:t>
      </w:r>
      <w:r w:rsidR="00E36927">
        <w:rPr>
          <w:sz w:val="20"/>
        </w:rPr>
        <w:t>compensation, justified lack of</w:t>
      </w:r>
      <w:r w:rsidR="00712F77">
        <w:rPr>
          <w:sz w:val="20"/>
        </w:rPr>
        <w:t xml:space="preserve"> pre-deprivation hearing)</w:t>
      </w:r>
    </w:p>
    <w:p w14:paraId="3ED0C6C2" w14:textId="5F1467C1" w:rsidR="00A8310D" w:rsidRDefault="00A8310D" w:rsidP="00471C75">
      <w:pPr>
        <w:pStyle w:val="ListParagraph"/>
        <w:numPr>
          <w:ilvl w:val="1"/>
          <w:numId w:val="5"/>
        </w:numPr>
        <w:rPr>
          <w:sz w:val="20"/>
        </w:rPr>
      </w:pPr>
      <w:r>
        <w:rPr>
          <w:i/>
          <w:sz w:val="20"/>
        </w:rPr>
        <w:t xml:space="preserve">Matthews </w:t>
      </w:r>
      <w:r>
        <w:rPr>
          <w:sz w:val="20"/>
        </w:rPr>
        <w:t>introduces a three-factor balancing test that looks similar to Hand’s B&lt;PL torts formula</w:t>
      </w:r>
    </w:p>
    <w:p w14:paraId="61F21BF5" w14:textId="032CA358" w:rsidR="00A8310D" w:rsidRDefault="00A8310D" w:rsidP="00471C75">
      <w:pPr>
        <w:pStyle w:val="ListParagraph"/>
        <w:numPr>
          <w:ilvl w:val="2"/>
          <w:numId w:val="5"/>
        </w:numPr>
        <w:rPr>
          <w:sz w:val="20"/>
        </w:rPr>
      </w:pPr>
      <w:r>
        <w:rPr>
          <w:sz w:val="20"/>
        </w:rPr>
        <w:t>Private interest to be affected</w:t>
      </w:r>
    </w:p>
    <w:p w14:paraId="6283150C" w14:textId="5742B4D4" w:rsidR="00404D74" w:rsidRDefault="00404D74" w:rsidP="00471C75">
      <w:pPr>
        <w:pStyle w:val="ListParagraph"/>
        <w:numPr>
          <w:ilvl w:val="3"/>
          <w:numId w:val="5"/>
        </w:numPr>
        <w:rPr>
          <w:sz w:val="20"/>
        </w:rPr>
      </w:pPr>
      <w:r>
        <w:rPr>
          <w:sz w:val="20"/>
        </w:rPr>
        <w:t xml:space="preserve">Multiple parties’ interests must be taken into account, including those who do not have constitutionally protected rights – </w:t>
      </w:r>
      <w:r>
        <w:rPr>
          <w:i/>
          <w:sz w:val="20"/>
        </w:rPr>
        <w:t xml:space="preserve">Brock v. Roadway Express </w:t>
      </w:r>
      <w:r>
        <w:rPr>
          <w:sz w:val="20"/>
        </w:rPr>
        <w:t>(employee’s interest in not being fired must be considered)</w:t>
      </w:r>
    </w:p>
    <w:p w14:paraId="35201B5C" w14:textId="7ECED792" w:rsidR="00404D74" w:rsidRDefault="00404D74" w:rsidP="00471C75">
      <w:pPr>
        <w:pStyle w:val="ListParagraph"/>
        <w:numPr>
          <w:ilvl w:val="3"/>
          <w:numId w:val="5"/>
        </w:numPr>
        <w:rPr>
          <w:sz w:val="20"/>
        </w:rPr>
      </w:pPr>
      <w:r>
        <w:rPr>
          <w:sz w:val="20"/>
        </w:rPr>
        <w:t xml:space="preserve">Interests exist independent of statutory grants, but claims to due process do not – </w:t>
      </w:r>
      <w:r>
        <w:rPr>
          <w:i/>
          <w:sz w:val="20"/>
        </w:rPr>
        <w:t>O’Bannon</w:t>
      </w:r>
      <w:r>
        <w:rPr>
          <w:sz w:val="20"/>
        </w:rPr>
        <w:t xml:space="preserve"> (no right under step 1 to stay in chosen nursing home)</w:t>
      </w:r>
    </w:p>
    <w:p w14:paraId="09E0026E" w14:textId="15596EA3" w:rsidR="00A8310D" w:rsidRDefault="00A8310D" w:rsidP="00471C75">
      <w:pPr>
        <w:pStyle w:val="ListParagraph"/>
        <w:numPr>
          <w:ilvl w:val="2"/>
          <w:numId w:val="5"/>
        </w:numPr>
        <w:rPr>
          <w:sz w:val="20"/>
        </w:rPr>
      </w:pPr>
      <w:r>
        <w:rPr>
          <w:sz w:val="20"/>
        </w:rPr>
        <w:t>Risk of erroneous deprivation/incremental value of additional procedures</w:t>
      </w:r>
    </w:p>
    <w:p w14:paraId="22F6236E" w14:textId="0B45A6DD" w:rsidR="00A8310D" w:rsidRDefault="00A8310D" w:rsidP="00471C75">
      <w:pPr>
        <w:pStyle w:val="ListParagraph"/>
        <w:numPr>
          <w:ilvl w:val="2"/>
          <w:numId w:val="5"/>
        </w:numPr>
        <w:rPr>
          <w:sz w:val="20"/>
        </w:rPr>
      </w:pPr>
      <w:r>
        <w:rPr>
          <w:sz w:val="20"/>
        </w:rPr>
        <w:t>Government’s interest in avoiding costs of additional procedures</w:t>
      </w:r>
    </w:p>
    <w:p w14:paraId="2D5FDFCE" w14:textId="548ABED7" w:rsidR="00A8310D" w:rsidRDefault="00A8310D" w:rsidP="00471C75">
      <w:pPr>
        <w:pStyle w:val="ListParagraph"/>
        <w:numPr>
          <w:ilvl w:val="3"/>
          <w:numId w:val="5"/>
        </w:numPr>
        <w:rPr>
          <w:sz w:val="20"/>
        </w:rPr>
      </w:pPr>
      <w:r>
        <w:rPr>
          <w:i/>
          <w:sz w:val="20"/>
        </w:rPr>
        <w:t xml:space="preserve">Matthews </w:t>
      </w:r>
      <w:r>
        <w:rPr>
          <w:sz w:val="20"/>
        </w:rPr>
        <w:t xml:space="preserve">defers to agency choice on how much procedure to give because it assumes that agencies </w:t>
      </w:r>
      <w:r>
        <w:rPr>
          <w:i/>
          <w:sz w:val="20"/>
        </w:rPr>
        <w:t xml:space="preserve">want </w:t>
      </w:r>
      <w:r>
        <w:rPr>
          <w:sz w:val="20"/>
        </w:rPr>
        <w:t>to help the individuals they were created to serve</w:t>
      </w:r>
    </w:p>
    <w:p w14:paraId="69C811F3" w14:textId="50845644" w:rsidR="00A8310D" w:rsidRDefault="00A8310D" w:rsidP="00471C75">
      <w:pPr>
        <w:pStyle w:val="ListParagraph"/>
        <w:numPr>
          <w:ilvl w:val="4"/>
          <w:numId w:val="5"/>
        </w:numPr>
        <w:rPr>
          <w:sz w:val="20"/>
        </w:rPr>
      </w:pPr>
      <w:r>
        <w:rPr>
          <w:sz w:val="20"/>
        </w:rPr>
        <w:t xml:space="preserve">Similar to arbitrariness review – essential question is if agencies have </w:t>
      </w:r>
      <w:r>
        <w:rPr>
          <w:i/>
          <w:sz w:val="20"/>
        </w:rPr>
        <w:t xml:space="preserve">reasons </w:t>
      </w:r>
      <w:r>
        <w:rPr>
          <w:sz w:val="20"/>
        </w:rPr>
        <w:t xml:space="preserve">for its good-faith judgments? </w:t>
      </w:r>
    </w:p>
    <w:p w14:paraId="4CB55F78" w14:textId="3FE03D60" w:rsidR="00404D74" w:rsidRDefault="000D4618" w:rsidP="00471C75">
      <w:pPr>
        <w:pStyle w:val="ListParagraph"/>
        <w:numPr>
          <w:ilvl w:val="4"/>
          <w:numId w:val="5"/>
        </w:numPr>
        <w:rPr>
          <w:sz w:val="20"/>
        </w:rPr>
      </w:pPr>
      <w:r>
        <w:rPr>
          <w:sz w:val="20"/>
        </w:rPr>
        <w:t>Starkly opposes</w:t>
      </w:r>
      <w:r w:rsidR="00A8310D">
        <w:rPr>
          <w:sz w:val="20"/>
        </w:rPr>
        <w:t xml:space="preserve"> </w:t>
      </w:r>
      <w:r w:rsidR="00A8310D">
        <w:rPr>
          <w:i/>
          <w:sz w:val="20"/>
        </w:rPr>
        <w:t>Arnett</w:t>
      </w:r>
      <w:r w:rsidR="00A8310D">
        <w:rPr>
          <w:sz w:val="20"/>
        </w:rPr>
        <w:t>’s insistence on independent judicial review</w:t>
      </w:r>
    </w:p>
    <w:p w14:paraId="258701CE" w14:textId="68087EAC" w:rsidR="00C64905" w:rsidRPr="00404D74" w:rsidRDefault="00C64905" w:rsidP="00471C75">
      <w:pPr>
        <w:pStyle w:val="ListParagraph"/>
        <w:numPr>
          <w:ilvl w:val="3"/>
          <w:numId w:val="5"/>
        </w:numPr>
        <w:rPr>
          <w:sz w:val="20"/>
        </w:rPr>
      </w:pPr>
      <w:r>
        <w:rPr>
          <w:sz w:val="20"/>
        </w:rPr>
        <w:t>Should be applied generally</w:t>
      </w:r>
      <w:r w:rsidR="00FF7773">
        <w:rPr>
          <w:sz w:val="20"/>
        </w:rPr>
        <w:t>, not on the specific basis of</w:t>
      </w:r>
      <w:r>
        <w:rPr>
          <w:sz w:val="20"/>
        </w:rPr>
        <w:t xml:space="preserve"> single cases, since the constitutionality of an entire program is at issue</w:t>
      </w:r>
    </w:p>
    <w:p w14:paraId="5D01692B" w14:textId="027EA058" w:rsidR="00404D74" w:rsidRDefault="00404D74" w:rsidP="00CA664D">
      <w:pPr>
        <w:pStyle w:val="ListParagraph"/>
        <w:numPr>
          <w:ilvl w:val="0"/>
          <w:numId w:val="5"/>
        </w:numPr>
        <w:rPr>
          <w:sz w:val="20"/>
        </w:rPr>
      </w:pPr>
      <w:r>
        <w:rPr>
          <w:i/>
          <w:sz w:val="20"/>
        </w:rPr>
        <w:t xml:space="preserve">Goldberg </w:t>
      </w:r>
      <w:r>
        <w:rPr>
          <w:sz w:val="20"/>
        </w:rPr>
        <w:t xml:space="preserve">conflates steps 1 and 3 – existence of an entitlement might turn on how much </w:t>
      </w:r>
      <w:r w:rsidR="008320E0">
        <w:rPr>
          <w:sz w:val="20"/>
        </w:rPr>
        <w:t>loss a deprivation would cause. I</w:t>
      </w:r>
      <w:r>
        <w:rPr>
          <w:sz w:val="20"/>
        </w:rPr>
        <w:t>n this case, “brutal need” triggers the inquiry into how much process is due, and whether pre- or post-proceedings are required</w:t>
      </w:r>
    </w:p>
    <w:p w14:paraId="1A2C8E22" w14:textId="77777777" w:rsidR="00404D74" w:rsidRDefault="00404D74" w:rsidP="00CA664D">
      <w:pPr>
        <w:pStyle w:val="ListParagraph"/>
        <w:numPr>
          <w:ilvl w:val="1"/>
          <w:numId w:val="5"/>
        </w:numPr>
        <w:rPr>
          <w:sz w:val="20"/>
        </w:rPr>
      </w:pPr>
      <w:r>
        <w:rPr>
          <w:sz w:val="20"/>
        </w:rPr>
        <w:t>Also invokes the government’s interest in not erroneously depriving benefits</w:t>
      </w:r>
    </w:p>
    <w:p w14:paraId="47A9526E" w14:textId="37D52ACB" w:rsidR="00FC1C5D" w:rsidRDefault="00CA664D" w:rsidP="00CA664D">
      <w:pPr>
        <w:pStyle w:val="ListParagraph"/>
        <w:numPr>
          <w:ilvl w:val="1"/>
          <w:numId w:val="5"/>
        </w:numPr>
        <w:rPr>
          <w:sz w:val="20"/>
        </w:rPr>
      </w:pPr>
      <w:r>
        <w:rPr>
          <w:i/>
          <w:sz w:val="20"/>
        </w:rPr>
        <w:t xml:space="preserve">Matthews </w:t>
      </w:r>
      <w:r>
        <w:rPr>
          <w:sz w:val="20"/>
        </w:rPr>
        <w:t>departs</w:t>
      </w:r>
      <w:r w:rsidR="00FC1C5D">
        <w:rPr>
          <w:sz w:val="20"/>
        </w:rPr>
        <w:t xml:space="preserve"> from </w:t>
      </w:r>
      <w:r w:rsidR="00FC1C5D">
        <w:rPr>
          <w:i/>
          <w:sz w:val="20"/>
        </w:rPr>
        <w:t>Goldberg</w:t>
      </w:r>
      <w:r>
        <w:rPr>
          <w:sz w:val="20"/>
        </w:rPr>
        <w:t xml:space="preserve"> because </w:t>
      </w:r>
      <w:r w:rsidR="00FC1C5D">
        <w:rPr>
          <w:sz w:val="20"/>
        </w:rPr>
        <w:t xml:space="preserve">government’s interest only appears on </w:t>
      </w:r>
      <w:r w:rsidR="00FC1C5D">
        <w:rPr>
          <w:i/>
          <w:sz w:val="20"/>
        </w:rPr>
        <w:t xml:space="preserve">one </w:t>
      </w:r>
      <w:r>
        <w:rPr>
          <w:sz w:val="20"/>
        </w:rPr>
        <w:t>side</w:t>
      </w:r>
    </w:p>
    <w:p w14:paraId="07D77E5F" w14:textId="6F2D2AEB" w:rsidR="00CA664D" w:rsidRDefault="00CA664D" w:rsidP="00CA664D">
      <w:pPr>
        <w:pStyle w:val="ListParagraph"/>
        <w:numPr>
          <w:ilvl w:val="2"/>
          <w:numId w:val="5"/>
        </w:numPr>
        <w:rPr>
          <w:sz w:val="20"/>
        </w:rPr>
      </w:pPr>
      <w:r>
        <w:rPr>
          <w:sz w:val="20"/>
        </w:rPr>
        <w:t xml:space="preserve">Implies a good-faith effort on the agency’s part </w:t>
      </w:r>
      <w:r>
        <w:rPr>
          <w:i/>
          <w:sz w:val="20"/>
        </w:rPr>
        <w:t xml:space="preserve">not </w:t>
      </w:r>
      <w:r>
        <w:rPr>
          <w:sz w:val="20"/>
        </w:rPr>
        <w:t>to harm individuals</w:t>
      </w:r>
    </w:p>
    <w:p w14:paraId="24D282C5" w14:textId="499EB127" w:rsidR="00404D74" w:rsidRPr="00481F58" w:rsidRDefault="00404D74" w:rsidP="00471C75">
      <w:pPr>
        <w:pStyle w:val="ListParagraph"/>
        <w:numPr>
          <w:ilvl w:val="0"/>
          <w:numId w:val="5"/>
        </w:numPr>
        <w:rPr>
          <w:sz w:val="20"/>
        </w:rPr>
      </w:pPr>
      <w:r>
        <w:rPr>
          <w:sz w:val="20"/>
        </w:rPr>
        <w:t xml:space="preserve">A lack of meaningful choice but to comply </w:t>
      </w:r>
      <w:r>
        <w:rPr>
          <w:i/>
          <w:sz w:val="20"/>
        </w:rPr>
        <w:t xml:space="preserve">does not </w:t>
      </w:r>
      <w:r>
        <w:rPr>
          <w:sz w:val="20"/>
        </w:rPr>
        <w:t xml:space="preserve">violate due process if “adequate protections” also exist – compare CERCLA with </w:t>
      </w:r>
      <w:r>
        <w:rPr>
          <w:i/>
          <w:sz w:val="20"/>
        </w:rPr>
        <w:t>CNI</w:t>
      </w:r>
    </w:p>
    <w:p w14:paraId="52AF2CFD" w14:textId="5DA9CD6A" w:rsidR="007A64BA" w:rsidRPr="007A64BA" w:rsidRDefault="00FF7773" w:rsidP="007A64BA">
      <w:pPr>
        <w:pStyle w:val="Heading4"/>
        <w:rPr>
          <w:sz w:val="20"/>
        </w:rPr>
      </w:pPr>
      <w:r>
        <w:rPr>
          <w:sz w:val="20"/>
        </w:rPr>
        <w:t xml:space="preserve">Bias &amp; </w:t>
      </w:r>
      <w:r w:rsidR="007A64BA" w:rsidRPr="007A64BA">
        <w:rPr>
          <w:sz w:val="20"/>
        </w:rPr>
        <w:t>Separation of Functions</w:t>
      </w:r>
    </w:p>
    <w:p w14:paraId="67FEF258" w14:textId="152BF6FE" w:rsidR="00481F58" w:rsidRDefault="008B579A" w:rsidP="00471C75">
      <w:pPr>
        <w:pStyle w:val="ListParagraph"/>
        <w:numPr>
          <w:ilvl w:val="0"/>
          <w:numId w:val="6"/>
        </w:numPr>
        <w:rPr>
          <w:sz w:val="20"/>
        </w:rPr>
      </w:pPr>
      <w:r>
        <w:rPr>
          <w:sz w:val="20"/>
        </w:rPr>
        <w:t>The presence of an unbiased decision-maker is integral to the concept of due process</w:t>
      </w:r>
    </w:p>
    <w:p w14:paraId="2B04968E" w14:textId="4C65476E" w:rsidR="008B579A" w:rsidRDefault="00E51919" w:rsidP="00471C75">
      <w:pPr>
        <w:pStyle w:val="ListParagraph"/>
        <w:numPr>
          <w:ilvl w:val="1"/>
          <w:numId w:val="6"/>
        </w:numPr>
        <w:rPr>
          <w:sz w:val="20"/>
        </w:rPr>
      </w:pPr>
      <w:r>
        <w:rPr>
          <w:sz w:val="20"/>
        </w:rPr>
        <w:t xml:space="preserve">Concern </w:t>
      </w:r>
      <w:r w:rsidR="008B579A">
        <w:rPr>
          <w:sz w:val="20"/>
        </w:rPr>
        <w:t>is that a judge will be biased towards himself if he has also acted as a prosecutor</w:t>
      </w:r>
    </w:p>
    <w:p w14:paraId="0EA0BC41" w14:textId="3F8ED6F9" w:rsidR="005B1592" w:rsidRDefault="00E51919" w:rsidP="00471C75">
      <w:pPr>
        <w:pStyle w:val="ListParagraph"/>
        <w:numPr>
          <w:ilvl w:val="2"/>
          <w:numId w:val="6"/>
        </w:numPr>
        <w:rPr>
          <w:sz w:val="20"/>
        </w:rPr>
      </w:pPr>
      <w:r>
        <w:rPr>
          <w:sz w:val="20"/>
        </w:rPr>
        <w:lastRenderedPageBreak/>
        <w:t>C</w:t>
      </w:r>
      <w:r w:rsidR="005B1592">
        <w:rPr>
          <w:sz w:val="20"/>
        </w:rPr>
        <w:t xml:space="preserve">ombination of investigative and adjudicative functions, without more, does not </w:t>
      </w:r>
      <w:r w:rsidR="006F2BBE">
        <w:rPr>
          <w:sz w:val="20"/>
        </w:rPr>
        <w:t xml:space="preserve">create a due process violation – </w:t>
      </w:r>
      <w:proofErr w:type="spellStart"/>
      <w:r w:rsidR="00AE0529">
        <w:rPr>
          <w:i/>
          <w:sz w:val="20"/>
        </w:rPr>
        <w:t>Wi</w:t>
      </w:r>
      <w:r w:rsidR="00606B28">
        <w:rPr>
          <w:i/>
          <w:sz w:val="20"/>
        </w:rPr>
        <w:t>throw</w:t>
      </w:r>
      <w:proofErr w:type="spellEnd"/>
      <w:r w:rsidR="006F2BBE">
        <w:rPr>
          <w:sz w:val="20"/>
        </w:rPr>
        <w:t xml:space="preserve"> (medical board)</w:t>
      </w:r>
    </w:p>
    <w:p w14:paraId="78F47D38" w14:textId="411C20A7" w:rsidR="005B1592" w:rsidRDefault="005B1592" w:rsidP="00471C75">
      <w:pPr>
        <w:pStyle w:val="ListParagraph"/>
        <w:numPr>
          <w:ilvl w:val="3"/>
          <w:numId w:val="6"/>
        </w:numPr>
        <w:rPr>
          <w:sz w:val="20"/>
        </w:rPr>
      </w:pPr>
      <w:r>
        <w:rPr>
          <w:sz w:val="20"/>
        </w:rPr>
        <w:t xml:space="preserve">Similar to </w:t>
      </w:r>
      <w:r>
        <w:rPr>
          <w:i/>
          <w:sz w:val="20"/>
        </w:rPr>
        <w:t xml:space="preserve">Vermont Yankee </w:t>
      </w:r>
      <w:r>
        <w:rPr>
          <w:sz w:val="20"/>
        </w:rPr>
        <w:t>– rejects attempt to add extra procedures</w:t>
      </w:r>
    </w:p>
    <w:p w14:paraId="7FD2F68C" w14:textId="3871484A" w:rsidR="007A64BA" w:rsidRDefault="00A9367E" w:rsidP="00471C75">
      <w:pPr>
        <w:pStyle w:val="ListParagraph"/>
        <w:numPr>
          <w:ilvl w:val="1"/>
          <w:numId w:val="6"/>
        </w:numPr>
        <w:rPr>
          <w:sz w:val="20"/>
        </w:rPr>
      </w:pPr>
      <w:r>
        <w:rPr>
          <w:sz w:val="20"/>
        </w:rPr>
        <w:t>Three sources of bias law: 1) J</w:t>
      </w:r>
      <w:r w:rsidR="007A64BA">
        <w:rPr>
          <w:sz w:val="20"/>
        </w:rPr>
        <w:t>udicial bias</w:t>
      </w:r>
      <w:r>
        <w:rPr>
          <w:sz w:val="20"/>
        </w:rPr>
        <w:t xml:space="preserve"> statutes, 2) Due p</w:t>
      </w:r>
      <w:r w:rsidR="007A64BA">
        <w:rPr>
          <w:sz w:val="20"/>
        </w:rPr>
        <w:t>r</w:t>
      </w:r>
      <w:r>
        <w:rPr>
          <w:sz w:val="20"/>
        </w:rPr>
        <w:t xml:space="preserve">ocess &amp; 3) ABA ethics </w:t>
      </w:r>
      <w:r w:rsidR="007A64BA">
        <w:rPr>
          <w:sz w:val="20"/>
        </w:rPr>
        <w:t>guidelines</w:t>
      </w:r>
    </w:p>
    <w:p w14:paraId="13795EAF" w14:textId="32962B29" w:rsidR="007A64BA" w:rsidRDefault="007A64BA" w:rsidP="00471C75">
      <w:pPr>
        <w:pStyle w:val="ListParagraph"/>
        <w:numPr>
          <w:ilvl w:val="1"/>
          <w:numId w:val="6"/>
        </w:numPr>
        <w:rPr>
          <w:sz w:val="20"/>
        </w:rPr>
      </w:pPr>
      <w:r>
        <w:rPr>
          <w:sz w:val="20"/>
        </w:rPr>
        <w:t>Recognized sources of impermissible bias are:</w:t>
      </w:r>
    </w:p>
    <w:p w14:paraId="75A3A087" w14:textId="45E48D6D" w:rsidR="007A64BA" w:rsidRDefault="007A64BA" w:rsidP="00471C75">
      <w:pPr>
        <w:pStyle w:val="ListParagraph"/>
        <w:numPr>
          <w:ilvl w:val="2"/>
          <w:numId w:val="6"/>
        </w:numPr>
        <w:rPr>
          <w:sz w:val="20"/>
        </w:rPr>
      </w:pPr>
      <w:r>
        <w:rPr>
          <w:sz w:val="20"/>
        </w:rPr>
        <w:t>Personal interest (pecuniary, nepotism, etc.)</w:t>
      </w:r>
    </w:p>
    <w:p w14:paraId="6C1269C8" w14:textId="4C306015" w:rsidR="00F04507" w:rsidRDefault="00F04507" w:rsidP="00471C75">
      <w:pPr>
        <w:pStyle w:val="ListParagraph"/>
        <w:numPr>
          <w:ilvl w:val="3"/>
          <w:numId w:val="6"/>
        </w:numPr>
        <w:rPr>
          <w:sz w:val="20"/>
        </w:rPr>
      </w:pPr>
      <w:r>
        <w:rPr>
          <w:sz w:val="20"/>
        </w:rPr>
        <w:t xml:space="preserve">Personal bias is a matter of degree </w:t>
      </w:r>
      <w:r w:rsidR="006F2BBE">
        <w:rPr>
          <w:sz w:val="20"/>
        </w:rPr>
        <w:t xml:space="preserve">– </w:t>
      </w:r>
      <w:r w:rsidR="006F2BBE">
        <w:rPr>
          <w:i/>
          <w:sz w:val="20"/>
        </w:rPr>
        <w:t>Monroeville</w:t>
      </w:r>
      <w:r w:rsidR="006F2BBE">
        <w:rPr>
          <w:sz w:val="20"/>
        </w:rPr>
        <w:t xml:space="preserve"> (</w:t>
      </w:r>
      <w:r w:rsidR="00B03AAF">
        <w:rPr>
          <w:sz w:val="20"/>
        </w:rPr>
        <w:t>50% of a city’s funds that come from traffic violations is too far over</w:t>
      </w:r>
      <w:r w:rsidR="006F2BBE">
        <w:rPr>
          <w:sz w:val="20"/>
        </w:rPr>
        <w:t xml:space="preserve"> the line)</w:t>
      </w:r>
    </w:p>
    <w:p w14:paraId="1AD5CE0F" w14:textId="51B11F82" w:rsidR="00BC5A1F" w:rsidRDefault="00BC5A1F" w:rsidP="00471C75">
      <w:pPr>
        <w:pStyle w:val="ListParagraph"/>
        <w:numPr>
          <w:ilvl w:val="3"/>
          <w:numId w:val="6"/>
        </w:numPr>
        <w:rPr>
          <w:sz w:val="20"/>
        </w:rPr>
      </w:pPr>
      <w:r>
        <w:rPr>
          <w:sz w:val="20"/>
        </w:rPr>
        <w:t>Self-regulatory groups are biased, but so are the parties t</w:t>
      </w:r>
      <w:r w:rsidR="00676B0D">
        <w:rPr>
          <w:sz w:val="20"/>
        </w:rPr>
        <w:t xml:space="preserve">hey regulate! This is the </w:t>
      </w:r>
      <w:r w:rsidR="006F2BBE">
        <w:rPr>
          <w:sz w:val="20"/>
        </w:rPr>
        <w:t xml:space="preserve">expertise-bias tradeoff – </w:t>
      </w:r>
      <w:r>
        <w:rPr>
          <w:i/>
          <w:sz w:val="20"/>
        </w:rPr>
        <w:t xml:space="preserve">Berryhill </w:t>
      </w:r>
      <w:r w:rsidR="006F2BBE">
        <w:rPr>
          <w:sz w:val="20"/>
        </w:rPr>
        <w:t>(</w:t>
      </w:r>
      <w:r>
        <w:rPr>
          <w:sz w:val="20"/>
        </w:rPr>
        <w:t>other than licensed optometr</w:t>
      </w:r>
      <w:r w:rsidR="00676B0D">
        <w:rPr>
          <w:sz w:val="20"/>
        </w:rPr>
        <w:t>ists, who else has</w:t>
      </w:r>
      <w:r>
        <w:rPr>
          <w:sz w:val="20"/>
        </w:rPr>
        <w:t xml:space="preserve"> expertise to</w:t>
      </w:r>
      <w:r w:rsidR="00676B0D">
        <w:rPr>
          <w:sz w:val="20"/>
        </w:rPr>
        <w:t xml:space="preserve"> regulate </w:t>
      </w:r>
      <w:r>
        <w:rPr>
          <w:sz w:val="20"/>
        </w:rPr>
        <w:t>state’s optometry practices?)</w:t>
      </w:r>
    </w:p>
    <w:p w14:paraId="7BC5CB04" w14:textId="73FCE406" w:rsidR="00BC5A1F" w:rsidRDefault="00E51919" w:rsidP="00471C75">
      <w:pPr>
        <w:pStyle w:val="ListParagraph"/>
        <w:numPr>
          <w:ilvl w:val="3"/>
          <w:numId w:val="6"/>
        </w:numPr>
        <w:rPr>
          <w:sz w:val="20"/>
        </w:rPr>
      </w:pPr>
      <w:r>
        <w:rPr>
          <w:sz w:val="20"/>
        </w:rPr>
        <w:t>G</w:t>
      </w:r>
      <w:r w:rsidR="00BC5A1F">
        <w:rPr>
          <w:sz w:val="20"/>
        </w:rPr>
        <w:t xml:space="preserve">ratitude might be a cognizable source of bias </w:t>
      </w:r>
      <w:r w:rsidR="006F2BBE">
        <w:rPr>
          <w:sz w:val="20"/>
        </w:rPr>
        <w:t xml:space="preserve">– </w:t>
      </w:r>
      <w:r w:rsidR="00BC5A1F">
        <w:rPr>
          <w:i/>
          <w:sz w:val="20"/>
        </w:rPr>
        <w:t>Massey Coal</w:t>
      </w:r>
      <w:r w:rsidR="006F2BBE">
        <w:rPr>
          <w:sz w:val="20"/>
        </w:rPr>
        <w:t xml:space="preserve"> (</w:t>
      </w:r>
      <w:r w:rsidR="00BC5A1F">
        <w:rPr>
          <w:sz w:val="20"/>
        </w:rPr>
        <w:t>donor to judge’s election fund has landmark case heard b</w:t>
      </w:r>
      <w:r w:rsidR="006F2BBE">
        <w:rPr>
          <w:sz w:val="20"/>
        </w:rPr>
        <w:t>y court on which the judge sits)</w:t>
      </w:r>
    </w:p>
    <w:p w14:paraId="7D03B130" w14:textId="44C9311C" w:rsidR="007F0AB2" w:rsidRDefault="00E36927" w:rsidP="00471C75">
      <w:pPr>
        <w:pStyle w:val="ListParagraph"/>
        <w:numPr>
          <w:ilvl w:val="4"/>
          <w:numId w:val="6"/>
        </w:numPr>
        <w:rPr>
          <w:sz w:val="20"/>
        </w:rPr>
      </w:pPr>
      <w:r>
        <w:rPr>
          <w:sz w:val="20"/>
        </w:rPr>
        <w:t>AV thinks some</w:t>
      </w:r>
      <w:r w:rsidR="007F0AB2">
        <w:rPr>
          <w:sz w:val="20"/>
        </w:rPr>
        <w:t xml:space="preserve"> limiting principle is needed, such as pecuniary interest</w:t>
      </w:r>
    </w:p>
    <w:p w14:paraId="1978789F" w14:textId="6A639933" w:rsidR="007A64BA" w:rsidRPr="00BC5A1F" w:rsidRDefault="007A64BA" w:rsidP="00471C75">
      <w:pPr>
        <w:pStyle w:val="ListParagraph"/>
        <w:numPr>
          <w:ilvl w:val="2"/>
          <w:numId w:val="6"/>
        </w:numPr>
        <w:rPr>
          <w:i/>
          <w:sz w:val="20"/>
        </w:rPr>
      </w:pPr>
      <w:r>
        <w:rPr>
          <w:sz w:val="20"/>
        </w:rPr>
        <w:t>Personal animus (as in contempt proceedings)</w:t>
      </w:r>
    </w:p>
    <w:p w14:paraId="39C49E22" w14:textId="6B555C3A" w:rsidR="007A64BA" w:rsidRDefault="007A64BA" w:rsidP="00471C75">
      <w:pPr>
        <w:pStyle w:val="ListParagraph"/>
        <w:numPr>
          <w:ilvl w:val="2"/>
          <w:numId w:val="6"/>
        </w:numPr>
        <w:rPr>
          <w:sz w:val="20"/>
        </w:rPr>
      </w:pPr>
      <w:r>
        <w:rPr>
          <w:sz w:val="20"/>
        </w:rPr>
        <w:t>Prejudgment of facts in adjudication</w:t>
      </w:r>
    </w:p>
    <w:p w14:paraId="44C0193B" w14:textId="19574910" w:rsidR="007A64BA" w:rsidRDefault="007A64BA" w:rsidP="00471C75">
      <w:pPr>
        <w:pStyle w:val="ListParagraph"/>
        <w:numPr>
          <w:ilvl w:val="1"/>
          <w:numId w:val="6"/>
        </w:numPr>
        <w:rPr>
          <w:sz w:val="20"/>
        </w:rPr>
      </w:pPr>
      <w:r>
        <w:rPr>
          <w:sz w:val="20"/>
        </w:rPr>
        <w:t>Three limits on bias doctrine include:</w:t>
      </w:r>
    </w:p>
    <w:p w14:paraId="449A9D17" w14:textId="7391D8D8" w:rsidR="007A64BA" w:rsidRDefault="007A64BA" w:rsidP="00471C75">
      <w:pPr>
        <w:pStyle w:val="ListParagraph"/>
        <w:numPr>
          <w:ilvl w:val="2"/>
          <w:numId w:val="6"/>
        </w:numPr>
        <w:rPr>
          <w:sz w:val="20"/>
        </w:rPr>
      </w:pPr>
      <w:r>
        <w:rPr>
          <w:sz w:val="20"/>
        </w:rPr>
        <w:t>Rule of necessity (a biased forum to have case heard is better than none at all)</w:t>
      </w:r>
    </w:p>
    <w:p w14:paraId="33692EB7" w14:textId="58DCCC34" w:rsidR="00635187" w:rsidRPr="00635187" w:rsidRDefault="007A64BA" w:rsidP="00471C75">
      <w:pPr>
        <w:pStyle w:val="ListParagraph"/>
        <w:numPr>
          <w:ilvl w:val="3"/>
          <w:numId w:val="6"/>
        </w:numPr>
        <w:rPr>
          <w:sz w:val="20"/>
        </w:rPr>
      </w:pPr>
      <w:r>
        <w:rPr>
          <w:sz w:val="20"/>
        </w:rPr>
        <w:t>AV thinks this is not necessarily the case</w:t>
      </w:r>
    </w:p>
    <w:p w14:paraId="24BFF7BE" w14:textId="453E6BDF" w:rsidR="007A64BA" w:rsidRDefault="007A64BA" w:rsidP="00471C75">
      <w:pPr>
        <w:pStyle w:val="ListParagraph"/>
        <w:numPr>
          <w:ilvl w:val="2"/>
          <w:numId w:val="6"/>
        </w:numPr>
        <w:rPr>
          <w:sz w:val="20"/>
        </w:rPr>
      </w:pPr>
      <w:r>
        <w:rPr>
          <w:sz w:val="20"/>
        </w:rPr>
        <w:t>Separation of functions is not constitutionally required</w:t>
      </w:r>
    </w:p>
    <w:p w14:paraId="06BD18FD" w14:textId="282A65ED" w:rsidR="007A64BA" w:rsidRPr="007A64BA" w:rsidRDefault="007A64BA" w:rsidP="00471C75">
      <w:pPr>
        <w:pStyle w:val="ListParagraph"/>
        <w:numPr>
          <w:ilvl w:val="2"/>
          <w:numId w:val="6"/>
        </w:numPr>
        <w:rPr>
          <w:sz w:val="20"/>
        </w:rPr>
      </w:pPr>
      <w:r>
        <w:rPr>
          <w:sz w:val="20"/>
        </w:rPr>
        <w:t>Bias must arise from an extrajudicial source</w:t>
      </w:r>
    </w:p>
    <w:p w14:paraId="0E57E842" w14:textId="77777777" w:rsidR="006F2BBE" w:rsidRDefault="006F2BBE" w:rsidP="006F2BBE">
      <w:pPr>
        <w:pStyle w:val="ListParagraph"/>
        <w:numPr>
          <w:ilvl w:val="0"/>
          <w:numId w:val="6"/>
        </w:numPr>
        <w:rPr>
          <w:sz w:val="20"/>
        </w:rPr>
      </w:pPr>
      <w:r>
        <w:rPr>
          <w:sz w:val="20"/>
        </w:rPr>
        <w:t xml:space="preserve">The </w:t>
      </w:r>
      <w:r>
        <w:rPr>
          <w:i/>
          <w:sz w:val="20"/>
        </w:rPr>
        <w:t xml:space="preserve">Morgan </w:t>
      </w:r>
      <w:r>
        <w:rPr>
          <w:sz w:val="20"/>
        </w:rPr>
        <w:t>series of cases is another example of eventual deferral to agency discretion</w:t>
      </w:r>
    </w:p>
    <w:p w14:paraId="5D75F57B" w14:textId="77777777" w:rsidR="006F2BBE" w:rsidRDefault="006F2BBE" w:rsidP="006F2BBE">
      <w:pPr>
        <w:pStyle w:val="ListParagraph"/>
        <w:numPr>
          <w:ilvl w:val="1"/>
          <w:numId w:val="6"/>
        </w:numPr>
        <w:rPr>
          <w:sz w:val="20"/>
        </w:rPr>
      </w:pPr>
      <w:r>
        <w:rPr>
          <w:i/>
          <w:sz w:val="20"/>
        </w:rPr>
        <w:t xml:space="preserve">Morgan I </w:t>
      </w:r>
      <w:r>
        <w:rPr>
          <w:sz w:val="20"/>
        </w:rPr>
        <w:t xml:space="preserve">leads with the proposition that “the one who decides must hear”. By </w:t>
      </w:r>
      <w:r>
        <w:rPr>
          <w:i/>
          <w:sz w:val="20"/>
        </w:rPr>
        <w:t xml:space="preserve">Morgan IV </w:t>
      </w:r>
      <w:r>
        <w:rPr>
          <w:sz w:val="20"/>
        </w:rPr>
        <w:t>this has moved to “personal familiarity” with the facts of the case</w:t>
      </w:r>
    </w:p>
    <w:p w14:paraId="115750CB" w14:textId="77777777" w:rsidR="006F2BBE" w:rsidRDefault="006F2BBE" w:rsidP="006F2BBE">
      <w:pPr>
        <w:pStyle w:val="ListParagraph"/>
        <w:numPr>
          <w:ilvl w:val="1"/>
          <w:numId w:val="6"/>
        </w:numPr>
        <w:rPr>
          <w:sz w:val="20"/>
        </w:rPr>
      </w:pPr>
      <w:r>
        <w:rPr>
          <w:i/>
          <w:sz w:val="20"/>
        </w:rPr>
        <w:t xml:space="preserve">Morgan II </w:t>
      </w:r>
      <w:r>
        <w:rPr>
          <w:sz w:val="20"/>
        </w:rPr>
        <w:t>adds the critical injunction that courts “may not probe a decision-maker’s mental processes” to see if he actually “made the decision” or not</w:t>
      </w:r>
    </w:p>
    <w:p w14:paraId="5DC33ECE" w14:textId="77777777" w:rsidR="006F2BBE" w:rsidRDefault="006F2BBE" w:rsidP="006F2BBE">
      <w:pPr>
        <w:pStyle w:val="ListParagraph"/>
        <w:numPr>
          <w:ilvl w:val="2"/>
          <w:numId w:val="6"/>
        </w:numPr>
        <w:rPr>
          <w:sz w:val="20"/>
        </w:rPr>
      </w:pPr>
      <w:r>
        <w:rPr>
          <w:sz w:val="20"/>
        </w:rPr>
        <w:t>It is effectively impossible to determine if a decision-maker had “personal familiarity”!</w:t>
      </w:r>
    </w:p>
    <w:p w14:paraId="264D547B" w14:textId="77777777" w:rsidR="006F2BBE" w:rsidRDefault="006F2BBE" w:rsidP="006F2BBE">
      <w:pPr>
        <w:pStyle w:val="ListParagraph"/>
        <w:numPr>
          <w:ilvl w:val="0"/>
          <w:numId w:val="6"/>
        </w:numPr>
        <w:rPr>
          <w:sz w:val="20"/>
        </w:rPr>
      </w:pPr>
      <w:r>
        <w:rPr>
          <w:sz w:val="20"/>
        </w:rPr>
        <w:t xml:space="preserve">Officers are presumed, absent a showing of bad faith, to wield their power according to law (“presumption of regularity”) – </w:t>
      </w:r>
      <w:r>
        <w:rPr>
          <w:i/>
          <w:sz w:val="20"/>
        </w:rPr>
        <w:t>National Nutritional Foods Association</w:t>
      </w:r>
    </w:p>
    <w:p w14:paraId="60751081" w14:textId="6A188981" w:rsidR="006F2BBE" w:rsidRPr="006F2BBE" w:rsidRDefault="006F2BBE" w:rsidP="006F2BBE">
      <w:pPr>
        <w:pStyle w:val="ListParagraph"/>
        <w:numPr>
          <w:ilvl w:val="1"/>
          <w:numId w:val="6"/>
        </w:numPr>
        <w:rPr>
          <w:sz w:val="20"/>
        </w:rPr>
      </w:pPr>
      <w:r>
        <w:rPr>
          <w:sz w:val="20"/>
        </w:rPr>
        <w:t>If bad faith is shown, reasons might be required</w:t>
      </w:r>
    </w:p>
    <w:p w14:paraId="1C21C345" w14:textId="345A8BC7" w:rsidR="007A64BA" w:rsidRPr="00635187" w:rsidRDefault="007A64BA" w:rsidP="00471C75">
      <w:pPr>
        <w:pStyle w:val="ListParagraph"/>
        <w:numPr>
          <w:ilvl w:val="0"/>
          <w:numId w:val="6"/>
        </w:numPr>
      </w:pPr>
      <w:r>
        <w:rPr>
          <w:sz w:val="20"/>
        </w:rPr>
        <w:t>Separation of judicial and advocacy functions under §554(d) does not apply in rulemaking, informal adjudication, listed exceptions of §554(</w:t>
      </w:r>
      <w:r w:rsidR="00E51919">
        <w:rPr>
          <w:sz w:val="20"/>
        </w:rPr>
        <w:t>d) or top-level</w:t>
      </w:r>
      <w:r>
        <w:rPr>
          <w:sz w:val="20"/>
        </w:rPr>
        <w:t xml:space="preserve"> </w:t>
      </w:r>
      <w:r w:rsidR="00E51919">
        <w:rPr>
          <w:sz w:val="20"/>
        </w:rPr>
        <w:t>agency review</w:t>
      </w:r>
    </w:p>
    <w:p w14:paraId="6851A406" w14:textId="4C0446B0" w:rsidR="00635187" w:rsidRPr="007A64BA" w:rsidRDefault="00635187" w:rsidP="00471C75">
      <w:pPr>
        <w:pStyle w:val="ListParagraph"/>
        <w:numPr>
          <w:ilvl w:val="1"/>
          <w:numId w:val="6"/>
        </w:numPr>
      </w:pPr>
      <w:r>
        <w:rPr>
          <w:sz w:val="20"/>
        </w:rPr>
        <w:t>Agency heads cannot be disqualified from adjudications by completing studies a</w:t>
      </w:r>
      <w:r w:rsidR="00796B50">
        <w:rPr>
          <w:sz w:val="20"/>
        </w:rPr>
        <w:t>nd filing reports. Otherwise</w:t>
      </w:r>
      <w:r>
        <w:rPr>
          <w:sz w:val="20"/>
        </w:rPr>
        <w:t>, no order on the subject of the research could ever be made, since agency is the only body with the relevant expertise (not to mention Congressional authority)</w:t>
      </w:r>
    </w:p>
    <w:p w14:paraId="0D1C2975" w14:textId="77777777" w:rsidR="00E93BEE" w:rsidRDefault="00E93BEE" w:rsidP="00471C75">
      <w:pPr>
        <w:pStyle w:val="ListParagraph"/>
        <w:numPr>
          <w:ilvl w:val="0"/>
          <w:numId w:val="6"/>
        </w:numPr>
        <w:rPr>
          <w:sz w:val="20"/>
        </w:rPr>
      </w:pPr>
      <w:r>
        <w:rPr>
          <w:sz w:val="20"/>
        </w:rPr>
        <w:t>§554(d) imposes three basic requirements for formal adjudications:</w:t>
      </w:r>
    </w:p>
    <w:p w14:paraId="26A9E4A0" w14:textId="74D5B4C6" w:rsidR="00E93BEE" w:rsidRDefault="00E93BEE" w:rsidP="00471C75">
      <w:pPr>
        <w:pStyle w:val="ListParagraph"/>
        <w:numPr>
          <w:ilvl w:val="1"/>
          <w:numId w:val="6"/>
        </w:numPr>
        <w:rPr>
          <w:sz w:val="20"/>
        </w:rPr>
      </w:pPr>
      <w:r>
        <w:rPr>
          <w:sz w:val="20"/>
        </w:rPr>
        <w:t>Presiding employee may not consult a person or party on a fact in issue, unless on notice and opportunity for all parties to participate</w:t>
      </w:r>
    </w:p>
    <w:p w14:paraId="3C795CF9" w14:textId="0B9DDCA4" w:rsidR="00D63D04" w:rsidRDefault="00D63D04" w:rsidP="00471C75">
      <w:pPr>
        <w:pStyle w:val="ListParagraph"/>
        <w:numPr>
          <w:ilvl w:val="2"/>
          <w:numId w:val="6"/>
        </w:numPr>
        <w:rPr>
          <w:sz w:val="20"/>
        </w:rPr>
      </w:pPr>
      <w:r>
        <w:rPr>
          <w:sz w:val="20"/>
        </w:rPr>
        <w:t>Staff contacts b</w:t>
      </w:r>
      <w:r w:rsidR="00E93BEE">
        <w:rPr>
          <w:sz w:val="20"/>
        </w:rPr>
        <w:t>y administrative</w:t>
      </w:r>
      <w:r>
        <w:rPr>
          <w:sz w:val="20"/>
        </w:rPr>
        <w:t xml:space="preserve"> decision-makers (even in formal rulemaking)</w:t>
      </w:r>
      <w:r w:rsidR="000D4618">
        <w:rPr>
          <w:sz w:val="20"/>
        </w:rPr>
        <w:t xml:space="preserve"> are not proscribed by §554(d) – </w:t>
      </w:r>
      <w:r>
        <w:rPr>
          <w:i/>
          <w:sz w:val="20"/>
        </w:rPr>
        <w:t>Hercules</w:t>
      </w:r>
    </w:p>
    <w:p w14:paraId="134ADC3C" w14:textId="6B1DC275" w:rsidR="00D63D04" w:rsidRDefault="00D63D04" w:rsidP="00471C75">
      <w:pPr>
        <w:pStyle w:val="ListParagraph"/>
        <w:numPr>
          <w:ilvl w:val="3"/>
          <w:numId w:val="6"/>
        </w:numPr>
        <w:rPr>
          <w:sz w:val="20"/>
        </w:rPr>
      </w:pPr>
      <w:r>
        <w:rPr>
          <w:sz w:val="20"/>
        </w:rPr>
        <w:t xml:space="preserve">Courts are queasy at the concept of unmonitored interaction between </w:t>
      </w:r>
      <w:r w:rsidR="00E93BEE">
        <w:rPr>
          <w:sz w:val="20"/>
        </w:rPr>
        <w:t xml:space="preserve">rule makers </w:t>
      </w:r>
      <w:r>
        <w:rPr>
          <w:sz w:val="20"/>
        </w:rPr>
        <w:t>and advocates, and plead for congressional interference</w:t>
      </w:r>
    </w:p>
    <w:p w14:paraId="6604D623" w14:textId="0336E267" w:rsidR="00D63D04" w:rsidRDefault="00D63D04" w:rsidP="00471C75">
      <w:pPr>
        <w:pStyle w:val="ListParagraph"/>
        <w:numPr>
          <w:ilvl w:val="3"/>
          <w:numId w:val="6"/>
        </w:numPr>
        <w:rPr>
          <w:sz w:val="20"/>
        </w:rPr>
      </w:pPr>
      <w:r>
        <w:rPr>
          <w:i/>
          <w:sz w:val="20"/>
        </w:rPr>
        <w:t xml:space="preserve">Hercules </w:t>
      </w:r>
      <w:r>
        <w:rPr>
          <w:sz w:val="20"/>
        </w:rPr>
        <w:t>is a compressed cycle that ends with unfettered agency discre</w:t>
      </w:r>
      <w:r w:rsidR="00E36927">
        <w:rPr>
          <w:sz w:val="20"/>
        </w:rPr>
        <w:t xml:space="preserve">tion – </w:t>
      </w:r>
      <w:r>
        <w:rPr>
          <w:sz w:val="20"/>
        </w:rPr>
        <w:t xml:space="preserve">petitioners try to get </w:t>
      </w:r>
      <w:r w:rsidR="00A66084">
        <w:rPr>
          <w:i/>
          <w:sz w:val="20"/>
        </w:rPr>
        <w:t>HBO</w:t>
      </w:r>
      <w:r>
        <w:rPr>
          <w:i/>
          <w:sz w:val="20"/>
        </w:rPr>
        <w:t xml:space="preserve"> </w:t>
      </w:r>
      <w:r>
        <w:rPr>
          <w:sz w:val="20"/>
        </w:rPr>
        <w:t xml:space="preserve">2.0, </w:t>
      </w:r>
      <w:r w:rsidR="00E36927">
        <w:rPr>
          <w:sz w:val="20"/>
        </w:rPr>
        <w:t>court</w:t>
      </w:r>
      <w:r w:rsidR="0051110E">
        <w:rPr>
          <w:sz w:val="20"/>
        </w:rPr>
        <w:t>s express angst, but reject</w:t>
      </w:r>
    </w:p>
    <w:p w14:paraId="5DB062AF" w14:textId="6E3313B8" w:rsidR="00E93BEE" w:rsidRDefault="00E93BEE" w:rsidP="00471C75">
      <w:pPr>
        <w:pStyle w:val="ListParagraph"/>
        <w:numPr>
          <w:ilvl w:val="1"/>
          <w:numId w:val="6"/>
        </w:numPr>
        <w:rPr>
          <w:sz w:val="20"/>
        </w:rPr>
      </w:pPr>
      <w:r>
        <w:rPr>
          <w:sz w:val="20"/>
        </w:rPr>
        <w:t>Presiding employee cannot be subject to the direction of an agency employee involved in investigative or prosecuting functions</w:t>
      </w:r>
    </w:p>
    <w:p w14:paraId="6FAEA29D" w14:textId="4B74C2CF" w:rsidR="001346CF" w:rsidRDefault="00E93BEE" w:rsidP="00471C75">
      <w:pPr>
        <w:pStyle w:val="ListParagraph"/>
        <w:numPr>
          <w:ilvl w:val="1"/>
          <w:numId w:val="6"/>
        </w:numPr>
        <w:rPr>
          <w:sz w:val="20"/>
        </w:rPr>
      </w:pPr>
      <w:r>
        <w:rPr>
          <w:sz w:val="20"/>
        </w:rPr>
        <w:t>No agency employee who investigates/prosecutes a case may, in that case or a factually related case, participate or advise in the decision</w:t>
      </w:r>
    </w:p>
    <w:p w14:paraId="59625751" w14:textId="15682F4F" w:rsidR="001346CF" w:rsidRDefault="001346CF" w:rsidP="00471C75">
      <w:pPr>
        <w:pStyle w:val="ListParagraph"/>
        <w:numPr>
          <w:ilvl w:val="0"/>
          <w:numId w:val="6"/>
        </w:numPr>
        <w:rPr>
          <w:sz w:val="20"/>
        </w:rPr>
      </w:pPr>
      <w:r>
        <w:rPr>
          <w:sz w:val="20"/>
        </w:rPr>
        <w:t xml:space="preserve">Agencies have substantial leeway in structuring </w:t>
      </w:r>
      <w:r w:rsidR="00F33313">
        <w:rPr>
          <w:sz w:val="20"/>
        </w:rPr>
        <w:t xml:space="preserve">ALJ </w:t>
      </w:r>
      <w:r>
        <w:rPr>
          <w:sz w:val="20"/>
        </w:rPr>
        <w:t>perf</w:t>
      </w:r>
      <w:r w:rsidR="000D4618">
        <w:rPr>
          <w:sz w:val="20"/>
        </w:rPr>
        <w:t xml:space="preserve">ormance/evaluation schemes – </w:t>
      </w:r>
      <w:r>
        <w:rPr>
          <w:i/>
          <w:sz w:val="20"/>
        </w:rPr>
        <w:t>Nash v. Bowen</w:t>
      </w:r>
    </w:p>
    <w:p w14:paraId="70C0E82E" w14:textId="1CE5263D" w:rsidR="001346CF" w:rsidRDefault="001346CF" w:rsidP="00471C75">
      <w:pPr>
        <w:pStyle w:val="ListParagraph"/>
        <w:numPr>
          <w:ilvl w:val="1"/>
          <w:numId w:val="6"/>
        </w:numPr>
        <w:rPr>
          <w:sz w:val="20"/>
        </w:rPr>
      </w:pPr>
      <w:r>
        <w:rPr>
          <w:sz w:val="20"/>
        </w:rPr>
        <w:lastRenderedPageBreak/>
        <w:t>Courts appear to be uncomfortable with reviewing schemes that ask what kind of decisions ALJs make (favorable to government or claimant), but ultimately approves</w:t>
      </w:r>
    </w:p>
    <w:p w14:paraId="4E6D7563" w14:textId="4BB293FA" w:rsidR="007A64BA" w:rsidRDefault="00F33313" w:rsidP="00471C75">
      <w:pPr>
        <w:pStyle w:val="ListParagraph"/>
        <w:numPr>
          <w:ilvl w:val="1"/>
          <w:numId w:val="6"/>
        </w:numPr>
        <w:rPr>
          <w:sz w:val="20"/>
        </w:rPr>
      </w:pPr>
      <w:r>
        <w:rPr>
          <w:sz w:val="20"/>
        </w:rPr>
        <w:t xml:space="preserve">Agencies may </w:t>
      </w:r>
      <w:r>
        <w:rPr>
          <w:i/>
          <w:sz w:val="20"/>
        </w:rPr>
        <w:t xml:space="preserve">not </w:t>
      </w:r>
      <w:r>
        <w:rPr>
          <w:sz w:val="20"/>
        </w:rPr>
        <w:t>punish ALJs for their decision in any particular case or series of cases</w:t>
      </w:r>
    </w:p>
    <w:p w14:paraId="200C8DD2" w14:textId="7E4B8ECD" w:rsidR="00233D5C" w:rsidRDefault="00233D5C" w:rsidP="00233D5C">
      <w:pPr>
        <w:pStyle w:val="Heading3"/>
        <w:rPr>
          <w:sz w:val="22"/>
        </w:rPr>
      </w:pPr>
      <w:r w:rsidRPr="00233D5C">
        <w:rPr>
          <w:sz w:val="22"/>
        </w:rPr>
        <w:t>Fact</w:t>
      </w:r>
    </w:p>
    <w:p w14:paraId="33B23A25" w14:textId="72A2F075" w:rsidR="0063164C" w:rsidRPr="00870A3B" w:rsidRDefault="008A58A2" w:rsidP="00471C75">
      <w:pPr>
        <w:pStyle w:val="ListParagraph"/>
        <w:numPr>
          <w:ilvl w:val="0"/>
          <w:numId w:val="7"/>
        </w:numPr>
      </w:pPr>
      <w:r>
        <w:rPr>
          <w:sz w:val="20"/>
        </w:rPr>
        <w:t>Under §706</w:t>
      </w:r>
      <w:r w:rsidR="00870A3B">
        <w:rPr>
          <w:sz w:val="20"/>
        </w:rPr>
        <w:t xml:space="preserve"> (only ap</w:t>
      </w:r>
      <w:r w:rsidR="009138A7">
        <w:rPr>
          <w:sz w:val="20"/>
        </w:rPr>
        <w:t>plies to formal proceedings</w:t>
      </w:r>
      <w:r w:rsidR="00870A3B">
        <w:rPr>
          <w:sz w:val="20"/>
        </w:rPr>
        <w:t>)</w:t>
      </w:r>
      <w:r>
        <w:rPr>
          <w:sz w:val="20"/>
        </w:rPr>
        <w:t>, courts must make decisions “on the whole record” and cannot examine just one side</w:t>
      </w:r>
      <w:r w:rsidR="00231C5E">
        <w:rPr>
          <w:sz w:val="20"/>
        </w:rPr>
        <w:t xml:space="preserve"> (“substantial evidence”)</w:t>
      </w:r>
    </w:p>
    <w:p w14:paraId="750B8121" w14:textId="0F8E7423" w:rsidR="00870A3B" w:rsidRPr="00611047" w:rsidRDefault="00870A3B" w:rsidP="00870A3B">
      <w:pPr>
        <w:pStyle w:val="ListParagraph"/>
        <w:numPr>
          <w:ilvl w:val="1"/>
          <w:numId w:val="7"/>
        </w:numPr>
      </w:pPr>
      <w:r>
        <w:rPr>
          <w:sz w:val="20"/>
        </w:rPr>
        <w:t>Facts in ever</w:t>
      </w:r>
      <w:r w:rsidR="006C4251">
        <w:rPr>
          <w:sz w:val="20"/>
        </w:rPr>
        <w:t>y other setting</w:t>
      </w:r>
      <w:r>
        <w:rPr>
          <w:sz w:val="20"/>
        </w:rPr>
        <w:t xml:space="preserve"> are reviewed for arbitrariness</w:t>
      </w:r>
    </w:p>
    <w:p w14:paraId="670A1451" w14:textId="3B6810E8" w:rsidR="00611047" w:rsidRPr="008A58A2" w:rsidRDefault="00611047" w:rsidP="00611047">
      <w:pPr>
        <w:pStyle w:val="ListParagraph"/>
        <w:numPr>
          <w:ilvl w:val="2"/>
          <w:numId w:val="7"/>
        </w:numPr>
      </w:pPr>
      <w:r>
        <w:rPr>
          <w:sz w:val="20"/>
        </w:rPr>
        <w:t>Consists of two parts: Plausible conclusions and adequate reason-giving</w:t>
      </w:r>
    </w:p>
    <w:p w14:paraId="20E65931" w14:textId="6502BC43" w:rsidR="008A58A2" w:rsidRPr="008A58A2" w:rsidRDefault="008A58A2" w:rsidP="00471C75">
      <w:pPr>
        <w:pStyle w:val="ListParagraph"/>
        <w:numPr>
          <w:ilvl w:val="1"/>
          <w:numId w:val="7"/>
        </w:numPr>
      </w:pPr>
      <w:r>
        <w:rPr>
          <w:sz w:val="20"/>
        </w:rPr>
        <w:t>ALJ determinations can get weight, especially if the agency reaches a different conclusion and credibility determinations were valuable to the ALJ’s conclusion</w:t>
      </w:r>
      <w:r w:rsidR="006C4251">
        <w:rPr>
          <w:sz w:val="20"/>
        </w:rPr>
        <w:t xml:space="preserve"> – </w:t>
      </w:r>
      <w:r w:rsidR="00FF7670">
        <w:rPr>
          <w:i/>
          <w:sz w:val="20"/>
        </w:rPr>
        <w:t>Universal Camera</w:t>
      </w:r>
    </w:p>
    <w:p w14:paraId="7E931061" w14:textId="454BA75E" w:rsidR="008A58A2" w:rsidRPr="00231C5E" w:rsidRDefault="008A58A2" w:rsidP="00471C75">
      <w:pPr>
        <w:pStyle w:val="ListParagraph"/>
        <w:numPr>
          <w:ilvl w:val="1"/>
          <w:numId w:val="7"/>
        </w:numPr>
      </w:pPr>
      <w:r>
        <w:rPr>
          <w:sz w:val="20"/>
        </w:rPr>
        <w:t xml:space="preserve">Agency must give good </w:t>
      </w:r>
      <w:r>
        <w:rPr>
          <w:i/>
          <w:sz w:val="20"/>
        </w:rPr>
        <w:t xml:space="preserve">reasons </w:t>
      </w:r>
      <w:r>
        <w:rPr>
          <w:sz w:val="20"/>
        </w:rPr>
        <w:t>for rejecting the ALJ’s conclusion</w:t>
      </w:r>
      <w:r w:rsidR="00DC560E">
        <w:rPr>
          <w:sz w:val="20"/>
        </w:rPr>
        <w:t xml:space="preserve"> – this is A&amp;C review!</w:t>
      </w:r>
    </w:p>
    <w:p w14:paraId="396EF24A" w14:textId="4434687A" w:rsidR="00231C5E" w:rsidRPr="00346FC9" w:rsidRDefault="00231C5E" w:rsidP="00471C75">
      <w:pPr>
        <w:pStyle w:val="ListParagraph"/>
        <w:numPr>
          <w:ilvl w:val="1"/>
          <w:numId w:val="7"/>
        </w:numPr>
      </w:pPr>
      <w:r>
        <w:rPr>
          <w:sz w:val="20"/>
        </w:rPr>
        <w:t>The norm u</w:t>
      </w:r>
      <w:r w:rsidR="00F3180A">
        <w:rPr>
          <w:sz w:val="20"/>
        </w:rPr>
        <w:t>nder substantial e</w:t>
      </w:r>
      <w:bookmarkStart w:id="0" w:name="_GoBack"/>
      <w:bookmarkEnd w:id="0"/>
      <w:r w:rsidR="00F3180A">
        <w:rPr>
          <w:sz w:val="20"/>
        </w:rPr>
        <w:t xml:space="preserve">vidence is that agencies win – it’s </w:t>
      </w:r>
      <w:r>
        <w:rPr>
          <w:sz w:val="20"/>
        </w:rPr>
        <w:t>a very deferential standard</w:t>
      </w:r>
    </w:p>
    <w:p w14:paraId="23A6A677" w14:textId="50B21DAD" w:rsidR="00346FC9" w:rsidRPr="00B72013" w:rsidRDefault="00346FC9" w:rsidP="00471C75">
      <w:pPr>
        <w:pStyle w:val="ListParagraph"/>
        <w:numPr>
          <w:ilvl w:val="0"/>
          <w:numId w:val="7"/>
        </w:numPr>
      </w:pPr>
      <w:r>
        <w:rPr>
          <w:sz w:val="20"/>
        </w:rPr>
        <w:t>Substantial evidence is simil</w:t>
      </w:r>
      <w:r w:rsidR="00B72013">
        <w:rPr>
          <w:sz w:val="20"/>
        </w:rPr>
        <w:t>ar to</w:t>
      </w:r>
      <w:r w:rsidR="00F3180A">
        <w:rPr>
          <w:sz w:val="20"/>
        </w:rPr>
        <w:t xml:space="preserve"> JNOV – can</w:t>
      </w:r>
      <w:r>
        <w:rPr>
          <w:sz w:val="20"/>
        </w:rPr>
        <w:t xml:space="preserve"> </w:t>
      </w:r>
      <w:r w:rsidR="00065734">
        <w:rPr>
          <w:sz w:val="20"/>
        </w:rPr>
        <w:t>a reasonabl</w:t>
      </w:r>
      <w:r w:rsidR="00F3180A">
        <w:rPr>
          <w:sz w:val="20"/>
        </w:rPr>
        <w:t>e jury reach</w:t>
      </w:r>
      <w:r w:rsidR="006C4251">
        <w:rPr>
          <w:sz w:val="20"/>
        </w:rPr>
        <w:t xml:space="preserve"> this conclusion? – </w:t>
      </w:r>
      <w:r>
        <w:rPr>
          <w:i/>
          <w:sz w:val="20"/>
        </w:rPr>
        <w:t>Allentown Mack</w:t>
      </w:r>
    </w:p>
    <w:p w14:paraId="1EC05554" w14:textId="6DE4C299" w:rsidR="00B72013" w:rsidRPr="00633766" w:rsidRDefault="00B72013" w:rsidP="00B72013">
      <w:pPr>
        <w:pStyle w:val="ListParagraph"/>
        <w:numPr>
          <w:ilvl w:val="1"/>
          <w:numId w:val="7"/>
        </w:numPr>
      </w:pPr>
      <w:r>
        <w:rPr>
          <w:sz w:val="20"/>
        </w:rPr>
        <w:t>AV thinks the jury rationale is unhelpful since it ignores the importance of an agency’s reasoning</w:t>
      </w:r>
    </w:p>
    <w:p w14:paraId="58CA6FE5" w14:textId="25290893" w:rsidR="00633766" w:rsidRPr="00633766" w:rsidRDefault="00633766" w:rsidP="00471C75">
      <w:pPr>
        <w:pStyle w:val="ListParagraph"/>
        <w:numPr>
          <w:ilvl w:val="1"/>
          <w:numId w:val="7"/>
        </w:numPr>
      </w:pPr>
      <w:r>
        <w:rPr>
          <w:i/>
          <w:sz w:val="20"/>
        </w:rPr>
        <w:t xml:space="preserve">Allentown </w:t>
      </w:r>
      <w:r>
        <w:rPr>
          <w:sz w:val="20"/>
        </w:rPr>
        <w:t xml:space="preserve">isn’t </w:t>
      </w:r>
      <w:r>
        <w:rPr>
          <w:i/>
          <w:sz w:val="20"/>
        </w:rPr>
        <w:t xml:space="preserve">really </w:t>
      </w:r>
      <w:r>
        <w:rPr>
          <w:sz w:val="20"/>
        </w:rPr>
        <w:t>about substantial evidence – its more about transparency and arbitrary &amp; capricious review – the NLRB didn’t give good reasons</w:t>
      </w:r>
    </w:p>
    <w:p w14:paraId="323AA86D" w14:textId="0135CD61" w:rsidR="00633766" w:rsidRPr="00633766" w:rsidRDefault="00633766" w:rsidP="00471C75">
      <w:pPr>
        <w:pStyle w:val="ListParagraph"/>
        <w:numPr>
          <w:ilvl w:val="2"/>
          <w:numId w:val="7"/>
        </w:numPr>
      </w:pPr>
      <w:r>
        <w:rPr>
          <w:sz w:val="20"/>
        </w:rPr>
        <w:t>Scalia thinks the NLRB wants to kill an administrative remedy without owning up to it</w:t>
      </w:r>
    </w:p>
    <w:p w14:paraId="5DD8C364" w14:textId="1F3D3DFC" w:rsidR="00065734" w:rsidRPr="00065734" w:rsidRDefault="00065734" w:rsidP="00471C75">
      <w:pPr>
        <w:pStyle w:val="ListParagraph"/>
        <w:numPr>
          <w:ilvl w:val="0"/>
          <w:numId w:val="7"/>
        </w:numPr>
      </w:pPr>
      <w:r>
        <w:rPr>
          <w:sz w:val="20"/>
        </w:rPr>
        <w:t>How can courts enforce substantial e</w:t>
      </w:r>
      <w:r w:rsidR="006C4251">
        <w:rPr>
          <w:sz w:val="20"/>
        </w:rPr>
        <w:t>vidence, since they</w:t>
      </w:r>
      <w:r>
        <w:rPr>
          <w:sz w:val="20"/>
        </w:rPr>
        <w:t xml:space="preserve"> can’t probe administrator’s mental proce</w:t>
      </w:r>
      <w:r w:rsidR="006C4251">
        <w:rPr>
          <w:sz w:val="20"/>
        </w:rPr>
        <w:t>sses?</w:t>
      </w:r>
    </w:p>
    <w:p w14:paraId="10C222E8" w14:textId="065D7CBF" w:rsidR="00065734" w:rsidRPr="00065734" w:rsidRDefault="00065734" w:rsidP="00471C75">
      <w:pPr>
        <w:pStyle w:val="ListParagraph"/>
        <w:numPr>
          <w:ilvl w:val="1"/>
          <w:numId w:val="7"/>
        </w:numPr>
      </w:pPr>
      <w:r>
        <w:rPr>
          <w:sz w:val="20"/>
        </w:rPr>
        <w:t xml:space="preserve">Remand </w:t>
      </w:r>
      <w:r w:rsidR="00CC0F2D">
        <w:rPr>
          <w:sz w:val="20"/>
        </w:rPr>
        <w:t>to agency (</w:t>
      </w:r>
      <w:r>
        <w:rPr>
          <w:sz w:val="20"/>
        </w:rPr>
        <w:t>without vacating) for development of a factual record</w:t>
      </w:r>
      <w:r w:rsidR="00676B0D">
        <w:rPr>
          <w:sz w:val="20"/>
        </w:rPr>
        <w:t xml:space="preserve"> – </w:t>
      </w:r>
      <w:r w:rsidR="00676B0D">
        <w:rPr>
          <w:i/>
          <w:sz w:val="20"/>
        </w:rPr>
        <w:t>Pension Benefit</w:t>
      </w:r>
    </w:p>
    <w:p w14:paraId="1CDCB0D5" w14:textId="7F2637F4" w:rsidR="00065734" w:rsidRPr="00633766" w:rsidRDefault="00065734" w:rsidP="00573C0D">
      <w:pPr>
        <w:pStyle w:val="ListParagraph"/>
        <w:numPr>
          <w:ilvl w:val="2"/>
          <w:numId w:val="7"/>
        </w:numPr>
      </w:pPr>
      <w:r>
        <w:rPr>
          <w:sz w:val="20"/>
        </w:rPr>
        <w:t>Is thi</w:t>
      </w:r>
      <w:r w:rsidR="00573C0D">
        <w:rPr>
          <w:sz w:val="20"/>
        </w:rPr>
        <w:t xml:space="preserve">s in tension with </w:t>
      </w:r>
      <w:r w:rsidR="00573C0D" w:rsidRPr="00573C0D">
        <w:rPr>
          <w:i/>
          <w:sz w:val="20"/>
        </w:rPr>
        <w:t>Chenery I</w:t>
      </w:r>
      <w:r w:rsidR="00573C0D">
        <w:rPr>
          <w:sz w:val="20"/>
        </w:rPr>
        <w:t>’s</w:t>
      </w:r>
      <w:r>
        <w:rPr>
          <w:sz w:val="20"/>
        </w:rPr>
        <w:t xml:space="preserve"> prohibition on post hoc rationalization?</w:t>
      </w:r>
    </w:p>
    <w:p w14:paraId="42C7C122" w14:textId="4C74BE9B" w:rsidR="00633766" w:rsidRPr="00633766" w:rsidRDefault="00633766" w:rsidP="00471C75">
      <w:pPr>
        <w:pStyle w:val="ListParagraph"/>
        <w:numPr>
          <w:ilvl w:val="0"/>
          <w:numId w:val="7"/>
        </w:numPr>
      </w:pPr>
      <w:r>
        <w:rPr>
          <w:sz w:val="20"/>
        </w:rPr>
        <w:t>Courts</w:t>
      </w:r>
      <w:r w:rsidR="00B72013">
        <w:rPr>
          <w:sz w:val="20"/>
        </w:rPr>
        <w:t xml:space="preserve"> may question</w:t>
      </w:r>
      <w:r>
        <w:rPr>
          <w:sz w:val="20"/>
        </w:rPr>
        <w:t xml:space="preserve"> agency’s insti</w:t>
      </w:r>
      <w:r w:rsidR="00B72013">
        <w:rPr>
          <w:sz w:val="20"/>
        </w:rPr>
        <w:t>tutional competence, giving ALJ</w:t>
      </w:r>
      <w:r>
        <w:rPr>
          <w:sz w:val="20"/>
        </w:rPr>
        <w:t xml:space="preserve"> decision</w:t>
      </w:r>
      <w:r w:rsidR="00B72013">
        <w:rPr>
          <w:sz w:val="20"/>
        </w:rPr>
        <w:t>s</w:t>
      </w:r>
      <w:r>
        <w:rPr>
          <w:sz w:val="20"/>
        </w:rPr>
        <w:t xml:space="preserve"> less we</w:t>
      </w:r>
      <w:r w:rsidR="00B72013">
        <w:rPr>
          <w:sz w:val="20"/>
        </w:rPr>
        <w:t xml:space="preserve">ight </w:t>
      </w:r>
      <w:r w:rsidR="00573C0D">
        <w:rPr>
          <w:sz w:val="20"/>
        </w:rPr>
        <w:t xml:space="preserve">– </w:t>
      </w:r>
      <w:r>
        <w:rPr>
          <w:i/>
          <w:sz w:val="20"/>
        </w:rPr>
        <w:t xml:space="preserve">Zhen Li </w:t>
      </w:r>
      <w:proofErr w:type="spellStart"/>
      <w:r>
        <w:rPr>
          <w:i/>
          <w:sz w:val="20"/>
        </w:rPr>
        <w:t>Iao</w:t>
      </w:r>
      <w:proofErr w:type="spellEnd"/>
    </w:p>
    <w:p w14:paraId="1E8CA358" w14:textId="7236B5F6" w:rsidR="00633766" w:rsidRPr="00774E0F" w:rsidRDefault="00633766" w:rsidP="00471C75">
      <w:pPr>
        <w:pStyle w:val="ListParagraph"/>
        <w:numPr>
          <w:ilvl w:val="1"/>
          <w:numId w:val="7"/>
        </w:numPr>
      </w:pPr>
      <w:r>
        <w:rPr>
          <w:sz w:val="20"/>
        </w:rPr>
        <w:t>Posner goes a little bit nuts in this opinion, which has no basis in current law</w:t>
      </w:r>
    </w:p>
    <w:p w14:paraId="2654C73D" w14:textId="52E7C8DA" w:rsidR="00774E0F" w:rsidRPr="0063164C" w:rsidRDefault="00774E0F" w:rsidP="00471C75">
      <w:pPr>
        <w:pStyle w:val="ListParagraph"/>
        <w:numPr>
          <w:ilvl w:val="1"/>
          <w:numId w:val="7"/>
        </w:numPr>
      </w:pPr>
      <w:r>
        <w:rPr>
          <w:sz w:val="20"/>
        </w:rPr>
        <w:t>Seems to invoke due process issues – do</w:t>
      </w:r>
      <w:r w:rsidR="00B72013">
        <w:rPr>
          <w:sz w:val="20"/>
        </w:rPr>
        <w:t>es</w:t>
      </w:r>
      <w:r>
        <w:rPr>
          <w:sz w:val="20"/>
        </w:rPr>
        <w:t xml:space="preserve"> </w:t>
      </w:r>
      <w:r>
        <w:rPr>
          <w:i/>
          <w:sz w:val="20"/>
        </w:rPr>
        <w:t>Matthews</w:t>
      </w:r>
      <w:r w:rsidR="00B72013">
        <w:rPr>
          <w:i/>
          <w:sz w:val="20"/>
        </w:rPr>
        <w:t>’</w:t>
      </w:r>
      <w:r>
        <w:rPr>
          <w:i/>
          <w:sz w:val="20"/>
        </w:rPr>
        <w:t xml:space="preserve"> </w:t>
      </w:r>
      <w:r>
        <w:rPr>
          <w:sz w:val="20"/>
        </w:rPr>
        <w:t>balancing test (prong two)</w:t>
      </w:r>
      <w:r w:rsidR="00F54C40">
        <w:rPr>
          <w:sz w:val="20"/>
        </w:rPr>
        <w:t xml:space="preserve"> allow</w:t>
      </w:r>
      <w:r w:rsidR="00FC190B">
        <w:rPr>
          <w:sz w:val="20"/>
        </w:rPr>
        <w:t xml:space="preserve"> </w:t>
      </w:r>
      <w:r w:rsidR="00316E0D">
        <w:rPr>
          <w:sz w:val="20"/>
        </w:rPr>
        <w:t>institutional baseline</w:t>
      </w:r>
      <w:r w:rsidR="00F54C40">
        <w:rPr>
          <w:sz w:val="20"/>
        </w:rPr>
        <w:t>s</w:t>
      </w:r>
      <w:r w:rsidR="00316E0D">
        <w:rPr>
          <w:sz w:val="20"/>
        </w:rPr>
        <w:t>?</w:t>
      </w:r>
    </w:p>
    <w:p w14:paraId="41469C43" w14:textId="3AFB12E2" w:rsidR="00233D5C" w:rsidRDefault="00233D5C" w:rsidP="00233D5C">
      <w:pPr>
        <w:pStyle w:val="Heading3"/>
        <w:rPr>
          <w:sz w:val="22"/>
        </w:rPr>
      </w:pPr>
      <w:r w:rsidRPr="00233D5C">
        <w:rPr>
          <w:sz w:val="22"/>
        </w:rPr>
        <w:t>Law</w:t>
      </w:r>
    </w:p>
    <w:p w14:paraId="4D104B3B" w14:textId="684F562D" w:rsidR="008320E0" w:rsidRPr="008320E0" w:rsidRDefault="008320E0" w:rsidP="008320E0">
      <w:pPr>
        <w:pStyle w:val="ListParagraph"/>
        <w:numPr>
          <w:ilvl w:val="0"/>
          <w:numId w:val="8"/>
        </w:numPr>
      </w:pPr>
      <w:r>
        <w:rPr>
          <w:i/>
          <w:sz w:val="20"/>
        </w:rPr>
        <w:t xml:space="preserve">Hearst </w:t>
      </w:r>
      <w:r>
        <w:rPr>
          <w:sz w:val="20"/>
        </w:rPr>
        <w:t xml:space="preserve">and </w:t>
      </w:r>
      <w:r>
        <w:rPr>
          <w:i/>
          <w:sz w:val="20"/>
        </w:rPr>
        <w:t xml:space="preserve">Skidmore </w:t>
      </w:r>
      <w:r>
        <w:rPr>
          <w:sz w:val="20"/>
        </w:rPr>
        <w:t xml:space="preserve">begin eroding the </w:t>
      </w:r>
      <w:r>
        <w:rPr>
          <w:i/>
          <w:sz w:val="20"/>
        </w:rPr>
        <w:t xml:space="preserve">Crowell </w:t>
      </w:r>
      <w:r>
        <w:rPr>
          <w:sz w:val="20"/>
        </w:rPr>
        <w:t xml:space="preserve">distinction between factual and legal deference to agencies – </w:t>
      </w:r>
      <w:r>
        <w:rPr>
          <w:i/>
          <w:sz w:val="20"/>
        </w:rPr>
        <w:t xml:space="preserve">Hearst </w:t>
      </w:r>
      <w:r>
        <w:rPr>
          <w:sz w:val="20"/>
        </w:rPr>
        <w:t xml:space="preserve">defers on mixed questions of fact and law and transports “substantial evidence” standard over to legal questions, and </w:t>
      </w:r>
      <w:r>
        <w:rPr>
          <w:i/>
          <w:sz w:val="20"/>
        </w:rPr>
        <w:t xml:space="preserve">Skidmore </w:t>
      </w:r>
      <w:r>
        <w:rPr>
          <w:sz w:val="20"/>
        </w:rPr>
        <w:t>introduces the idea that agency reasoning might be persuasive and should be taken into account</w:t>
      </w:r>
    </w:p>
    <w:p w14:paraId="2D0E02CE" w14:textId="54726714" w:rsidR="008320E0" w:rsidRPr="008320E0" w:rsidRDefault="008320E0" w:rsidP="008320E0">
      <w:pPr>
        <w:pStyle w:val="ListParagraph"/>
        <w:numPr>
          <w:ilvl w:val="1"/>
          <w:numId w:val="8"/>
        </w:numPr>
      </w:pPr>
      <w:r>
        <w:rPr>
          <w:sz w:val="20"/>
        </w:rPr>
        <w:t xml:space="preserve">AV thinks </w:t>
      </w:r>
      <w:r>
        <w:rPr>
          <w:i/>
          <w:sz w:val="20"/>
        </w:rPr>
        <w:t xml:space="preserve">Skidmore </w:t>
      </w:r>
      <w:r>
        <w:rPr>
          <w:sz w:val="20"/>
        </w:rPr>
        <w:t>deference is little more than common sense – if an agency has a good point, courts will take notice</w:t>
      </w:r>
    </w:p>
    <w:p w14:paraId="43E94288" w14:textId="7B982461" w:rsidR="008320E0" w:rsidRPr="008320E0" w:rsidRDefault="008320E0" w:rsidP="008320E0">
      <w:pPr>
        <w:pStyle w:val="ListParagraph"/>
        <w:numPr>
          <w:ilvl w:val="0"/>
          <w:numId w:val="8"/>
        </w:numPr>
      </w:pPr>
      <w:r>
        <w:rPr>
          <w:i/>
          <w:sz w:val="20"/>
        </w:rPr>
        <w:t>Chevron</w:t>
      </w:r>
      <w:r>
        <w:rPr>
          <w:sz w:val="20"/>
        </w:rPr>
        <w:t xml:space="preserve">’s official justification </w:t>
      </w:r>
      <w:r w:rsidR="00F54C40">
        <w:rPr>
          <w:sz w:val="20"/>
        </w:rPr>
        <w:t xml:space="preserve">for </w:t>
      </w:r>
      <w:r w:rsidR="00B72013">
        <w:rPr>
          <w:sz w:val="20"/>
        </w:rPr>
        <w:t xml:space="preserve">agency </w:t>
      </w:r>
      <w:r w:rsidR="00F54C40">
        <w:rPr>
          <w:sz w:val="20"/>
        </w:rPr>
        <w:t xml:space="preserve">deference is </w:t>
      </w:r>
      <w:r w:rsidR="00B72013">
        <w:rPr>
          <w:sz w:val="20"/>
        </w:rPr>
        <w:t xml:space="preserve">an </w:t>
      </w:r>
      <w:r>
        <w:rPr>
          <w:sz w:val="20"/>
        </w:rPr>
        <w:t>implicit delegation of decis</w:t>
      </w:r>
      <w:r w:rsidR="00B72013">
        <w:rPr>
          <w:sz w:val="20"/>
        </w:rPr>
        <w:t xml:space="preserve">ion-making authority </w:t>
      </w:r>
    </w:p>
    <w:p w14:paraId="01E9F29E" w14:textId="6A1F56BB" w:rsidR="008320E0" w:rsidRPr="008320E0" w:rsidRDefault="008320E0" w:rsidP="008320E0">
      <w:pPr>
        <w:pStyle w:val="ListParagraph"/>
        <w:numPr>
          <w:ilvl w:val="1"/>
          <w:numId w:val="8"/>
        </w:numPr>
      </w:pPr>
      <w:r>
        <w:rPr>
          <w:sz w:val="20"/>
        </w:rPr>
        <w:t xml:space="preserve">The </w:t>
      </w:r>
      <w:r>
        <w:rPr>
          <w:i/>
          <w:sz w:val="20"/>
        </w:rPr>
        <w:t xml:space="preserve">actual </w:t>
      </w:r>
      <w:r>
        <w:rPr>
          <w:sz w:val="20"/>
        </w:rPr>
        <w:t>justifications given are concepts of agency expertise and political accountability</w:t>
      </w:r>
    </w:p>
    <w:p w14:paraId="4F4F372C" w14:textId="40805445" w:rsidR="008320E0" w:rsidRPr="00437667" w:rsidRDefault="008320E0" w:rsidP="008320E0">
      <w:pPr>
        <w:pStyle w:val="ListParagraph"/>
        <w:numPr>
          <w:ilvl w:val="0"/>
          <w:numId w:val="8"/>
        </w:numPr>
      </w:pPr>
      <w:r>
        <w:rPr>
          <w:sz w:val="20"/>
        </w:rPr>
        <w:t>Ambiguities or statutory gaps are implicit delegations to interpret laws – this the rationale used to get around APA §706’s command that courts shall determine all questions of law</w:t>
      </w:r>
    </w:p>
    <w:p w14:paraId="23A1DDB8" w14:textId="61ECBDC8" w:rsidR="00437667" w:rsidRPr="00437667" w:rsidRDefault="00F54C40" w:rsidP="008320E0">
      <w:pPr>
        <w:pStyle w:val="ListParagraph"/>
        <w:numPr>
          <w:ilvl w:val="0"/>
          <w:numId w:val="8"/>
        </w:numPr>
      </w:pPr>
      <w:r>
        <w:rPr>
          <w:sz w:val="20"/>
        </w:rPr>
        <w:t>Courts review</w:t>
      </w:r>
      <w:r w:rsidR="00437667">
        <w:rPr>
          <w:sz w:val="20"/>
        </w:rPr>
        <w:t xml:space="preserve"> agency decisions for two requirements: interpretive validity and rationality (good reasons)</w:t>
      </w:r>
    </w:p>
    <w:p w14:paraId="750A715F" w14:textId="42B89A1A" w:rsidR="00437667" w:rsidRPr="00437667" w:rsidRDefault="00437667" w:rsidP="00437667">
      <w:pPr>
        <w:pStyle w:val="ListParagraph"/>
        <w:numPr>
          <w:ilvl w:val="1"/>
          <w:numId w:val="8"/>
        </w:numPr>
      </w:pPr>
      <w:r>
        <w:rPr>
          <w:sz w:val="20"/>
        </w:rPr>
        <w:t xml:space="preserve">This gets tricky since there are officially two steps of </w:t>
      </w:r>
      <w:r>
        <w:rPr>
          <w:i/>
          <w:sz w:val="20"/>
        </w:rPr>
        <w:t xml:space="preserve">Chevron </w:t>
      </w:r>
      <w:r>
        <w:rPr>
          <w:sz w:val="20"/>
        </w:rPr>
        <w:t>and arbitrariness review (three tools) trying to fit into two steps</w:t>
      </w:r>
    </w:p>
    <w:p w14:paraId="3EFC9D5B" w14:textId="15A7B797" w:rsidR="00437667" w:rsidRPr="005C3EB7" w:rsidRDefault="00437667" w:rsidP="00437667">
      <w:pPr>
        <w:pStyle w:val="ListParagraph"/>
        <w:numPr>
          <w:ilvl w:val="2"/>
          <w:numId w:val="8"/>
        </w:numPr>
      </w:pPr>
      <w:r>
        <w:rPr>
          <w:sz w:val="20"/>
        </w:rPr>
        <w:t xml:space="preserve">This leads to one of two results: either </w:t>
      </w:r>
      <w:r>
        <w:rPr>
          <w:i/>
          <w:sz w:val="20"/>
        </w:rPr>
        <w:t xml:space="preserve">Chevron </w:t>
      </w:r>
      <w:r>
        <w:rPr>
          <w:sz w:val="20"/>
        </w:rPr>
        <w:t xml:space="preserve">step two collapses into step one (see </w:t>
      </w:r>
      <w:r>
        <w:rPr>
          <w:i/>
          <w:sz w:val="20"/>
        </w:rPr>
        <w:t>Entergy</w:t>
      </w:r>
      <w:r>
        <w:rPr>
          <w:sz w:val="20"/>
        </w:rPr>
        <w:t xml:space="preserve">), or step two collapses into arbitrariness review (see </w:t>
      </w:r>
      <w:proofErr w:type="spellStart"/>
      <w:r>
        <w:rPr>
          <w:i/>
          <w:sz w:val="20"/>
        </w:rPr>
        <w:t>Judulang</w:t>
      </w:r>
      <w:proofErr w:type="spellEnd"/>
      <w:r>
        <w:rPr>
          <w:sz w:val="20"/>
        </w:rPr>
        <w:t>)</w:t>
      </w:r>
    </w:p>
    <w:p w14:paraId="5E3ACDFB" w14:textId="6489C896" w:rsidR="005C3EB7" w:rsidRPr="005C3EB7" w:rsidRDefault="005C3EB7" w:rsidP="005C3EB7">
      <w:pPr>
        <w:pStyle w:val="ListParagraph"/>
        <w:numPr>
          <w:ilvl w:val="0"/>
          <w:numId w:val="8"/>
        </w:numPr>
      </w:pPr>
      <w:r>
        <w:rPr>
          <w:sz w:val="20"/>
        </w:rPr>
        <w:t xml:space="preserve">There are several potential fixes for </w:t>
      </w:r>
      <w:r>
        <w:rPr>
          <w:i/>
          <w:sz w:val="20"/>
        </w:rPr>
        <w:t>Chevron</w:t>
      </w:r>
    </w:p>
    <w:p w14:paraId="14E1180F" w14:textId="716FA12D" w:rsidR="005C3EB7" w:rsidRPr="005C3EB7" w:rsidRDefault="005C3EB7" w:rsidP="005C3EB7">
      <w:pPr>
        <w:pStyle w:val="ListParagraph"/>
        <w:numPr>
          <w:ilvl w:val="1"/>
          <w:numId w:val="8"/>
        </w:numPr>
      </w:pPr>
      <w:r>
        <w:rPr>
          <w:sz w:val="20"/>
        </w:rPr>
        <w:t>It could be overruled, either by SCOTUS or by Congress</w:t>
      </w:r>
    </w:p>
    <w:p w14:paraId="62873F38" w14:textId="73677D3E" w:rsidR="005C3EB7" w:rsidRPr="005C3EB7" w:rsidRDefault="005C3EB7" w:rsidP="005C3EB7">
      <w:pPr>
        <w:pStyle w:val="ListParagraph"/>
        <w:numPr>
          <w:ilvl w:val="2"/>
          <w:numId w:val="8"/>
        </w:numPr>
      </w:pPr>
      <w:r>
        <w:rPr>
          <w:sz w:val="20"/>
        </w:rPr>
        <w:t xml:space="preserve">Would overruling </w:t>
      </w:r>
      <w:r>
        <w:rPr>
          <w:i/>
          <w:sz w:val="20"/>
        </w:rPr>
        <w:t xml:space="preserve">Chevron </w:t>
      </w:r>
      <w:r w:rsidR="00F54C40">
        <w:rPr>
          <w:sz w:val="20"/>
        </w:rPr>
        <w:t>have a</w:t>
      </w:r>
      <w:r>
        <w:rPr>
          <w:sz w:val="20"/>
        </w:rPr>
        <w:t xml:space="preserve"> prac</w:t>
      </w:r>
      <w:r w:rsidR="00F54C40">
        <w:rPr>
          <w:sz w:val="20"/>
        </w:rPr>
        <w:t>tical impact, since judges could</w:t>
      </w:r>
      <w:r>
        <w:rPr>
          <w:sz w:val="20"/>
        </w:rPr>
        <w:t xml:space="preserve"> still defer </w:t>
      </w:r>
      <w:r w:rsidR="00F54C40">
        <w:rPr>
          <w:sz w:val="20"/>
        </w:rPr>
        <w:t>to agency “expertise” given docket pressure</w:t>
      </w:r>
      <w:r>
        <w:rPr>
          <w:sz w:val="20"/>
        </w:rPr>
        <w:t xml:space="preserve"> </w:t>
      </w:r>
      <w:r w:rsidR="00F54C40">
        <w:rPr>
          <w:sz w:val="20"/>
        </w:rPr>
        <w:t xml:space="preserve">&amp; </w:t>
      </w:r>
      <w:r>
        <w:rPr>
          <w:sz w:val="20"/>
        </w:rPr>
        <w:t>discomfort with making technical decisions?</w:t>
      </w:r>
    </w:p>
    <w:p w14:paraId="1E278765" w14:textId="3AD70D72" w:rsidR="005C3EB7" w:rsidRPr="00023045" w:rsidRDefault="005C3EB7" w:rsidP="005C3EB7">
      <w:pPr>
        <w:pStyle w:val="ListParagraph"/>
        <w:numPr>
          <w:ilvl w:val="2"/>
          <w:numId w:val="8"/>
        </w:numPr>
      </w:pPr>
      <w:r>
        <w:rPr>
          <w:sz w:val="20"/>
        </w:rPr>
        <w:t xml:space="preserve">Would Congress be able to overrule </w:t>
      </w:r>
      <w:r>
        <w:rPr>
          <w:i/>
          <w:sz w:val="20"/>
        </w:rPr>
        <w:t xml:space="preserve">Chevron </w:t>
      </w:r>
      <w:r>
        <w:rPr>
          <w:sz w:val="20"/>
        </w:rPr>
        <w:t>without crossing constitutional lines?</w:t>
      </w:r>
    </w:p>
    <w:p w14:paraId="672B919F" w14:textId="1C34D73B" w:rsidR="00023045" w:rsidRPr="00023045" w:rsidRDefault="00023045" w:rsidP="00023045">
      <w:pPr>
        <w:pStyle w:val="ListParagraph"/>
        <w:numPr>
          <w:ilvl w:val="1"/>
          <w:numId w:val="8"/>
        </w:numPr>
      </w:pPr>
      <w:r>
        <w:rPr>
          <w:sz w:val="20"/>
        </w:rPr>
        <w:t>A voting rule (requirement of a supermajority to overrule an agency decision?</w:t>
      </w:r>
    </w:p>
    <w:p w14:paraId="3231BE90" w14:textId="2A4FDDEF" w:rsidR="00023045" w:rsidRPr="00023045" w:rsidRDefault="00023045" w:rsidP="00023045">
      <w:pPr>
        <w:pStyle w:val="ListParagraph"/>
        <w:numPr>
          <w:ilvl w:val="2"/>
          <w:numId w:val="8"/>
        </w:numPr>
      </w:pPr>
      <w:r>
        <w:rPr>
          <w:sz w:val="20"/>
        </w:rPr>
        <w:lastRenderedPageBreak/>
        <w:t xml:space="preserve">Relatedly, accounting for the votes of other judges (i.e., if there is a split on whether the statute is ambiguous, a default determination that the statute </w:t>
      </w:r>
      <w:r>
        <w:rPr>
          <w:i/>
          <w:sz w:val="20"/>
        </w:rPr>
        <w:t xml:space="preserve">is </w:t>
      </w:r>
      <w:r>
        <w:rPr>
          <w:sz w:val="20"/>
        </w:rPr>
        <w:t>ambiguous)</w:t>
      </w:r>
    </w:p>
    <w:p w14:paraId="5501D5B1" w14:textId="173CD73A" w:rsidR="00023045" w:rsidRPr="00023045" w:rsidRDefault="00023045" w:rsidP="00023045">
      <w:pPr>
        <w:pStyle w:val="ListParagraph"/>
        <w:numPr>
          <w:ilvl w:val="1"/>
          <w:numId w:val="8"/>
        </w:numPr>
      </w:pPr>
      <w:r>
        <w:rPr>
          <w:sz w:val="20"/>
        </w:rPr>
        <w:t xml:space="preserve">Collapse the </w:t>
      </w:r>
      <w:r>
        <w:rPr>
          <w:i/>
          <w:sz w:val="20"/>
        </w:rPr>
        <w:t xml:space="preserve">Chevron </w:t>
      </w:r>
      <w:r>
        <w:rPr>
          <w:sz w:val="20"/>
        </w:rPr>
        <w:t xml:space="preserve">inquiry into one of simple “reasonableness” </w:t>
      </w:r>
    </w:p>
    <w:p w14:paraId="23CC49F4" w14:textId="3862716D" w:rsidR="00023045" w:rsidRPr="008F0622" w:rsidRDefault="00023045" w:rsidP="00023045">
      <w:pPr>
        <w:pStyle w:val="ListParagraph"/>
        <w:numPr>
          <w:ilvl w:val="2"/>
          <w:numId w:val="8"/>
        </w:numPr>
      </w:pPr>
      <w:r>
        <w:rPr>
          <w:sz w:val="20"/>
        </w:rPr>
        <w:t xml:space="preserve">Isn’t that what we already do, in effect? This is </w:t>
      </w:r>
      <w:r>
        <w:rPr>
          <w:i/>
          <w:sz w:val="20"/>
        </w:rPr>
        <w:t xml:space="preserve">definitely </w:t>
      </w:r>
      <w:r>
        <w:rPr>
          <w:sz w:val="20"/>
        </w:rPr>
        <w:t>the conclusion of the argument that</w:t>
      </w:r>
      <w:r>
        <w:rPr>
          <w:i/>
          <w:sz w:val="20"/>
        </w:rPr>
        <w:t xml:space="preserve"> Chevron </w:t>
      </w:r>
      <w:r>
        <w:rPr>
          <w:sz w:val="20"/>
        </w:rPr>
        <w:t>is already just one step</w:t>
      </w:r>
    </w:p>
    <w:p w14:paraId="33A62236" w14:textId="3A18360D" w:rsidR="008F0622" w:rsidRPr="001F0C23" w:rsidRDefault="001F0C23" w:rsidP="008F0622">
      <w:pPr>
        <w:pStyle w:val="ListParagraph"/>
        <w:numPr>
          <w:ilvl w:val="0"/>
          <w:numId w:val="8"/>
        </w:numPr>
      </w:pPr>
      <w:r>
        <w:rPr>
          <w:sz w:val="20"/>
        </w:rPr>
        <w:t xml:space="preserve">Similar to </w:t>
      </w:r>
      <w:r>
        <w:rPr>
          <w:i/>
          <w:sz w:val="20"/>
        </w:rPr>
        <w:t>Chevron</w:t>
      </w:r>
      <w:r>
        <w:rPr>
          <w:sz w:val="20"/>
        </w:rPr>
        <w:t xml:space="preserve">, </w:t>
      </w:r>
      <w:r>
        <w:rPr>
          <w:i/>
          <w:sz w:val="20"/>
        </w:rPr>
        <w:t xml:space="preserve">Auer </w:t>
      </w:r>
      <w:r>
        <w:rPr>
          <w:sz w:val="20"/>
        </w:rPr>
        <w:t>deference i</w:t>
      </w:r>
      <w:r w:rsidR="00C56CF7">
        <w:rPr>
          <w:sz w:val="20"/>
        </w:rPr>
        <w:t>s a court’s deference to</w:t>
      </w:r>
      <w:r>
        <w:rPr>
          <w:sz w:val="20"/>
        </w:rPr>
        <w:t xml:space="preserve"> agency’s interpretation of its own regulation</w:t>
      </w:r>
    </w:p>
    <w:p w14:paraId="54999A01" w14:textId="3048F7EF" w:rsidR="001F0C23" w:rsidRPr="001F0C23" w:rsidRDefault="001F0C23" w:rsidP="001F0C23">
      <w:pPr>
        <w:pStyle w:val="ListParagraph"/>
        <w:numPr>
          <w:ilvl w:val="1"/>
          <w:numId w:val="8"/>
        </w:numPr>
      </w:pPr>
      <w:r>
        <w:rPr>
          <w:sz w:val="20"/>
        </w:rPr>
        <w:t xml:space="preserve">Bears similar theoretical justifications to </w:t>
      </w:r>
      <w:r>
        <w:rPr>
          <w:i/>
          <w:sz w:val="20"/>
        </w:rPr>
        <w:t xml:space="preserve">Chevron </w:t>
      </w:r>
      <w:r>
        <w:rPr>
          <w:sz w:val="20"/>
        </w:rPr>
        <w:t>– namely, ag</w:t>
      </w:r>
      <w:r w:rsidR="0063709D">
        <w:rPr>
          <w:sz w:val="20"/>
        </w:rPr>
        <w:t>ency expertise</w:t>
      </w:r>
    </w:p>
    <w:p w14:paraId="065D721C" w14:textId="266E8A42" w:rsidR="001F0C23" w:rsidRPr="001F0C23" w:rsidRDefault="001F0C23" w:rsidP="001F0C23">
      <w:pPr>
        <w:pStyle w:val="ListParagraph"/>
        <w:numPr>
          <w:ilvl w:val="1"/>
          <w:numId w:val="8"/>
        </w:numPr>
      </w:pPr>
      <w:r>
        <w:rPr>
          <w:sz w:val="20"/>
        </w:rPr>
        <w:t xml:space="preserve">Scalia argues against </w:t>
      </w:r>
      <w:r>
        <w:rPr>
          <w:i/>
          <w:sz w:val="20"/>
        </w:rPr>
        <w:t xml:space="preserve">Auer </w:t>
      </w:r>
      <w:r>
        <w:rPr>
          <w:sz w:val="20"/>
        </w:rPr>
        <w:t xml:space="preserve">deference in </w:t>
      </w:r>
      <w:r>
        <w:rPr>
          <w:i/>
          <w:sz w:val="20"/>
        </w:rPr>
        <w:t>Decker</w:t>
      </w:r>
    </w:p>
    <w:p w14:paraId="79BAC8F6" w14:textId="46A686D8" w:rsidR="001F0C23" w:rsidRPr="001F0C23" w:rsidRDefault="001F0C23" w:rsidP="001F0C23">
      <w:pPr>
        <w:pStyle w:val="ListParagraph"/>
        <w:numPr>
          <w:ilvl w:val="2"/>
          <w:numId w:val="8"/>
        </w:numPr>
      </w:pPr>
      <w:r>
        <w:rPr>
          <w:sz w:val="20"/>
        </w:rPr>
        <w:t xml:space="preserve">Agency has “special insight into rule’s intent” is irrelevant, since judges are required to say what the law </w:t>
      </w:r>
      <w:r>
        <w:rPr>
          <w:i/>
          <w:sz w:val="20"/>
        </w:rPr>
        <w:t>is</w:t>
      </w:r>
      <w:r>
        <w:rPr>
          <w:sz w:val="20"/>
        </w:rPr>
        <w:t xml:space="preserve">, not what the legislator’s intent </w:t>
      </w:r>
      <w:r>
        <w:rPr>
          <w:i/>
          <w:sz w:val="20"/>
        </w:rPr>
        <w:t>was</w:t>
      </w:r>
    </w:p>
    <w:p w14:paraId="7D8FE388" w14:textId="0781800A" w:rsidR="001F0C23" w:rsidRPr="001F0C23" w:rsidRDefault="001F0C23" w:rsidP="001F0C23">
      <w:pPr>
        <w:pStyle w:val="ListParagraph"/>
        <w:numPr>
          <w:ilvl w:val="2"/>
          <w:numId w:val="8"/>
        </w:numPr>
      </w:pPr>
      <w:r>
        <w:rPr>
          <w:sz w:val="20"/>
        </w:rPr>
        <w:t>The argument for agency expertise is not indicative of who should interpret</w:t>
      </w:r>
    </w:p>
    <w:p w14:paraId="0E19A939" w14:textId="279DDF8A" w:rsidR="001F0C23" w:rsidRPr="001F0C23" w:rsidRDefault="001F0C23" w:rsidP="001F0C23">
      <w:pPr>
        <w:pStyle w:val="ListParagraph"/>
        <w:numPr>
          <w:ilvl w:val="2"/>
          <w:numId w:val="8"/>
        </w:numPr>
      </w:pPr>
      <w:r>
        <w:rPr>
          <w:sz w:val="20"/>
        </w:rPr>
        <w:t xml:space="preserve">Deference to agency interpretations in this context raise separation of powers issues that </w:t>
      </w:r>
      <w:r>
        <w:rPr>
          <w:i/>
          <w:sz w:val="20"/>
        </w:rPr>
        <w:t xml:space="preserve">Chevron </w:t>
      </w:r>
      <w:r>
        <w:rPr>
          <w:sz w:val="20"/>
        </w:rPr>
        <w:t>deference does not</w:t>
      </w:r>
    </w:p>
    <w:p w14:paraId="3D97B170" w14:textId="017AC2DC" w:rsidR="0063709D" w:rsidRPr="004C1DCC" w:rsidRDefault="0051110E" w:rsidP="001F0C23">
      <w:pPr>
        <w:pStyle w:val="ListParagraph"/>
        <w:numPr>
          <w:ilvl w:val="3"/>
          <w:numId w:val="8"/>
        </w:numPr>
      </w:pPr>
      <w:r>
        <w:rPr>
          <w:sz w:val="20"/>
        </w:rPr>
        <w:t>I</w:t>
      </w:r>
      <w:r w:rsidR="001F0C23">
        <w:rPr>
          <w:sz w:val="20"/>
        </w:rPr>
        <w:t>ndicates a larger problem with the separation of functions, which means that the entire administrative state is in jeopardy!</w:t>
      </w:r>
    </w:p>
    <w:p w14:paraId="7EF2C844" w14:textId="2FA6FC85" w:rsidR="004C1DCC" w:rsidRPr="004C1DCC" w:rsidRDefault="0051110E" w:rsidP="001F0C23">
      <w:pPr>
        <w:pStyle w:val="ListParagraph"/>
        <w:numPr>
          <w:ilvl w:val="3"/>
          <w:numId w:val="8"/>
        </w:numPr>
      </w:pPr>
      <w:r>
        <w:rPr>
          <w:sz w:val="20"/>
        </w:rPr>
        <w:t>A</w:t>
      </w:r>
      <w:r w:rsidR="004C1DCC">
        <w:rPr>
          <w:sz w:val="20"/>
        </w:rPr>
        <w:t xml:space="preserve">lso encompasses the idea that </w:t>
      </w:r>
      <w:r w:rsidR="004C1DCC">
        <w:rPr>
          <w:i/>
          <w:sz w:val="20"/>
        </w:rPr>
        <w:t xml:space="preserve">Auer </w:t>
      </w:r>
      <w:r w:rsidR="004C1DCC">
        <w:rPr>
          <w:sz w:val="20"/>
        </w:rPr>
        <w:t>deference incentivizes agencies to write intentionally vague regulations to provide itself with maximum flexibility</w:t>
      </w:r>
    </w:p>
    <w:p w14:paraId="4C3581AD" w14:textId="52211001" w:rsidR="004C1DCC" w:rsidRPr="0063709D" w:rsidRDefault="004C1DCC" w:rsidP="004C1DCC">
      <w:pPr>
        <w:pStyle w:val="ListParagraph"/>
        <w:numPr>
          <w:ilvl w:val="4"/>
          <w:numId w:val="8"/>
        </w:numPr>
      </w:pPr>
      <w:r>
        <w:rPr>
          <w:sz w:val="20"/>
        </w:rPr>
        <w:t>Isn’t this overridden by a concern that a subsequent administration will</w:t>
      </w:r>
      <w:r w:rsidR="0051110E">
        <w:rPr>
          <w:sz w:val="20"/>
        </w:rPr>
        <w:t xml:space="preserve"> “reinterpret” vague statutes? </w:t>
      </w:r>
      <w:r>
        <w:rPr>
          <w:sz w:val="20"/>
        </w:rPr>
        <w:t xml:space="preserve"> </w:t>
      </w:r>
    </w:p>
    <w:p w14:paraId="7ABABBE6" w14:textId="77777777" w:rsidR="0063709D" w:rsidRPr="0063709D" w:rsidRDefault="0063709D" w:rsidP="0063709D">
      <w:pPr>
        <w:pStyle w:val="ListParagraph"/>
        <w:numPr>
          <w:ilvl w:val="2"/>
          <w:numId w:val="8"/>
        </w:numPr>
      </w:pPr>
      <w:r>
        <w:rPr>
          <w:sz w:val="20"/>
        </w:rPr>
        <w:t xml:space="preserve">All of Scalia’s arguments are </w:t>
      </w:r>
      <w:r>
        <w:rPr>
          <w:i/>
          <w:sz w:val="20"/>
        </w:rPr>
        <w:t xml:space="preserve">very </w:t>
      </w:r>
      <w:r>
        <w:rPr>
          <w:sz w:val="20"/>
        </w:rPr>
        <w:t xml:space="preserve">similar, if not identical to, arguments against </w:t>
      </w:r>
      <w:r>
        <w:rPr>
          <w:i/>
          <w:sz w:val="20"/>
        </w:rPr>
        <w:t>Chevron</w:t>
      </w:r>
      <w:r>
        <w:rPr>
          <w:sz w:val="20"/>
        </w:rPr>
        <w:t>!</w:t>
      </w:r>
    </w:p>
    <w:p w14:paraId="6E9577CA" w14:textId="6E9AB03D" w:rsidR="001F0C23" w:rsidRPr="001F0C23" w:rsidRDefault="0063709D" w:rsidP="0063709D">
      <w:pPr>
        <w:pStyle w:val="ListParagraph"/>
        <w:numPr>
          <w:ilvl w:val="3"/>
          <w:numId w:val="8"/>
        </w:numPr>
      </w:pPr>
      <w:r>
        <w:rPr>
          <w:sz w:val="20"/>
        </w:rPr>
        <w:t xml:space="preserve">AV thinks it is logically inconsistent to reject </w:t>
      </w:r>
      <w:r>
        <w:rPr>
          <w:i/>
          <w:sz w:val="20"/>
        </w:rPr>
        <w:t xml:space="preserve">Auer </w:t>
      </w:r>
      <w:r>
        <w:rPr>
          <w:sz w:val="20"/>
        </w:rPr>
        <w:t xml:space="preserve">but accept </w:t>
      </w:r>
      <w:r>
        <w:rPr>
          <w:i/>
          <w:sz w:val="20"/>
        </w:rPr>
        <w:t>Chevron</w:t>
      </w:r>
      <w:r w:rsidR="001F0C23">
        <w:rPr>
          <w:sz w:val="20"/>
        </w:rPr>
        <w:t xml:space="preserve"> </w:t>
      </w:r>
    </w:p>
    <w:p w14:paraId="06F53373" w14:textId="4AD0A094" w:rsidR="001F0C23" w:rsidRPr="001F0C23" w:rsidRDefault="001F0C23" w:rsidP="001F0C23">
      <w:pPr>
        <w:pStyle w:val="ListParagraph"/>
        <w:numPr>
          <w:ilvl w:val="1"/>
          <w:numId w:val="8"/>
        </w:numPr>
      </w:pPr>
      <w:r>
        <w:rPr>
          <w:sz w:val="20"/>
        </w:rPr>
        <w:t xml:space="preserve">There are three constraints on </w:t>
      </w:r>
      <w:r>
        <w:rPr>
          <w:i/>
          <w:sz w:val="20"/>
        </w:rPr>
        <w:t xml:space="preserve">Auer </w:t>
      </w:r>
      <w:r>
        <w:rPr>
          <w:sz w:val="20"/>
        </w:rPr>
        <w:t>deference</w:t>
      </w:r>
    </w:p>
    <w:p w14:paraId="40AD219C" w14:textId="0EC65D51" w:rsidR="001F0C23" w:rsidRPr="001F0C23" w:rsidRDefault="001F0C23" w:rsidP="001F0C23">
      <w:pPr>
        <w:pStyle w:val="ListParagraph"/>
        <w:numPr>
          <w:ilvl w:val="2"/>
          <w:numId w:val="8"/>
        </w:numPr>
      </w:pPr>
      <w:r>
        <w:rPr>
          <w:sz w:val="20"/>
        </w:rPr>
        <w:t xml:space="preserve">The existence of judicial review (similar to </w:t>
      </w:r>
      <w:r>
        <w:rPr>
          <w:i/>
          <w:sz w:val="20"/>
        </w:rPr>
        <w:t xml:space="preserve">Chevron </w:t>
      </w:r>
      <w:r>
        <w:rPr>
          <w:sz w:val="20"/>
        </w:rPr>
        <w:t>step 1)</w:t>
      </w:r>
    </w:p>
    <w:p w14:paraId="6AF6A824" w14:textId="6B90D05D" w:rsidR="001F0C23" w:rsidRPr="001F0C23" w:rsidRDefault="009B4977" w:rsidP="001F0C23">
      <w:pPr>
        <w:pStyle w:val="ListParagraph"/>
        <w:numPr>
          <w:ilvl w:val="2"/>
          <w:numId w:val="8"/>
        </w:numPr>
      </w:pPr>
      <w:r>
        <w:rPr>
          <w:sz w:val="20"/>
        </w:rPr>
        <w:t>Additional content from statute to</w:t>
      </w:r>
      <w:r w:rsidR="001F0C23">
        <w:rPr>
          <w:sz w:val="20"/>
        </w:rPr>
        <w:t xml:space="preserve"> </w:t>
      </w:r>
      <w:r>
        <w:rPr>
          <w:sz w:val="20"/>
        </w:rPr>
        <w:t>regulation being</w:t>
      </w:r>
      <w:r w:rsidR="001F0C23">
        <w:rPr>
          <w:sz w:val="20"/>
        </w:rPr>
        <w:t xml:space="preserve"> interpreted (anti-parroting canon)</w:t>
      </w:r>
    </w:p>
    <w:p w14:paraId="782E96A3" w14:textId="7A2A7A84" w:rsidR="004C1DCC" w:rsidRPr="00E93F09" w:rsidRDefault="00C56CF7" w:rsidP="004C1DCC">
      <w:pPr>
        <w:pStyle w:val="ListParagraph"/>
        <w:numPr>
          <w:ilvl w:val="2"/>
          <w:numId w:val="8"/>
        </w:numPr>
      </w:pPr>
      <w:r>
        <w:rPr>
          <w:sz w:val="20"/>
        </w:rPr>
        <w:t>A&amp;C</w:t>
      </w:r>
      <w:r w:rsidR="001F0C23">
        <w:rPr>
          <w:sz w:val="20"/>
        </w:rPr>
        <w:t xml:space="preserve"> review (</w:t>
      </w:r>
      <w:r w:rsidR="001F0C23">
        <w:rPr>
          <w:i/>
          <w:sz w:val="20"/>
        </w:rPr>
        <w:t>Christopher</w:t>
      </w:r>
      <w:r w:rsidR="001F0C23">
        <w:rPr>
          <w:sz w:val="20"/>
        </w:rPr>
        <w:t xml:space="preserve"> – Court injects a “notice” requirement into </w:t>
      </w:r>
      <w:r w:rsidR="001F0C23">
        <w:rPr>
          <w:i/>
          <w:sz w:val="20"/>
        </w:rPr>
        <w:t xml:space="preserve">Auer </w:t>
      </w:r>
      <w:r w:rsidR="001F0C23">
        <w:rPr>
          <w:sz w:val="20"/>
        </w:rPr>
        <w:t>deference)</w:t>
      </w:r>
    </w:p>
    <w:p w14:paraId="3E9BB3BC" w14:textId="0947211C" w:rsidR="00E93F09" w:rsidRPr="00E93F09" w:rsidRDefault="00E93F09" w:rsidP="00E93F09">
      <w:pPr>
        <w:pStyle w:val="ListParagraph"/>
        <w:numPr>
          <w:ilvl w:val="0"/>
          <w:numId w:val="8"/>
        </w:numPr>
      </w:pPr>
      <w:r>
        <w:rPr>
          <w:i/>
          <w:sz w:val="20"/>
        </w:rPr>
        <w:t xml:space="preserve">City of Arlington </w:t>
      </w:r>
      <w:r>
        <w:rPr>
          <w:sz w:val="20"/>
        </w:rPr>
        <w:t xml:space="preserve">eliminates the historical </w:t>
      </w:r>
      <w:r>
        <w:rPr>
          <w:i/>
          <w:sz w:val="20"/>
        </w:rPr>
        <w:t xml:space="preserve">Crowell </w:t>
      </w:r>
      <w:r>
        <w:rPr>
          <w:sz w:val="20"/>
        </w:rPr>
        <w:t xml:space="preserve">distinction between “jurisdictional” and “non-jurisdictional” questions, since they can frequently be recast in an effort to remove the issue from </w:t>
      </w:r>
      <w:r>
        <w:rPr>
          <w:i/>
          <w:sz w:val="20"/>
        </w:rPr>
        <w:t xml:space="preserve">Chevron </w:t>
      </w:r>
      <w:r>
        <w:rPr>
          <w:sz w:val="20"/>
        </w:rPr>
        <w:t xml:space="preserve">entirely (similar to blending of </w:t>
      </w:r>
      <w:r>
        <w:rPr>
          <w:i/>
          <w:sz w:val="20"/>
        </w:rPr>
        <w:t>Chevron</w:t>
      </w:r>
      <w:r>
        <w:rPr>
          <w:sz w:val="20"/>
        </w:rPr>
        <w:t>’s Steps 1 and 2)</w:t>
      </w:r>
    </w:p>
    <w:p w14:paraId="08CDEFFD" w14:textId="03D29F6A" w:rsidR="00E93F09" w:rsidRPr="004C1DCC" w:rsidRDefault="00E93F09" w:rsidP="00E93F09">
      <w:pPr>
        <w:pStyle w:val="ListParagraph"/>
        <w:numPr>
          <w:ilvl w:val="1"/>
          <w:numId w:val="8"/>
        </w:numPr>
      </w:pPr>
      <w:r>
        <w:rPr>
          <w:sz w:val="20"/>
        </w:rPr>
        <w:t xml:space="preserve">Roberts argues for a narrowing interpretation that Scalia alleges is aimed at restricting the applicability of </w:t>
      </w:r>
      <w:r>
        <w:rPr>
          <w:i/>
          <w:sz w:val="20"/>
        </w:rPr>
        <w:t xml:space="preserve">Chevron </w:t>
      </w:r>
      <w:r>
        <w:rPr>
          <w:sz w:val="20"/>
        </w:rPr>
        <w:t xml:space="preserve">itself – is he right (see </w:t>
      </w:r>
      <w:r>
        <w:rPr>
          <w:i/>
          <w:sz w:val="20"/>
        </w:rPr>
        <w:t>King v. Burwell</w:t>
      </w:r>
      <w:r>
        <w:rPr>
          <w:sz w:val="20"/>
        </w:rPr>
        <w:t>)?</w:t>
      </w:r>
    </w:p>
    <w:p w14:paraId="674DB8A6" w14:textId="5D9F7A34" w:rsidR="008320E0" w:rsidRDefault="008320E0" w:rsidP="008320E0">
      <w:pPr>
        <w:pStyle w:val="Heading4"/>
        <w:rPr>
          <w:sz w:val="20"/>
        </w:rPr>
      </w:pPr>
      <w:r w:rsidRPr="008320E0">
        <w:rPr>
          <w:sz w:val="20"/>
        </w:rPr>
        <w:t>Chevron Step 0</w:t>
      </w:r>
    </w:p>
    <w:p w14:paraId="4A201261" w14:textId="621D76B6" w:rsidR="008320E0" w:rsidRPr="005B7E46" w:rsidRDefault="008320E0" w:rsidP="008320E0">
      <w:pPr>
        <w:pStyle w:val="ListParagraph"/>
        <w:numPr>
          <w:ilvl w:val="0"/>
          <w:numId w:val="9"/>
        </w:numPr>
      </w:pPr>
      <w:r>
        <w:rPr>
          <w:i/>
          <w:sz w:val="20"/>
        </w:rPr>
        <w:t xml:space="preserve">Mead </w:t>
      </w:r>
      <w:r>
        <w:rPr>
          <w:sz w:val="20"/>
        </w:rPr>
        <w:t xml:space="preserve">requires a court to find a </w:t>
      </w:r>
      <w:r>
        <w:rPr>
          <w:i/>
          <w:sz w:val="20"/>
        </w:rPr>
        <w:t xml:space="preserve">reason </w:t>
      </w:r>
      <w:r>
        <w:rPr>
          <w:sz w:val="20"/>
        </w:rPr>
        <w:t xml:space="preserve">to infer </w:t>
      </w:r>
      <w:r w:rsidR="00AD45AC">
        <w:rPr>
          <w:sz w:val="20"/>
        </w:rPr>
        <w:t>that a Congressional delegation of authority has occurred</w:t>
      </w:r>
      <w:r w:rsidR="0084658C">
        <w:rPr>
          <w:sz w:val="20"/>
        </w:rPr>
        <w:t>. However, this delegation may be implicit, and is not required as a matter of positive law</w:t>
      </w:r>
    </w:p>
    <w:p w14:paraId="35B6D832" w14:textId="5370083A" w:rsidR="005B7E46" w:rsidRPr="005B7E46" w:rsidRDefault="005B7E46" w:rsidP="005B7E46">
      <w:pPr>
        <w:pStyle w:val="ListParagraph"/>
        <w:numPr>
          <w:ilvl w:val="1"/>
          <w:numId w:val="9"/>
        </w:numPr>
      </w:pPr>
      <w:r>
        <w:rPr>
          <w:sz w:val="20"/>
        </w:rPr>
        <w:t>Most obvious way is to examine the amount of procedure Congress required – formal and informal rulemaking, and formal adjudication, allow an inference of delegation</w:t>
      </w:r>
      <w:r w:rsidR="00624BBC">
        <w:rPr>
          <w:sz w:val="20"/>
        </w:rPr>
        <w:t>. In short, whether the delegation includes the power to make rules/decisions with the “force of law”</w:t>
      </w:r>
    </w:p>
    <w:p w14:paraId="4FBB710B" w14:textId="732484D8" w:rsidR="005B7E46" w:rsidRPr="0084658C" w:rsidRDefault="005B7E46" w:rsidP="005B7E46">
      <w:pPr>
        <w:pStyle w:val="ListParagraph"/>
        <w:numPr>
          <w:ilvl w:val="1"/>
          <w:numId w:val="9"/>
        </w:numPr>
      </w:pPr>
      <w:r>
        <w:rPr>
          <w:sz w:val="20"/>
        </w:rPr>
        <w:t>Also available is “some other indication of a comparable congressional intent”</w:t>
      </w:r>
    </w:p>
    <w:p w14:paraId="11A0AF38" w14:textId="4DD7F715" w:rsidR="005B7E46" w:rsidRPr="005B7E46" w:rsidRDefault="005B7E46" w:rsidP="005B7E46">
      <w:pPr>
        <w:pStyle w:val="ListParagraph"/>
        <w:numPr>
          <w:ilvl w:val="2"/>
          <w:numId w:val="9"/>
        </w:numPr>
      </w:pPr>
      <w:r>
        <w:rPr>
          <w:sz w:val="20"/>
        </w:rPr>
        <w:t xml:space="preserve">This </w:t>
      </w:r>
      <w:r>
        <w:rPr>
          <w:i/>
          <w:sz w:val="20"/>
        </w:rPr>
        <w:t xml:space="preserve">flips </w:t>
      </w:r>
      <w:r>
        <w:rPr>
          <w:sz w:val="20"/>
        </w:rPr>
        <w:t xml:space="preserve">the rationale </w:t>
      </w:r>
      <w:r w:rsidR="00C56CF7">
        <w:rPr>
          <w:sz w:val="20"/>
        </w:rPr>
        <w:t>for deference away from those</w:t>
      </w:r>
      <w:r>
        <w:rPr>
          <w:sz w:val="20"/>
        </w:rPr>
        <w:t xml:space="preserve"> “actually” recognized in </w:t>
      </w:r>
      <w:r>
        <w:rPr>
          <w:i/>
          <w:sz w:val="20"/>
        </w:rPr>
        <w:t>Chevron</w:t>
      </w:r>
    </w:p>
    <w:p w14:paraId="28C47BC7" w14:textId="3EC1E741" w:rsidR="005B7E46" w:rsidRPr="00D91737" w:rsidRDefault="009B4977" w:rsidP="005B7E46">
      <w:pPr>
        <w:pStyle w:val="ListParagraph"/>
        <w:numPr>
          <w:ilvl w:val="1"/>
          <w:numId w:val="9"/>
        </w:numPr>
      </w:pPr>
      <w:r>
        <w:rPr>
          <w:sz w:val="20"/>
        </w:rPr>
        <w:t>Informal adjudications &amp;</w:t>
      </w:r>
      <w:r w:rsidR="005B7E46">
        <w:rPr>
          <w:sz w:val="20"/>
        </w:rPr>
        <w:t xml:space="preserve"> interp</w:t>
      </w:r>
      <w:r>
        <w:rPr>
          <w:sz w:val="20"/>
        </w:rPr>
        <w:t>retive rules are governed by</w:t>
      </w:r>
      <w:r w:rsidR="005B7E46">
        <w:rPr>
          <w:sz w:val="20"/>
        </w:rPr>
        <w:t xml:space="preserve"> totality of the circumstances test for congressional delegation</w:t>
      </w:r>
    </w:p>
    <w:p w14:paraId="33408AAE" w14:textId="44BA7FB6" w:rsidR="00D91737" w:rsidRPr="006E2E47" w:rsidRDefault="00D91737" w:rsidP="00D91737">
      <w:pPr>
        <w:pStyle w:val="ListParagraph"/>
        <w:numPr>
          <w:ilvl w:val="2"/>
          <w:numId w:val="9"/>
        </w:numPr>
      </w:pPr>
      <w:r>
        <w:rPr>
          <w:i/>
          <w:sz w:val="20"/>
        </w:rPr>
        <w:t xml:space="preserve">Mead </w:t>
      </w:r>
      <w:r>
        <w:rPr>
          <w:sz w:val="20"/>
        </w:rPr>
        <w:t xml:space="preserve">does </w:t>
      </w:r>
      <w:r>
        <w:rPr>
          <w:i/>
          <w:sz w:val="20"/>
        </w:rPr>
        <w:t xml:space="preserve">not </w:t>
      </w:r>
      <w:r>
        <w:rPr>
          <w:sz w:val="20"/>
        </w:rPr>
        <w:t xml:space="preserve">require that informal adjudications never get </w:t>
      </w:r>
      <w:r>
        <w:rPr>
          <w:i/>
          <w:sz w:val="20"/>
        </w:rPr>
        <w:t xml:space="preserve">Chevron </w:t>
      </w:r>
      <w:r>
        <w:rPr>
          <w:sz w:val="20"/>
        </w:rPr>
        <w:t xml:space="preserve">deference. Likewise, interpretive rules will probably get </w:t>
      </w:r>
      <w:r>
        <w:rPr>
          <w:i/>
          <w:sz w:val="20"/>
        </w:rPr>
        <w:t xml:space="preserve">Skidmore </w:t>
      </w:r>
      <w:r>
        <w:rPr>
          <w:sz w:val="20"/>
        </w:rPr>
        <w:t xml:space="preserve">deference under </w:t>
      </w:r>
      <w:r>
        <w:rPr>
          <w:i/>
          <w:sz w:val="20"/>
        </w:rPr>
        <w:t>Mead</w:t>
      </w:r>
    </w:p>
    <w:p w14:paraId="41C24FFE" w14:textId="63C58DEC" w:rsidR="006E2E47" w:rsidRPr="005B7E46" w:rsidRDefault="006E2E47" w:rsidP="00D91737">
      <w:pPr>
        <w:pStyle w:val="ListParagraph"/>
        <w:numPr>
          <w:ilvl w:val="2"/>
          <w:numId w:val="9"/>
        </w:numPr>
      </w:pPr>
      <w:r>
        <w:rPr>
          <w:sz w:val="20"/>
        </w:rPr>
        <w:t>Important consideration might be reason-giving – required in all processes except informal adjudication</w:t>
      </w:r>
    </w:p>
    <w:p w14:paraId="5E5CF446" w14:textId="77BDCAC9" w:rsidR="00D91737" w:rsidRPr="00DD4D9F" w:rsidRDefault="00D91737" w:rsidP="00D91737">
      <w:pPr>
        <w:pStyle w:val="ListParagraph"/>
        <w:numPr>
          <w:ilvl w:val="1"/>
          <w:numId w:val="9"/>
        </w:numPr>
      </w:pPr>
      <w:r>
        <w:rPr>
          <w:sz w:val="20"/>
        </w:rPr>
        <w:t>Scalia</w:t>
      </w:r>
      <w:r w:rsidR="00DD1D07">
        <w:rPr>
          <w:sz w:val="20"/>
        </w:rPr>
        <w:t xml:space="preserve"> argues </w:t>
      </w:r>
      <w:r w:rsidR="00DD1D07">
        <w:rPr>
          <w:i/>
          <w:sz w:val="20"/>
        </w:rPr>
        <w:t xml:space="preserve">Mead </w:t>
      </w:r>
      <w:r w:rsidR="00DD1D07">
        <w:rPr>
          <w:sz w:val="20"/>
        </w:rPr>
        <w:t xml:space="preserve">creates a presumption of no authority, flying in the face of </w:t>
      </w:r>
      <w:r w:rsidR="00DD1D07">
        <w:rPr>
          <w:i/>
          <w:sz w:val="20"/>
        </w:rPr>
        <w:t>Chevron</w:t>
      </w:r>
    </w:p>
    <w:p w14:paraId="787CE8BC" w14:textId="21E9922C" w:rsidR="00DD4D9F" w:rsidRPr="00F46FC2" w:rsidRDefault="00DD4D9F" w:rsidP="00DA5062">
      <w:pPr>
        <w:pStyle w:val="ListParagraph"/>
        <w:numPr>
          <w:ilvl w:val="1"/>
          <w:numId w:val="9"/>
        </w:numPr>
      </w:pPr>
      <w:r>
        <w:rPr>
          <w:i/>
          <w:sz w:val="20"/>
        </w:rPr>
        <w:t xml:space="preserve">Mead </w:t>
      </w:r>
      <w:r>
        <w:rPr>
          <w:sz w:val="20"/>
        </w:rPr>
        <w:t xml:space="preserve">is a nominal reconciliation with </w:t>
      </w:r>
      <w:r>
        <w:rPr>
          <w:i/>
          <w:sz w:val="20"/>
        </w:rPr>
        <w:t>Crowell</w:t>
      </w:r>
      <w:r>
        <w:rPr>
          <w:sz w:val="20"/>
        </w:rPr>
        <w:t>-like boundaries, but AV thinks this is cold comfort</w:t>
      </w:r>
    </w:p>
    <w:p w14:paraId="23721BA1" w14:textId="0143A06B" w:rsidR="00F46FC2" w:rsidRPr="00DD4D9F" w:rsidRDefault="00F46FC2" w:rsidP="00F46FC2">
      <w:pPr>
        <w:pStyle w:val="ListParagraph"/>
        <w:numPr>
          <w:ilvl w:val="0"/>
          <w:numId w:val="9"/>
        </w:numPr>
      </w:pPr>
      <w:r>
        <w:rPr>
          <w:sz w:val="20"/>
        </w:rPr>
        <w:t xml:space="preserve">If </w:t>
      </w:r>
      <w:r>
        <w:rPr>
          <w:i/>
          <w:sz w:val="20"/>
        </w:rPr>
        <w:t xml:space="preserve">Chevron </w:t>
      </w:r>
      <w:r w:rsidR="00C56CF7">
        <w:rPr>
          <w:sz w:val="20"/>
        </w:rPr>
        <w:t>doesn’t</w:t>
      </w:r>
      <w:r>
        <w:rPr>
          <w:sz w:val="20"/>
        </w:rPr>
        <w:t xml:space="preserve"> apply under step 0, </w:t>
      </w:r>
      <w:r>
        <w:rPr>
          <w:i/>
          <w:sz w:val="20"/>
        </w:rPr>
        <w:t xml:space="preserve">Skidmore </w:t>
      </w:r>
      <w:r w:rsidR="00C56CF7">
        <w:rPr>
          <w:sz w:val="20"/>
        </w:rPr>
        <w:t xml:space="preserve">deference might (but not necessarily </w:t>
      </w:r>
      <w:r w:rsidR="00C56CF7" w:rsidRPr="00C56CF7">
        <w:rPr>
          <w:i/>
          <w:sz w:val="20"/>
        </w:rPr>
        <w:t>will</w:t>
      </w:r>
      <w:r>
        <w:rPr>
          <w:sz w:val="20"/>
        </w:rPr>
        <w:t xml:space="preserve">) </w:t>
      </w:r>
      <w:r w:rsidR="00C56CF7">
        <w:rPr>
          <w:sz w:val="20"/>
        </w:rPr>
        <w:t xml:space="preserve">be </w:t>
      </w:r>
      <w:r>
        <w:rPr>
          <w:sz w:val="20"/>
        </w:rPr>
        <w:t>appropriate</w:t>
      </w:r>
    </w:p>
    <w:p w14:paraId="6578003B" w14:textId="54993875" w:rsidR="00DD4D9F" w:rsidRPr="00F46FC2" w:rsidRDefault="00DD4D9F" w:rsidP="00DD4D9F">
      <w:pPr>
        <w:pStyle w:val="ListParagraph"/>
        <w:numPr>
          <w:ilvl w:val="1"/>
          <w:numId w:val="9"/>
        </w:numPr>
      </w:pPr>
      <w:r>
        <w:rPr>
          <w:sz w:val="20"/>
        </w:rPr>
        <w:t xml:space="preserve">Creates a broad spectrum of deference – </w:t>
      </w:r>
      <w:r>
        <w:rPr>
          <w:i/>
          <w:sz w:val="20"/>
        </w:rPr>
        <w:t xml:space="preserve">Chevron </w:t>
      </w:r>
      <w:r>
        <w:rPr>
          <w:sz w:val="20"/>
        </w:rPr>
        <w:t xml:space="preserve">to </w:t>
      </w:r>
      <w:r>
        <w:rPr>
          <w:i/>
          <w:sz w:val="20"/>
        </w:rPr>
        <w:t xml:space="preserve">Skidmore </w:t>
      </w:r>
      <w:r>
        <w:rPr>
          <w:sz w:val="20"/>
        </w:rPr>
        <w:t>to no deference at all</w:t>
      </w:r>
    </w:p>
    <w:p w14:paraId="12120F30" w14:textId="44F99609" w:rsidR="00F46FC2" w:rsidRPr="00C4620C" w:rsidRDefault="00F46FC2" w:rsidP="00F46FC2">
      <w:pPr>
        <w:pStyle w:val="ListParagraph"/>
        <w:numPr>
          <w:ilvl w:val="0"/>
          <w:numId w:val="9"/>
        </w:numPr>
      </w:pPr>
      <w:r>
        <w:rPr>
          <w:i/>
          <w:sz w:val="20"/>
        </w:rPr>
        <w:lastRenderedPageBreak/>
        <w:t xml:space="preserve">Barnhart </w:t>
      </w:r>
      <w:r>
        <w:rPr>
          <w:sz w:val="20"/>
        </w:rPr>
        <w:t xml:space="preserve">tries to shift step 0 away from </w:t>
      </w:r>
      <w:r>
        <w:rPr>
          <w:i/>
          <w:sz w:val="20"/>
        </w:rPr>
        <w:t>Mead</w:t>
      </w:r>
      <w:r>
        <w:rPr>
          <w:sz w:val="20"/>
        </w:rPr>
        <w:t>’</w:t>
      </w:r>
      <w:r w:rsidR="009B4977">
        <w:rPr>
          <w:sz w:val="20"/>
        </w:rPr>
        <w:t xml:space="preserve">s formality grid and towards </w:t>
      </w:r>
      <w:r>
        <w:rPr>
          <w:i/>
          <w:sz w:val="20"/>
        </w:rPr>
        <w:t xml:space="preserve">Skidmore </w:t>
      </w:r>
      <w:r w:rsidR="009B4977">
        <w:rPr>
          <w:sz w:val="20"/>
        </w:rPr>
        <w:t>factors – the test for if</w:t>
      </w:r>
      <w:r>
        <w:rPr>
          <w:sz w:val="20"/>
        </w:rPr>
        <w:t xml:space="preserve"> </w:t>
      </w:r>
      <w:r>
        <w:rPr>
          <w:i/>
          <w:sz w:val="20"/>
        </w:rPr>
        <w:t xml:space="preserve">Chevron </w:t>
      </w:r>
      <w:r>
        <w:rPr>
          <w:sz w:val="20"/>
        </w:rPr>
        <w:t xml:space="preserve">deference is warranted </w:t>
      </w:r>
      <w:r>
        <w:rPr>
          <w:i/>
          <w:sz w:val="20"/>
        </w:rPr>
        <w:t xml:space="preserve">is </w:t>
      </w:r>
      <w:r>
        <w:rPr>
          <w:sz w:val="20"/>
        </w:rPr>
        <w:t xml:space="preserve">the </w:t>
      </w:r>
      <w:r w:rsidR="00DA5062">
        <w:rPr>
          <w:i/>
          <w:sz w:val="20"/>
        </w:rPr>
        <w:t>Barnhart</w:t>
      </w:r>
      <w:r>
        <w:rPr>
          <w:i/>
          <w:sz w:val="20"/>
        </w:rPr>
        <w:t xml:space="preserve"> </w:t>
      </w:r>
      <w:r>
        <w:rPr>
          <w:sz w:val="20"/>
        </w:rPr>
        <w:t xml:space="preserve">factors. If no </w:t>
      </w:r>
      <w:r>
        <w:rPr>
          <w:i/>
          <w:sz w:val="20"/>
        </w:rPr>
        <w:t xml:space="preserve">Chevron </w:t>
      </w:r>
      <w:r w:rsidR="009B4977">
        <w:rPr>
          <w:sz w:val="20"/>
        </w:rPr>
        <w:t xml:space="preserve">deference, then use </w:t>
      </w:r>
      <w:r>
        <w:rPr>
          <w:i/>
          <w:sz w:val="20"/>
        </w:rPr>
        <w:t xml:space="preserve">Skidmore </w:t>
      </w:r>
      <w:r>
        <w:rPr>
          <w:sz w:val="20"/>
        </w:rPr>
        <w:t>to determine “how much” deference is due</w:t>
      </w:r>
    </w:p>
    <w:p w14:paraId="35FDAE69" w14:textId="1A5CCD7D" w:rsidR="00C4620C" w:rsidRPr="00F46FC2" w:rsidRDefault="00C4620C" w:rsidP="00C4620C">
      <w:pPr>
        <w:pStyle w:val="ListParagraph"/>
        <w:numPr>
          <w:ilvl w:val="1"/>
          <w:numId w:val="9"/>
        </w:numPr>
      </w:pPr>
      <w:r>
        <w:rPr>
          <w:i/>
          <w:sz w:val="20"/>
        </w:rPr>
        <w:t xml:space="preserve">Barnhart </w:t>
      </w:r>
      <w:r w:rsidR="00CC0F2D">
        <w:rPr>
          <w:sz w:val="20"/>
        </w:rPr>
        <w:t xml:space="preserve">factors are essentially the same as </w:t>
      </w:r>
      <w:r w:rsidR="00CC0F2D">
        <w:rPr>
          <w:i/>
          <w:sz w:val="20"/>
        </w:rPr>
        <w:t xml:space="preserve">Skidmore </w:t>
      </w:r>
      <w:r w:rsidR="00CC0F2D">
        <w:rPr>
          <w:sz w:val="20"/>
        </w:rPr>
        <w:t>factors, but slightly different: importance of legal question</w:t>
      </w:r>
      <w:r w:rsidR="00F04AB8">
        <w:rPr>
          <w:sz w:val="20"/>
        </w:rPr>
        <w:t>,</w:t>
      </w:r>
      <w:r w:rsidR="00CC0F2D">
        <w:rPr>
          <w:sz w:val="20"/>
        </w:rPr>
        <w:t xml:space="preserve"> related agency expertise, complexity of the administration, and agency’s consideration over a long period of time</w:t>
      </w:r>
    </w:p>
    <w:p w14:paraId="28569E10" w14:textId="75466E10" w:rsidR="00F46FC2" w:rsidRPr="00943D42" w:rsidRDefault="00F46FC2" w:rsidP="00F46FC2">
      <w:pPr>
        <w:pStyle w:val="ListParagraph"/>
        <w:numPr>
          <w:ilvl w:val="1"/>
          <w:numId w:val="9"/>
        </w:numPr>
      </w:pPr>
      <w:r>
        <w:rPr>
          <w:sz w:val="20"/>
        </w:rPr>
        <w:t xml:space="preserve">This is AV’s black hole of deference, and is seen in </w:t>
      </w:r>
      <w:r>
        <w:rPr>
          <w:i/>
          <w:sz w:val="20"/>
        </w:rPr>
        <w:t>Gonzales v. Oregon</w:t>
      </w:r>
    </w:p>
    <w:p w14:paraId="29F941A4" w14:textId="48E9FAA6" w:rsidR="00943D42" w:rsidRPr="00807E9B" w:rsidRDefault="00943D42" w:rsidP="00943D42">
      <w:pPr>
        <w:pStyle w:val="ListParagraph"/>
        <w:numPr>
          <w:ilvl w:val="2"/>
          <w:numId w:val="9"/>
        </w:numPr>
      </w:pPr>
      <w:r>
        <w:rPr>
          <w:sz w:val="20"/>
        </w:rPr>
        <w:t xml:space="preserve">No deference in </w:t>
      </w:r>
      <w:r>
        <w:rPr>
          <w:i/>
          <w:sz w:val="20"/>
        </w:rPr>
        <w:t xml:space="preserve">Gonzales </w:t>
      </w:r>
      <w:r>
        <w:rPr>
          <w:sz w:val="20"/>
        </w:rPr>
        <w:t>because the agency was not an expert in the relevant field and the agency attempted to encroach on traditional provinces of the state</w:t>
      </w:r>
    </w:p>
    <w:p w14:paraId="534196B5" w14:textId="333EC684" w:rsidR="00807E9B" w:rsidRDefault="00807E9B" w:rsidP="00807E9B">
      <w:pPr>
        <w:pStyle w:val="Heading4"/>
        <w:rPr>
          <w:sz w:val="20"/>
        </w:rPr>
      </w:pPr>
      <w:r>
        <w:rPr>
          <w:sz w:val="20"/>
        </w:rPr>
        <w:t>Chevron Step 1</w:t>
      </w:r>
    </w:p>
    <w:p w14:paraId="0A527DD0" w14:textId="6E31E81B" w:rsidR="00807E9B" w:rsidRPr="00846F8B" w:rsidRDefault="00606B28" w:rsidP="00807E9B">
      <w:pPr>
        <w:pStyle w:val="ListParagraph"/>
        <w:numPr>
          <w:ilvl w:val="0"/>
          <w:numId w:val="10"/>
        </w:numPr>
      </w:pPr>
      <w:r>
        <w:rPr>
          <w:i/>
          <w:sz w:val="20"/>
        </w:rPr>
        <w:t>MCI</w:t>
      </w:r>
      <w:r w:rsidR="00FD2A46">
        <w:rPr>
          <w:i/>
          <w:sz w:val="20"/>
        </w:rPr>
        <w:t xml:space="preserve"> </w:t>
      </w:r>
      <w:r w:rsidR="00FD2A46">
        <w:rPr>
          <w:sz w:val="20"/>
        </w:rPr>
        <w:t>gives birth to the major question doctrine – uncertainty that Congress intended to delegate a decision of great economic and political significance to an agency in a cryptic fashion</w:t>
      </w:r>
    </w:p>
    <w:p w14:paraId="59D57EAE" w14:textId="1378745E" w:rsidR="00846F8B" w:rsidRPr="00846F8B" w:rsidRDefault="00846F8B" w:rsidP="00846F8B">
      <w:pPr>
        <w:pStyle w:val="ListParagraph"/>
        <w:numPr>
          <w:ilvl w:val="1"/>
          <w:numId w:val="10"/>
        </w:numPr>
      </w:pPr>
      <w:r>
        <w:rPr>
          <w:sz w:val="20"/>
        </w:rPr>
        <w:t>Primary justifications for the major question doctrine:</w:t>
      </w:r>
    </w:p>
    <w:p w14:paraId="0F14FF3C" w14:textId="50450CC5" w:rsidR="00846F8B" w:rsidRPr="00846F8B" w:rsidRDefault="00846F8B" w:rsidP="00846F8B">
      <w:pPr>
        <w:pStyle w:val="ListParagraph"/>
        <w:numPr>
          <w:ilvl w:val="2"/>
          <w:numId w:val="10"/>
        </w:numPr>
      </w:pPr>
      <w:r>
        <w:rPr>
          <w:sz w:val="20"/>
        </w:rPr>
        <w:t xml:space="preserve">Congress should make decisions, not agencies (excuse for courts </w:t>
      </w:r>
      <w:r>
        <w:rPr>
          <w:i/>
          <w:sz w:val="20"/>
        </w:rPr>
        <w:t xml:space="preserve">not </w:t>
      </w:r>
      <w:r>
        <w:rPr>
          <w:sz w:val="20"/>
        </w:rPr>
        <w:t>to decide)</w:t>
      </w:r>
    </w:p>
    <w:p w14:paraId="5A03D646" w14:textId="657A2D60" w:rsidR="00846F8B" w:rsidRPr="00846F8B" w:rsidRDefault="00846F8B" w:rsidP="00846F8B">
      <w:pPr>
        <w:pStyle w:val="ListParagraph"/>
        <w:numPr>
          <w:ilvl w:val="2"/>
          <w:numId w:val="10"/>
        </w:numPr>
      </w:pPr>
      <w:r>
        <w:rPr>
          <w:sz w:val="20"/>
        </w:rPr>
        <w:t xml:space="preserve">Some questions should not be politicized (excuse for courts </w:t>
      </w:r>
      <w:r>
        <w:rPr>
          <w:i/>
          <w:sz w:val="20"/>
        </w:rPr>
        <w:t xml:space="preserve">to </w:t>
      </w:r>
      <w:r>
        <w:rPr>
          <w:sz w:val="20"/>
        </w:rPr>
        <w:t>decide)</w:t>
      </w:r>
    </w:p>
    <w:p w14:paraId="1B2BAAFF" w14:textId="213563B5" w:rsidR="00846F8B" w:rsidRPr="00846F8B" w:rsidRDefault="00846F8B" w:rsidP="00846F8B">
      <w:pPr>
        <w:pStyle w:val="ListParagraph"/>
        <w:numPr>
          <w:ilvl w:val="2"/>
          <w:numId w:val="10"/>
        </w:numPr>
      </w:pPr>
      <w:r>
        <w:rPr>
          <w:sz w:val="20"/>
        </w:rPr>
        <w:t xml:space="preserve">Canon of interpretation (allows it to be used in </w:t>
      </w:r>
      <w:r w:rsidR="009B4977">
        <w:rPr>
          <w:i/>
          <w:sz w:val="20"/>
        </w:rPr>
        <w:t xml:space="preserve">Chevron </w:t>
      </w:r>
      <w:r>
        <w:rPr>
          <w:sz w:val="20"/>
        </w:rPr>
        <w:t>step 1)</w:t>
      </w:r>
    </w:p>
    <w:p w14:paraId="59D88A4C" w14:textId="776081C8" w:rsidR="00846F8B" w:rsidRPr="00846F8B" w:rsidRDefault="00846F8B" w:rsidP="00846F8B">
      <w:pPr>
        <w:pStyle w:val="ListParagraph"/>
        <w:numPr>
          <w:ilvl w:val="2"/>
          <w:numId w:val="10"/>
        </w:numPr>
      </w:pPr>
      <w:r>
        <w:rPr>
          <w:sz w:val="20"/>
        </w:rPr>
        <w:t xml:space="preserve">Check on agency overreach (killed by </w:t>
      </w:r>
      <w:r>
        <w:rPr>
          <w:i/>
          <w:sz w:val="20"/>
        </w:rPr>
        <w:t>Mass v. EPA</w:t>
      </w:r>
      <w:r w:rsidR="007F725F">
        <w:rPr>
          <w:i/>
          <w:sz w:val="20"/>
        </w:rPr>
        <w:t xml:space="preserve">, </w:t>
      </w:r>
      <w:r w:rsidR="007F725F">
        <w:rPr>
          <w:sz w:val="20"/>
        </w:rPr>
        <w:t>but brought back in force by UARG</w:t>
      </w:r>
      <w:r>
        <w:rPr>
          <w:sz w:val="20"/>
        </w:rPr>
        <w:t>)</w:t>
      </w:r>
    </w:p>
    <w:p w14:paraId="128A03BF" w14:textId="0E558942" w:rsidR="00846F8B" w:rsidRPr="00846F8B" w:rsidRDefault="009B4977" w:rsidP="00846F8B">
      <w:pPr>
        <w:pStyle w:val="ListParagraph"/>
        <w:numPr>
          <w:ilvl w:val="1"/>
          <w:numId w:val="10"/>
        </w:numPr>
      </w:pPr>
      <w:r>
        <w:rPr>
          <w:sz w:val="20"/>
        </w:rPr>
        <w:t>Is</w:t>
      </w:r>
      <w:r w:rsidR="00846F8B">
        <w:rPr>
          <w:sz w:val="20"/>
        </w:rPr>
        <w:t xml:space="preserve"> a judge’s duty to interpret the </w:t>
      </w:r>
      <w:r w:rsidR="00846F8B">
        <w:rPr>
          <w:i/>
          <w:sz w:val="20"/>
        </w:rPr>
        <w:t>statute as a whole</w:t>
      </w:r>
      <w:r>
        <w:rPr>
          <w:sz w:val="20"/>
        </w:rPr>
        <w:t xml:space="preserve">, or define individual words </w:t>
      </w:r>
      <w:r w:rsidR="00846F8B">
        <w:rPr>
          <w:sz w:val="20"/>
        </w:rPr>
        <w:t>in the abstract?</w:t>
      </w:r>
    </w:p>
    <w:p w14:paraId="7176D328" w14:textId="6C0E8DC1" w:rsidR="00846F8B" w:rsidRPr="00D77FCA" w:rsidRDefault="00846F8B" w:rsidP="00846F8B">
      <w:pPr>
        <w:pStyle w:val="ListParagraph"/>
        <w:numPr>
          <w:ilvl w:val="1"/>
          <w:numId w:val="10"/>
        </w:numPr>
      </w:pPr>
      <w:r>
        <w:rPr>
          <w:sz w:val="20"/>
        </w:rPr>
        <w:t>Is MQ doctrine a return to the non</w:t>
      </w:r>
      <w:r w:rsidR="0055641F">
        <w:rPr>
          <w:sz w:val="20"/>
        </w:rPr>
        <w:t>-</w:t>
      </w:r>
      <w:r>
        <w:rPr>
          <w:sz w:val="20"/>
        </w:rPr>
        <w:t>delegation doctrine?</w:t>
      </w:r>
    </w:p>
    <w:p w14:paraId="3A1A854D" w14:textId="2BAEFBC2" w:rsidR="00D77FCA" w:rsidRPr="00D77FCA" w:rsidRDefault="00D77FCA" w:rsidP="00D77FCA">
      <w:pPr>
        <w:pStyle w:val="ListParagraph"/>
        <w:numPr>
          <w:ilvl w:val="0"/>
          <w:numId w:val="10"/>
        </w:numPr>
      </w:pPr>
      <w:r>
        <w:rPr>
          <w:i/>
          <w:sz w:val="20"/>
        </w:rPr>
        <w:t xml:space="preserve">Brown &amp; Williamson </w:t>
      </w:r>
      <w:r>
        <w:rPr>
          <w:sz w:val="20"/>
        </w:rPr>
        <w:t xml:space="preserve">further refines MQ doctrine, noting that if the proposed regulatory scheme does not </w:t>
      </w:r>
      <w:r>
        <w:rPr>
          <w:i/>
          <w:sz w:val="20"/>
        </w:rPr>
        <w:t xml:space="preserve">fit </w:t>
      </w:r>
      <w:r>
        <w:rPr>
          <w:sz w:val="20"/>
        </w:rPr>
        <w:t>with the statutory command, a court can take it away from the agency</w:t>
      </w:r>
    </w:p>
    <w:p w14:paraId="49F1610C" w14:textId="0DE845A6" w:rsidR="00D77FCA" w:rsidRPr="00D77FCA" w:rsidRDefault="00D77FCA" w:rsidP="00D77FCA">
      <w:pPr>
        <w:pStyle w:val="ListParagraph"/>
        <w:numPr>
          <w:ilvl w:val="1"/>
          <w:numId w:val="10"/>
        </w:numPr>
      </w:pPr>
      <w:r>
        <w:rPr>
          <w:sz w:val="20"/>
        </w:rPr>
        <w:t xml:space="preserve">Ignored in </w:t>
      </w:r>
      <w:r>
        <w:rPr>
          <w:i/>
          <w:sz w:val="20"/>
        </w:rPr>
        <w:t>Mass v. EPA</w:t>
      </w:r>
      <w:r>
        <w:rPr>
          <w:sz w:val="20"/>
        </w:rPr>
        <w:t xml:space="preserve"> – one of many reasons why these two cases are inconsistent</w:t>
      </w:r>
    </w:p>
    <w:p w14:paraId="0588E9E1" w14:textId="77777777" w:rsidR="00BE3E5E" w:rsidRPr="00BE3E5E" w:rsidRDefault="00D77FCA" w:rsidP="00BE3E5E">
      <w:pPr>
        <w:pStyle w:val="ListParagraph"/>
        <w:numPr>
          <w:ilvl w:val="2"/>
          <w:numId w:val="10"/>
        </w:numPr>
      </w:pPr>
      <w:r>
        <w:rPr>
          <w:sz w:val="20"/>
        </w:rPr>
        <w:t>This inco</w:t>
      </w:r>
      <w:r w:rsidR="003052C6">
        <w:rPr>
          <w:sz w:val="20"/>
        </w:rPr>
        <w:t>nsistency is cause for despair</w:t>
      </w:r>
      <w:r>
        <w:rPr>
          <w:sz w:val="20"/>
        </w:rPr>
        <w:t xml:space="preserve"> – there is no way to argue with a court’s determination that a statute is unambiguous. Based on decisions in </w:t>
      </w:r>
      <w:r>
        <w:rPr>
          <w:i/>
          <w:sz w:val="20"/>
        </w:rPr>
        <w:t xml:space="preserve">Mass v. EPA </w:t>
      </w:r>
      <w:r>
        <w:rPr>
          <w:sz w:val="20"/>
        </w:rPr>
        <w:t xml:space="preserve">and </w:t>
      </w:r>
      <w:r>
        <w:rPr>
          <w:i/>
          <w:sz w:val="20"/>
        </w:rPr>
        <w:t>Brown &amp; Williamson</w:t>
      </w:r>
      <w:r>
        <w:rPr>
          <w:sz w:val="20"/>
        </w:rPr>
        <w:t>, a court can make that determination very easily, whenever it wants, to achieve a given policy goal</w:t>
      </w:r>
    </w:p>
    <w:p w14:paraId="1532E2F4" w14:textId="39D69D23" w:rsidR="00BE3E5E" w:rsidRPr="00BE3E5E" w:rsidRDefault="00BE3E5E" w:rsidP="00BE3E5E">
      <w:pPr>
        <w:pStyle w:val="ListParagraph"/>
        <w:numPr>
          <w:ilvl w:val="0"/>
          <w:numId w:val="10"/>
        </w:numPr>
      </w:pPr>
      <w:r w:rsidRPr="00BE3E5E">
        <w:rPr>
          <w:i/>
          <w:sz w:val="20"/>
        </w:rPr>
        <w:t xml:space="preserve">UARG </w:t>
      </w:r>
      <w:r w:rsidRPr="00BE3E5E">
        <w:rPr>
          <w:sz w:val="20"/>
        </w:rPr>
        <w:t xml:space="preserve">uses MQ to keep the Court in Step 1 – Roberts uses MQ in </w:t>
      </w:r>
      <w:r w:rsidRPr="00BE3E5E">
        <w:rPr>
          <w:i/>
          <w:sz w:val="20"/>
        </w:rPr>
        <w:t xml:space="preserve">King v. Burwell </w:t>
      </w:r>
      <w:r w:rsidRPr="00BE3E5E">
        <w:rPr>
          <w:sz w:val="20"/>
        </w:rPr>
        <w:t>to keep the Court in Step 0 – which i</w:t>
      </w:r>
      <w:r w:rsidR="00DD2DFA">
        <w:rPr>
          <w:sz w:val="20"/>
        </w:rPr>
        <w:t>s the better way to look at it?</w:t>
      </w:r>
    </w:p>
    <w:p w14:paraId="3BBFF0E3" w14:textId="081F58BD" w:rsidR="00E93F09" w:rsidRPr="00437667" w:rsidRDefault="00BE3E5E" w:rsidP="00E93F09">
      <w:pPr>
        <w:pStyle w:val="ListParagraph"/>
        <w:numPr>
          <w:ilvl w:val="1"/>
          <w:numId w:val="10"/>
        </w:numPr>
      </w:pPr>
      <w:r>
        <w:rPr>
          <w:sz w:val="20"/>
        </w:rPr>
        <w:t xml:space="preserve">One possible interpretation is that Roberts is trying to create a robust Step 0 inquiry to keep more cases out of </w:t>
      </w:r>
      <w:r>
        <w:rPr>
          <w:i/>
          <w:sz w:val="20"/>
        </w:rPr>
        <w:t>Chevron</w:t>
      </w:r>
      <w:r>
        <w:rPr>
          <w:sz w:val="20"/>
        </w:rPr>
        <w:t>, ultimately leading to a reduction in its importance</w:t>
      </w:r>
    </w:p>
    <w:p w14:paraId="36F3880B" w14:textId="623D3293" w:rsidR="00437667" w:rsidRDefault="00437667" w:rsidP="00437667">
      <w:pPr>
        <w:pStyle w:val="Heading4"/>
        <w:rPr>
          <w:sz w:val="20"/>
        </w:rPr>
      </w:pPr>
      <w:r>
        <w:rPr>
          <w:sz w:val="20"/>
        </w:rPr>
        <w:t>Chevron Step 2</w:t>
      </w:r>
    </w:p>
    <w:p w14:paraId="60CA0EB0" w14:textId="39406426" w:rsidR="00437667" w:rsidRPr="0009194C" w:rsidRDefault="00437667" w:rsidP="00437667">
      <w:pPr>
        <w:pStyle w:val="ListParagraph"/>
        <w:numPr>
          <w:ilvl w:val="0"/>
          <w:numId w:val="12"/>
        </w:numPr>
      </w:pPr>
      <w:r>
        <w:rPr>
          <w:i/>
          <w:sz w:val="20"/>
        </w:rPr>
        <w:t xml:space="preserve">Entergy </w:t>
      </w:r>
      <w:r>
        <w:rPr>
          <w:sz w:val="20"/>
        </w:rPr>
        <w:t xml:space="preserve">embraces idea that an agency can disagree with courts within a range of reasonableness – this is </w:t>
      </w:r>
      <w:r>
        <w:rPr>
          <w:i/>
          <w:sz w:val="20"/>
        </w:rPr>
        <w:t xml:space="preserve">antithetical </w:t>
      </w:r>
      <w:r>
        <w:rPr>
          <w:sz w:val="20"/>
        </w:rPr>
        <w:t xml:space="preserve">to </w:t>
      </w:r>
      <w:r>
        <w:rPr>
          <w:i/>
          <w:sz w:val="20"/>
        </w:rPr>
        <w:t>Crowell</w:t>
      </w:r>
    </w:p>
    <w:p w14:paraId="764ECF4E" w14:textId="7B6004C3" w:rsidR="0009194C" w:rsidRPr="0009194C" w:rsidRDefault="0009194C" w:rsidP="0009194C">
      <w:pPr>
        <w:pStyle w:val="ListParagraph"/>
        <w:numPr>
          <w:ilvl w:val="1"/>
          <w:numId w:val="12"/>
        </w:numPr>
      </w:pPr>
      <w:r>
        <w:rPr>
          <w:sz w:val="20"/>
        </w:rPr>
        <w:t>Stevens vehemently argues that the majority has skipped step 1 (</w:t>
      </w:r>
      <w:r w:rsidR="006E2EA5">
        <w:rPr>
          <w:sz w:val="20"/>
        </w:rPr>
        <w:t>I</w:t>
      </w:r>
      <w:r>
        <w:rPr>
          <w:sz w:val="20"/>
        </w:rPr>
        <w:t xml:space="preserve">s the statute </w:t>
      </w:r>
      <w:r w:rsidR="006E2EA5">
        <w:rPr>
          <w:sz w:val="20"/>
        </w:rPr>
        <w:t>unambiguous? YES!) and went</w:t>
      </w:r>
      <w:r>
        <w:rPr>
          <w:sz w:val="20"/>
        </w:rPr>
        <w:t xml:space="preserve"> straight to step 2</w:t>
      </w:r>
    </w:p>
    <w:p w14:paraId="05438E63" w14:textId="6DA10E99" w:rsidR="0009194C" w:rsidRPr="0042759E" w:rsidRDefault="0009194C" w:rsidP="0009194C">
      <w:pPr>
        <w:pStyle w:val="ListParagraph"/>
        <w:numPr>
          <w:ilvl w:val="2"/>
          <w:numId w:val="12"/>
        </w:numPr>
      </w:pPr>
      <w:r>
        <w:rPr>
          <w:sz w:val="20"/>
        </w:rPr>
        <w:t>This is fundamentally a case about how s</w:t>
      </w:r>
      <w:r w:rsidR="006E2EA5">
        <w:rPr>
          <w:sz w:val="20"/>
        </w:rPr>
        <w:t>ilence should be interpreted:</w:t>
      </w:r>
      <w:r>
        <w:rPr>
          <w:sz w:val="20"/>
        </w:rPr>
        <w:t xml:space="preserve"> </w:t>
      </w:r>
      <w:r w:rsidR="006E2EA5">
        <w:rPr>
          <w:sz w:val="20"/>
        </w:rPr>
        <w:t xml:space="preserve">does </w:t>
      </w:r>
      <w:r>
        <w:rPr>
          <w:sz w:val="20"/>
        </w:rPr>
        <w:t xml:space="preserve">silence as to whether a factor may be considered permit </w:t>
      </w:r>
      <w:r w:rsidR="006E2EA5">
        <w:rPr>
          <w:sz w:val="20"/>
        </w:rPr>
        <w:t xml:space="preserve">or preclude </w:t>
      </w:r>
      <w:r>
        <w:rPr>
          <w:sz w:val="20"/>
        </w:rPr>
        <w:t>t</w:t>
      </w:r>
      <w:r w:rsidR="006E2EA5">
        <w:rPr>
          <w:sz w:val="20"/>
        </w:rPr>
        <w:t>he agency from considering it?</w:t>
      </w:r>
    </w:p>
    <w:p w14:paraId="6E374890" w14:textId="56F87F61" w:rsidR="0042759E" w:rsidRPr="0042759E" w:rsidRDefault="006E2EA5" w:rsidP="0042759E">
      <w:pPr>
        <w:pStyle w:val="ListParagraph"/>
        <w:numPr>
          <w:ilvl w:val="3"/>
          <w:numId w:val="12"/>
        </w:numPr>
      </w:pPr>
      <w:r>
        <w:rPr>
          <w:sz w:val="20"/>
        </w:rPr>
        <w:t>Does the analysis change</w:t>
      </w:r>
      <w:r w:rsidR="0042759E">
        <w:rPr>
          <w:sz w:val="20"/>
        </w:rPr>
        <w:t xml:space="preserve"> given that other areas of the statute explicitly allow the disputed factor to be used?</w:t>
      </w:r>
    </w:p>
    <w:p w14:paraId="4673938C" w14:textId="4CDDFE3D" w:rsidR="0042759E" w:rsidRPr="008F0622" w:rsidRDefault="00450CC0" w:rsidP="0042759E">
      <w:pPr>
        <w:pStyle w:val="ListParagraph"/>
        <w:numPr>
          <w:ilvl w:val="0"/>
          <w:numId w:val="12"/>
        </w:numPr>
      </w:pPr>
      <w:r>
        <w:rPr>
          <w:i/>
          <w:sz w:val="20"/>
        </w:rPr>
        <w:t xml:space="preserve">Brand X </w:t>
      </w:r>
      <w:r>
        <w:rPr>
          <w:sz w:val="20"/>
        </w:rPr>
        <w:t>establishes a default rule that pre-</w:t>
      </w:r>
      <w:r>
        <w:rPr>
          <w:i/>
          <w:sz w:val="20"/>
        </w:rPr>
        <w:t xml:space="preserve">Brand X </w:t>
      </w:r>
      <w:r>
        <w:rPr>
          <w:sz w:val="20"/>
        </w:rPr>
        <w:t xml:space="preserve">cases indicated only a court’s judgment of the “best” interpretation, not foreclosing later agency interpretations under </w:t>
      </w:r>
      <w:r>
        <w:rPr>
          <w:i/>
          <w:sz w:val="20"/>
        </w:rPr>
        <w:t xml:space="preserve">Chevron </w:t>
      </w:r>
      <w:r>
        <w:rPr>
          <w:sz w:val="20"/>
        </w:rPr>
        <w:t>step 2</w:t>
      </w:r>
    </w:p>
    <w:p w14:paraId="7B6F4B57" w14:textId="531A10DC" w:rsidR="008F0622" w:rsidRPr="00450CC0" w:rsidRDefault="008F0622" w:rsidP="008F0622">
      <w:pPr>
        <w:pStyle w:val="ListParagraph"/>
        <w:numPr>
          <w:ilvl w:val="1"/>
          <w:numId w:val="12"/>
        </w:numPr>
      </w:pPr>
      <w:r>
        <w:rPr>
          <w:sz w:val="20"/>
        </w:rPr>
        <w:t xml:space="preserve">Essentially creates a threshold inquiry – if prior judicial opinion does </w:t>
      </w:r>
      <w:r>
        <w:rPr>
          <w:i/>
          <w:sz w:val="20"/>
        </w:rPr>
        <w:t xml:space="preserve">not </w:t>
      </w:r>
      <w:r>
        <w:rPr>
          <w:sz w:val="20"/>
        </w:rPr>
        <w:t xml:space="preserve">control, agency might still lose in </w:t>
      </w:r>
      <w:r>
        <w:rPr>
          <w:i/>
          <w:sz w:val="20"/>
        </w:rPr>
        <w:t>Chevron</w:t>
      </w:r>
    </w:p>
    <w:p w14:paraId="768A0BC6" w14:textId="735D08B8" w:rsidR="00450CC0" w:rsidRPr="004D31DA" w:rsidRDefault="00450CC0" w:rsidP="00450CC0">
      <w:pPr>
        <w:pStyle w:val="ListParagraph"/>
        <w:numPr>
          <w:ilvl w:val="1"/>
          <w:numId w:val="12"/>
        </w:numPr>
      </w:pPr>
      <w:r>
        <w:rPr>
          <w:sz w:val="20"/>
        </w:rPr>
        <w:t xml:space="preserve">Scalia channels a </w:t>
      </w:r>
      <w:r>
        <w:rPr>
          <w:i/>
          <w:sz w:val="20"/>
        </w:rPr>
        <w:t>Crowell</w:t>
      </w:r>
      <w:r>
        <w:rPr>
          <w:sz w:val="20"/>
        </w:rPr>
        <w:t xml:space="preserve">-like concern by noting that this leads to a result where an agency can reverse </w:t>
      </w:r>
      <w:r>
        <w:rPr>
          <w:i/>
          <w:sz w:val="20"/>
        </w:rPr>
        <w:t xml:space="preserve">every </w:t>
      </w:r>
      <w:r>
        <w:rPr>
          <w:sz w:val="20"/>
        </w:rPr>
        <w:t xml:space="preserve">judicial decision under </w:t>
      </w:r>
      <w:r>
        <w:rPr>
          <w:i/>
          <w:sz w:val="20"/>
        </w:rPr>
        <w:t xml:space="preserve">Chevron </w:t>
      </w:r>
      <w:r>
        <w:rPr>
          <w:sz w:val="20"/>
        </w:rPr>
        <w:t>step 2</w:t>
      </w:r>
    </w:p>
    <w:p w14:paraId="46C5EABF" w14:textId="66AC2165" w:rsidR="008F0622" w:rsidRPr="0063709D" w:rsidRDefault="00DA5062" w:rsidP="007F09E6">
      <w:pPr>
        <w:pStyle w:val="ListParagraph"/>
        <w:numPr>
          <w:ilvl w:val="2"/>
          <w:numId w:val="12"/>
        </w:numPr>
      </w:pPr>
      <w:r>
        <w:rPr>
          <w:sz w:val="20"/>
        </w:rPr>
        <w:t xml:space="preserve">Rejoinder – </w:t>
      </w:r>
      <w:r w:rsidR="004D31DA" w:rsidRPr="008F0622">
        <w:rPr>
          <w:sz w:val="20"/>
        </w:rPr>
        <w:t>courts still have ultimate control – they can simply decide whether agencies must follow a “point estimate” of the law, or stay within a range of reasonableness</w:t>
      </w:r>
    </w:p>
    <w:p w14:paraId="066975D6" w14:textId="7A3CA311" w:rsidR="0063709D" w:rsidRPr="00437667" w:rsidRDefault="0063709D" w:rsidP="007F09E6">
      <w:pPr>
        <w:pStyle w:val="ListParagraph"/>
        <w:numPr>
          <w:ilvl w:val="2"/>
          <w:numId w:val="12"/>
        </w:numPr>
      </w:pPr>
      <w:r>
        <w:rPr>
          <w:sz w:val="20"/>
        </w:rPr>
        <w:t xml:space="preserve">AV thinks it is inconsistent to reject </w:t>
      </w:r>
      <w:r>
        <w:rPr>
          <w:i/>
          <w:sz w:val="20"/>
        </w:rPr>
        <w:t xml:space="preserve">Brand X </w:t>
      </w:r>
      <w:r>
        <w:rPr>
          <w:sz w:val="20"/>
        </w:rPr>
        <w:t xml:space="preserve">but accept </w:t>
      </w:r>
      <w:r>
        <w:rPr>
          <w:i/>
          <w:sz w:val="20"/>
        </w:rPr>
        <w:t>Chevron</w:t>
      </w:r>
    </w:p>
    <w:p w14:paraId="767EEE66" w14:textId="3652E53E" w:rsidR="00233D5C" w:rsidRDefault="00233D5C" w:rsidP="00233D5C">
      <w:pPr>
        <w:pStyle w:val="Heading3"/>
        <w:rPr>
          <w:sz w:val="22"/>
        </w:rPr>
      </w:pPr>
      <w:r w:rsidRPr="00233D5C">
        <w:rPr>
          <w:sz w:val="22"/>
        </w:rPr>
        <w:lastRenderedPageBreak/>
        <w:t>Discretion</w:t>
      </w:r>
    </w:p>
    <w:p w14:paraId="45A9D242" w14:textId="5CDC7B7B" w:rsidR="004066DD" w:rsidRDefault="004066DD" w:rsidP="00AD02E2">
      <w:pPr>
        <w:pStyle w:val="ListParagraph"/>
        <w:numPr>
          <w:ilvl w:val="0"/>
          <w:numId w:val="11"/>
        </w:numPr>
        <w:rPr>
          <w:sz w:val="20"/>
        </w:rPr>
      </w:pPr>
      <w:r>
        <w:rPr>
          <w:sz w:val="20"/>
        </w:rPr>
        <w:t xml:space="preserve">Arbitrariness review is an acceptable solution to rulemaking anxiety because it flows from </w:t>
      </w:r>
      <w:r w:rsidR="00DA5062">
        <w:rPr>
          <w:sz w:val="20"/>
        </w:rPr>
        <w:t>APA §706</w:t>
      </w:r>
    </w:p>
    <w:p w14:paraId="60DCB4DC" w14:textId="2C6481D3" w:rsidR="004066DD" w:rsidRDefault="004066DD" w:rsidP="004066DD">
      <w:pPr>
        <w:pStyle w:val="ListParagraph"/>
        <w:numPr>
          <w:ilvl w:val="1"/>
          <w:numId w:val="11"/>
        </w:numPr>
        <w:rPr>
          <w:sz w:val="20"/>
        </w:rPr>
      </w:pPr>
      <w:r>
        <w:rPr>
          <w:sz w:val="20"/>
        </w:rPr>
        <w:t xml:space="preserve">As validated in </w:t>
      </w:r>
      <w:r>
        <w:rPr>
          <w:i/>
          <w:sz w:val="20"/>
        </w:rPr>
        <w:t>State Farm</w:t>
      </w:r>
      <w:r>
        <w:rPr>
          <w:sz w:val="20"/>
        </w:rPr>
        <w:t xml:space="preserve">, A&amp;C review seems to embrace </w:t>
      </w:r>
      <w:r>
        <w:rPr>
          <w:i/>
          <w:sz w:val="20"/>
        </w:rPr>
        <w:t xml:space="preserve">only </w:t>
      </w:r>
      <w:r>
        <w:rPr>
          <w:sz w:val="20"/>
        </w:rPr>
        <w:t>technocratic reasons as acceptable – political considerations may not be cited as reasons for a policy</w:t>
      </w:r>
    </w:p>
    <w:p w14:paraId="45CC93BA" w14:textId="77877C5F" w:rsidR="00AC5ADB" w:rsidRDefault="00AC5ADB" w:rsidP="00AC5ADB">
      <w:pPr>
        <w:pStyle w:val="ListParagraph"/>
        <w:numPr>
          <w:ilvl w:val="2"/>
          <w:numId w:val="11"/>
        </w:numPr>
        <w:rPr>
          <w:sz w:val="20"/>
        </w:rPr>
      </w:pPr>
      <w:r>
        <w:rPr>
          <w:sz w:val="20"/>
        </w:rPr>
        <w:t xml:space="preserve">Dissent argues political accountability (a rationale for </w:t>
      </w:r>
      <w:r>
        <w:rPr>
          <w:i/>
          <w:sz w:val="20"/>
        </w:rPr>
        <w:t>Chevron</w:t>
      </w:r>
      <w:r>
        <w:rPr>
          <w:sz w:val="20"/>
        </w:rPr>
        <w:t xml:space="preserve">) </w:t>
      </w:r>
      <w:r w:rsidR="00CA7BA9">
        <w:rPr>
          <w:sz w:val="20"/>
        </w:rPr>
        <w:t>should be an acceptable reason for agency policy</w:t>
      </w:r>
    </w:p>
    <w:p w14:paraId="23BB4412" w14:textId="65F602A6" w:rsidR="00CA7BA9" w:rsidRDefault="00CA7BA9" w:rsidP="00AC5ADB">
      <w:pPr>
        <w:pStyle w:val="ListParagraph"/>
        <w:numPr>
          <w:ilvl w:val="2"/>
          <w:numId w:val="11"/>
        </w:numPr>
        <w:rPr>
          <w:sz w:val="20"/>
        </w:rPr>
      </w:pPr>
      <w:r>
        <w:rPr>
          <w:i/>
          <w:sz w:val="20"/>
        </w:rPr>
        <w:t>Mass v. EPA</w:t>
      </w:r>
      <w:r>
        <w:rPr>
          <w:sz w:val="20"/>
        </w:rPr>
        <w:t xml:space="preserve"> doubles down on impropriety of political rationales</w:t>
      </w:r>
    </w:p>
    <w:p w14:paraId="4E3737F6" w14:textId="428E47A9" w:rsidR="004066DD" w:rsidRPr="004066DD" w:rsidRDefault="004066DD" w:rsidP="004066DD">
      <w:pPr>
        <w:pStyle w:val="ListParagraph"/>
        <w:numPr>
          <w:ilvl w:val="1"/>
          <w:numId w:val="11"/>
        </w:numPr>
        <w:rPr>
          <w:sz w:val="20"/>
        </w:rPr>
      </w:pPr>
      <w:r>
        <w:rPr>
          <w:sz w:val="20"/>
        </w:rPr>
        <w:t xml:space="preserve">However, A&amp;C review is not as strong as it is usually made out to be – </w:t>
      </w:r>
      <w:r>
        <w:rPr>
          <w:i/>
          <w:sz w:val="20"/>
        </w:rPr>
        <w:t>Baltimore Gas &amp; Electric</w:t>
      </w:r>
    </w:p>
    <w:p w14:paraId="676008DE" w14:textId="2971E962" w:rsidR="004066DD" w:rsidRDefault="004066DD" w:rsidP="004066DD">
      <w:pPr>
        <w:pStyle w:val="ListParagraph"/>
        <w:numPr>
          <w:ilvl w:val="2"/>
          <w:numId w:val="11"/>
        </w:numPr>
        <w:rPr>
          <w:sz w:val="20"/>
        </w:rPr>
      </w:pPr>
      <w:r>
        <w:rPr>
          <w:sz w:val="20"/>
        </w:rPr>
        <w:t>Agencies</w:t>
      </w:r>
      <w:r w:rsidR="00CC0F2D">
        <w:rPr>
          <w:sz w:val="20"/>
        </w:rPr>
        <w:t xml:space="preserve"> have a </w:t>
      </w:r>
      <w:proofErr w:type="gramStart"/>
      <w:r w:rsidR="00CC0F2D">
        <w:rPr>
          <w:sz w:val="20"/>
        </w:rPr>
        <w:t>92% win</w:t>
      </w:r>
      <w:proofErr w:type="gramEnd"/>
      <w:r w:rsidR="00CC0F2D">
        <w:rPr>
          <w:sz w:val="20"/>
        </w:rPr>
        <w:t xml:space="preserve"> rate at SCOTUS –</w:t>
      </w:r>
      <w:r>
        <w:rPr>
          <w:sz w:val="20"/>
        </w:rPr>
        <w:t xml:space="preserve"> l</w:t>
      </w:r>
      <w:r w:rsidR="00CC0F2D">
        <w:rPr>
          <w:sz w:val="20"/>
        </w:rPr>
        <w:t>ower courts are</w:t>
      </w:r>
      <w:r>
        <w:rPr>
          <w:sz w:val="20"/>
        </w:rPr>
        <w:t xml:space="preserve"> too intrusive in A&amp;C review</w:t>
      </w:r>
    </w:p>
    <w:p w14:paraId="7C9A21FF" w14:textId="59DB1B0E" w:rsidR="004066DD" w:rsidRDefault="004066DD" w:rsidP="00AD02E2">
      <w:pPr>
        <w:pStyle w:val="ListParagraph"/>
        <w:numPr>
          <w:ilvl w:val="0"/>
          <w:numId w:val="11"/>
        </w:numPr>
        <w:rPr>
          <w:sz w:val="20"/>
        </w:rPr>
      </w:pPr>
      <w:r>
        <w:rPr>
          <w:sz w:val="20"/>
        </w:rPr>
        <w:t>There are three traditional elements to arbitrary &amp; capricious review:</w:t>
      </w:r>
    </w:p>
    <w:p w14:paraId="2EB73ADC" w14:textId="4FB7F854" w:rsidR="004066DD" w:rsidRDefault="004066DD" w:rsidP="004066DD">
      <w:pPr>
        <w:pStyle w:val="ListParagraph"/>
        <w:numPr>
          <w:ilvl w:val="1"/>
          <w:numId w:val="11"/>
        </w:numPr>
        <w:rPr>
          <w:sz w:val="20"/>
        </w:rPr>
      </w:pPr>
      <w:r>
        <w:rPr>
          <w:sz w:val="20"/>
        </w:rPr>
        <w:t xml:space="preserve">Did the agency consider relevant statutory factors? </w:t>
      </w:r>
    </w:p>
    <w:p w14:paraId="5FBE92B1" w14:textId="786BBE31" w:rsidR="004066DD" w:rsidRPr="00D7478C" w:rsidRDefault="004066DD" w:rsidP="004066DD">
      <w:pPr>
        <w:pStyle w:val="ListParagraph"/>
        <w:numPr>
          <w:ilvl w:val="2"/>
          <w:numId w:val="11"/>
        </w:numPr>
        <w:rPr>
          <w:sz w:val="20"/>
        </w:rPr>
      </w:pPr>
      <w:r>
        <w:rPr>
          <w:sz w:val="20"/>
        </w:rPr>
        <w:t xml:space="preserve">If the statute it silent as to which factors are relevant, the agency’s decision to use certain factors in its analysis is given </w:t>
      </w:r>
      <w:r>
        <w:rPr>
          <w:i/>
          <w:sz w:val="20"/>
        </w:rPr>
        <w:t xml:space="preserve">Chevron </w:t>
      </w:r>
      <w:r>
        <w:rPr>
          <w:sz w:val="20"/>
        </w:rPr>
        <w:t>deference</w:t>
      </w:r>
      <w:r w:rsidR="0061654F">
        <w:rPr>
          <w:sz w:val="20"/>
        </w:rPr>
        <w:t xml:space="preserve"> – </w:t>
      </w:r>
      <w:r w:rsidR="0061654F">
        <w:rPr>
          <w:i/>
          <w:sz w:val="20"/>
        </w:rPr>
        <w:t>Pension Benefit</w:t>
      </w:r>
    </w:p>
    <w:p w14:paraId="4D3F0CB1" w14:textId="209EF76F" w:rsidR="00D7478C" w:rsidRDefault="00D7478C" w:rsidP="00D7478C">
      <w:pPr>
        <w:pStyle w:val="ListParagraph"/>
        <w:numPr>
          <w:ilvl w:val="3"/>
          <w:numId w:val="11"/>
        </w:numPr>
        <w:rPr>
          <w:sz w:val="20"/>
        </w:rPr>
      </w:pPr>
      <w:r>
        <w:rPr>
          <w:i/>
          <w:sz w:val="20"/>
        </w:rPr>
        <w:t xml:space="preserve">Pension Benefit </w:t>
      </w:r>
      <w:r>
        <w:rPr>
          <w:sz w:val="20"/>
        </w:rPr>
        <w:t>does not require agencies to consider relevant factors from related statutes</w:t>
      </w:r>
    </w:p>
    <w:p w14:paraId="08BFBBEC" w14:textId="6A357239" w:rsidR="004B3FA3" w:rsidRDefault="004B3FA3" w:rsidP="004B3FA3">
      <w:pPr>
        <w:pStyle w:val="ListParagraph"/>
        <w:numPr>
          <w:ilvl w:val="3"/>
          <w:numId w:val="11"/>
        </w:numPr>
        <w:rPr>
          <w:sz w:val="20"/>
        </w:rPr>
      </w:pPr>
      <w:r w:rsidRPr="00AD02E2">
        <w:rPr>
          <w:i/>
          <w:sz w:val="20"/>
        </w:rPr>
        <w:t xml:space="preserve">Mass v. EPA </w:t>
      </w:r>
      <w:r w:rsidR="006E2EA5">
        <w:rPr>
          <w:sz w:val="20"/>
        </w:rPr>
        <w:t>tries to argue</w:t>
      </w:r>
      <w:r w:rsidRPr="00AD02E2">
        <w:rPr>
          <w:sz w:val="20"/>
        </w:rPr>
        <w:t xml:space="preserve"> that </w:t>
      </w:r>
      <w:r>
        <w:rPr>
          <w:sz w:val="20"/>
        </w:rPr>
        <w:t>agency’s reasoning must be consistent with stat</w:t>
      </w:r>
      <w:r w:rsidR="006E2EA5">
        <w:rPr>
          <w:sz w:val="20"/>
        </w:rPr>
        <w:t>utory text – if not, the</w:t>
      </w:r>
      <w:r>
        <w:rPr>
          <w:sz w:val="20"/>
        </w:rPr>
        <w:t xml:space="preserve"> decision is prima facie arbitrary and capricious</w:t>
      </w:r>
    </w:p>
    <w:p w14:paraId="6514C607" w14:textId="133F4DCE" w:rsidR="007D04A6" w:rsidRPr="006E2EA5" w:rsidRDefault="006E2EA5" w:rsidP="006E2EA5">
      <w:pPr>
        <w:pStyle w:val="ListParagraph"/>
        <w:numPr>
          <w:ilvl w:val="4"/>
          <w:numId w:val="11"/>
        </w:numPr>
        <w:rPr>
          <w:sz w:val="20"/>
        </w:rPr>
      </w:pPr>
      <w:r>
        <w:rPr>
          <w:sz w:val="20"/>
        </w:rPr>
        <w:t>Everyone knows this isn’t</w:t>
      </w:r>
      <w:r w:rsidR="004B3FA3">
        <w:rPr>
          <w:sz w:val="20"/>
        </w:rPr>
        <w:t xml:space="preserve"> true, and agencies can provide whatever reasons the</w:t>
      </w:r>
      <w:r w:rsidR="00812B82">
        <w:rPr>
          <w:sz w:val="20"/>
        </w:rPr>
        <w:t>y want for taking a given actio</w:t>
      </w:r>
      <w:r w:rsidR="00CA7BA9">
        <w:rPr>
          <w:sz w:val="20"/>
        </w:rPr>
        <w:t>n</w:t>
      </w:r>
      <w:r>
        <w:rPr>
          <w:sz w:val="20"/>
        </w:rPr>
        <w:t xml:space="preserve"> –</w:t>
      </w:r>
      <w:r w:rsidR="007D04A6" w:rsidRPr="006E2EA5">
        <w:rPr>
          <w:sz w:val="20"/>
        </w:rPr>
        <w:t xml:space="preserve"> </w:t>
      </w:r>
      <w:proofErr w:type="spellStart"/>
      <w:r w:rsidR="007D04A6" w:rsidRPr="006E2EA5">
        <w:rPr>
          <w:i/>
          <w:sz w:val="20"/>
        </w:rPr>
        <w:t>WildEarth</w:t>
      </w:r>
      <w:proofErr w:type="spellEnd"/>
      <w:r w:rsidR="007D04A6" w:rsidRPr="006E2EA5">
        <w:rPr>
          <w:i/>
          <w:sz w:val="20"/>
        </w:rPr>
        <w:t xml:space="preserve"> Guardians </w:t>
      </w:r>
      <w:r>
        <w:rPr>
          <w:sz w:val="20"/>
        </w:rPr>
        <w:t>(</w:t>
      </w:r>
      <w:r w:rsidR="00310C55">
        <w:rPr>
          <w:sz w:val="20"/>
        </w:rPr>
        <w:t>EPA</w:t>
      </w:r>
      <w:r w:rsidR="007D04A6" w:rsidRPr="006E2EA5">
        <w:rPr>
          <w:sz w:val="20"/>
        </w:rPr>
        <w:t xml:space="preserve"> </w:t>
      </w:r>
      <w:r>
        <w:rPr>
          <w:sz w:val="20"/>
        </w:rPr>
        <w:t xml:space="preserve">may decide </w:t>
      </w:r>
      <w:r w:rsidR="007D04A6" w:rsidRPr="006E2EA5">
        <w:rPr>
          <w:sz w:val="20"/>
        </w:rPr>
        <w:t>not to regulate du</w:t>
      </w:r>
      <w:r>
        <w:rPr>
          <w:sz w:val="20"/>
        </w:rPr>
        <w:t>e to lack of resources)</w:t>
      </w:r>
    </w:p>
    <w:p w14:paraId="2B11A6C8" w14:textId="3BC94E26" w:rsidR="009B2EE1" w:rsidRPr="00BE1186" w:rsidRDefault="002B3FAB" w:rsidP="004066DD">
      <w:pPr>
        <w:pStyle w:val="ListParagraph"/>
        <w:numPr>
          <w:ilvl w:val="2"/>
          <w:numId w:val="11"/>
        </w:numPr>
        <w:rPr>
          <w:sz w:val="20"/>
        </w:rPr>
      </w:pPr>
      <w:r>
        <w:rPr>
          <w:sz w:val="20"/>
        </w:rPr>
        <w:t>Cost can (must?) be included as</w:t>
      </w:r>
      <w:r w:rsidR="009B2EE1">
        <w:rPr>
          <w:sz w:val="20"/>
        </w:rPr>
        <w:t xml:space="preserve"> </w:t>
      </w:r>
      <w:r w:rsidR="009B2EE1">
        <w:rPr>
          <w:i/>
          <w:sz w:val="20"/>
        </w:rPr>
        <w:t xml:space="preserve">qualitative </w:t>
      </w:r>
      <w:r w:rsidR="009B2EE1">
        <w:rPr>
          <w:sz w:val="20"/>
        </w:rPr>
        <w:t xml:space="preserve">(NOT quantitative) factor – </w:t>
      </w:r>
      <w:r w:rsidR="009B2EE1">
        <w:rPr>
          <w:i/>
          <w:sz w:val="20"/>
        </w:rPr>
        <w:t xml:space="preserve">Michigan v. </w:t>
      </w:r>
      <w:r w:rsidR="009C719E">
        <w:rPr>
          <w:i/>
          <w:sz w:val="20"/>
        </w:rPr>
        <w:t>EPA</w:t>
      </w:r>
    </w:p>
    <w:p w14:paraId="6ED09965" w14:textId="3299FF3F" w:rsidR="00BE1186" w:rsidRDefault="00CC0F2D" w:rsidP="00BE1186">
      <w:pPr>
        <w:pStyle w:val="ListParagraph"/>
        <w:numPr>
          <w:ilvl w:val="3"/>
          <w:numId w:val="11"/>
        </w:numPr>
        <w:rPr>
          <w:sz w:val="20"/>
        </w:rPr>
      </w:pPr>
      <w:r>
        <w:rPr>
          <w:sz w:val="20"/>
        </w:rPr>
        <w:t>Doesn’t</w:t>
      </w:r>
      <w:r w:rsidR="009C719E">
        <w:rPr>
          <w:i/>
          <w:sz w:val="20"/>
        </w:rPr>
        <w:t xml:space="preserve"> </w:t>
      </w:r>
      <w:r w:rsidR="009C719E">
        <w:rPr>
          <w:sz w:val="20"/>
        </w:rPr>
        <w:t>require for</w:t>
      </w:r>
      <w:r>
        <w:rPr>
          <w:sz w:val="20"/>
        </w:rPr>
        <w:t>mal cost-benefit analysis to avoid war</w:t>
      </w:r>
      <w:r w:rsidR="009C719E">
        <w:rPr>
          <w:sz w:val="20"/>
        </w:rPr>
        <w:t xml:space="preserve"> with </w:t>
      </w:r>
      <w:r w:rsidR="009C719E">
        <w:rPr>
          <w:i/>
          <w:sz w:val="20"/>
        </w:rPr>
        <w:t>Vermont Yankee</w:t>
      </w:r>
    </w:p>
    <w:p w14:paraId="5A21F679" w14:textId="70709699" w:rsidR="009C719E" w:rsidRDefault="00DA5062" w:rsidP="00BE1186">
      <w:pPr>
        <w:pStyle w:val="ListParagraph"/>
        <w:numPr>
          <w:ilvl w:val="3"/>
          <w:numId w:val="11"/>
        </w:numPr>
        <w:rPr>
          <w:sz w:val="20"/>
        </w:rPr>
      </w:pPr>
      <w:r>
        <w:rPr>
          <w:sz w:val="20"/>
        </w:rPr>
        <w:t>Departs</w:t>
      </w:r>
      <w:r w:rsidR="002B3FAB">
        <w:rPr>
          <w:sz w:val="20"/>
        </w:rPr>
        <w:t xml:space="preserve"> from</w:t>
      </w:r>
      <w:r w:rsidR="009C719E">
        <w:rPr>
          <w:sz w:val="20"/>
        </w:rPr>
        <w:t xml:space="preserve"> overarching narrative of the weakness of A&amp;C review</w:t>
      </w:r>
    </w:p>
    <w:p w14:paraId="2A4E6E8F" w14:textId="1F6FB849" w:rsidR="003859FF" w:rsidRDefault="0024111C" w:rsidP="00BE1186">
      <w:pPr>
        <w:pStyle w:val="ListParagraph"/>
        <w:numPr>
          <w:ilvl w:val="3"/>
          <w:numId w:val="11"/>
        </w:numPr>
        <w:rPr>
          <w:sz w:val="20"/>
        </w:rPr>
      </w:pPr>
      <w:r>
        <w:rPr>
          <w:sz w:val="20"/>
        </w:rPr>
        <w:t xml:space="preserve">Shouldn’t </w:t>
      </w:r>
      <w:r>
        <w:rPr>
          <w:i/>
          <w:sz w:val="20"/>
        </w:rPr>
        <w:t>Mobil Oil</w:t>
      </w:r>
      <w:r>
        <w:rPr>
          <w:sz w:val="20"/>
        </w:rPr>
        <w:t>’s permissive stance towards “parceling” allow EPA to consider different factors and different times?</w:t>
      </w:r>
    </w:p>
    <w:p w14:paraId="10049861" w14:textId="3192DA65" w:rsidR="004066DD" w:rsidRDefault="004066DD" w:rsidP="004066DD">
      <w:pPr>
        <w:pStyle w:val="ListParagraph"/>
        <w:numPr>
          <w:ilvl w:val="1"/>
          <w:numId w:val="11"/>
        </w:numPr>
        <w:rPr>
          <w:sz w:val="20"/>
        </w:rPr>
      </w:pPr>
      <w:r>
        <w:rPr>
          <w:sz w:val="20"/>
        </w:rPr>
        <w:t>Did the error commi</w:t>
      </w:r>
      <w:r w:rsidR="00F2513C">
        <w:rPr>
          <w:sz w:val="20"/>
        </w:rPr>
        <w:t>t any clear errors of judgment?</w:t>
      </w:r>
    </w:p>
    <w:p w14:paraId="513D974A" w14:textId="57553E5E" w:rsidR="004066DD" w:rsidRDefault="004066DD" w:rsidP="004066DD">
      <w:pPr>
        <w:pStyle w:val="ListParagraph"/>
        <w:numPr>
          <w:ilvl w:val="2"/>
          <w:numId w:val="11"/>
        </w:numPr>
        <w:rPr>
          <w:sz w:val="20"/>
        </w:rPr>
      </w:pPr>
      <w:r>
        <w:rPr>
          <w:sz w:val="20"/>
        </w:rPr>
        <w:t>Rarely used as a rationale for overturning an agency decision</w:t>
      </w:r>
    </w:p>
    <w:p w14:paraId="2EB827A5" w14:textId="319993FC" w:rsidR="004066DD" w:rsidRDefault="004066DD" w:rsidP="004066DD">
      <w:pPr>
        <w:pStyle w:val="ListParagraph"/>
        <w:numPr>
          <w:ilvl w:val="1"/>
          <w:numId w:val="11"/>
        </w:numPr>
        <w:rPr>
          <w:sz w:val="20"/>
        </w:rPr>
      </w:pPr>
      <w:r>
        <w:rPr>
          <w:sz w:val="20"/>
        </w:rPr>
        <w:t>Did the agency consider all reasonable policy alternatives?</w:t>
      </w:r>
    </w:p>
    <w:p w14:paraId="6BCF019C" w14:textId="5C33DBE5" w:rsidR="00BB0014" w:rsidRDefault="00BB0014" w:rsidP="00BB0014">
      <w:pPr>
        <w:pStyle w:val="ListParagraph"/>
        <w:numPr>
          <w:ilvl w:val="2"/>
          <w:numId w:val="11"/>
        </w:numPr>
        <w:rPr>
          <w:sz w:val="20"/>
        </w:rPr>
      </w:pPr>
      <w:r>
        <w:rPr>
          <w:sz w:val="20"/>
        </w:rPr>
        <w:t xml:space="preserve">Agency has to consider all “obvious” policy alternatives – not every alternative device conceivable by the mind of man – </w:t>
      </w:r>
      <w:r>
        <w:rPr>
          <w:i/>
          <w:sz w:val="20"/>
        </w:rPr>
        <w:t>State Farm</w:t>
      </w:r>
    </w:p>
    <w:p w14:paraId="1133EA94" w14:textId="1716FCE0" w:rsidR="00BB0014" w:rsidRDefault="00BB0014" w:rsidP="00BB0014">
      <w:pPr>
        <w:pStyle w:val="ListParagraph"/>
        <w:numPr>
          <w:ilvl w:val="3"/>
          <w:numId w:val="11"/>
        </w:numPr>
        <w:rPr>
          <w:sz w:val="20"/>
        </w:rPr>
      </w:pPr>
      <w:r>
        <w:rPr>
          <w:sz w:val="20"/>
        </w:rPr>
        <w:t xml:space="preserve">This is virtually identical to the requirement to respond to meaningful comments under </w:t>
      </w:r>
      <w:r>
        <w:rPr>
          <w:i/>
          <w:sz w:val="20"/>
        </w:rPr>
        <w:t>Nova Scotia</w:t>
      </w:r>
    </w:p>
    <w:p w14:paraId="337F30AC" w14:textId="157AD973" w:rsidR="00AC5ADB" w:rsidRDefault="004A05DA" w:rsidP="00BB0014">
      <w:pPr>
        <w:pStyle w:val="ListParagraph"/>
        <w:numPr>
          <w:ilvl w:val="3"/>
          <w:numId w:val="11"/>
        </w:numPr>
        <w:rPr>
          <w:sz w:val="20"/>
        </w:rPr>
      </w:pPr>
      <w:r>
        <w:rPr>
          <w:sz w:val="20"/>
        </w:rPr>
        <w:t xml:space="preserve">How can </w:t>
      </w:r>
      <w:r w:rsidR="00AC5ADB">
        <w:rPr>
          <w:sz w:val="20"/>
        </w:rPr>
        <w:t xml:space="preserve">agency </w:t>
      </w:r>
      <w:r>
        <w:rPr>
          <w:sz w:val="20"/>
        </w:rPr>
        <w:t>know which comments they must</w:t>
      </w:r>
      <w:r w:rsidR="00AC5ADB">
        <w:rPr>
          <w:sz w:val="20"/>
        </w:rPr>
        <w:t xml:space="preserve"> respond to </w:t>
      </w:r>
      <w:r>
        <w:rPr>
          <w:sz w:val="20"/>
        </w:rPr>
        <w:t>for</w:t>
      </w:r>
      <w:r w:rsidR="00AC5ADB">
        <w:rPr>
          <w:sz w:val="20"/>
        </w:rPr>
        <w:t xml:space="preserve"> A&amp;C review? </w:t>
      </w:r>
    </w:p>
    <w:p w14:paraId="4C87B9BB" w14:textId="41D62AB7" w:rsidR="00BB0014" w:rsidRDefault="004A05DA" w:rsidP="00AC5ADB">
      <w:pPr>
        <w:pStyle w:val="ListParagraph"/>
        <w:numPr>
          <w:ilvl w:val="4"/>
          <w:numId w:val="11"/>
        </w:numPr>
        <w:rPr>
          <w:sz w:val="20"/>
        </w:rPr>
      </w:pPr>
      <w:r>
        <w:rPr>
          <w:sz w:val="20"/>
        </w:rPr>
        <w:t>Does this lead</w:t>
      </w:r>
      <w:r w:rsidR="00BB0014">
        <w:rPr>
          <w:sz w:val="20"/>
        </w:rPr>
        <w:t xml:space="preserve"> to agency ossification</w:t>
      </w:r>
      <w:r>
        <w:rPr>
          <w:sz w:val="20"/>
        </w:rPr>
        <w:t>? No empirical evidence, but…</w:t>
      </w:r>
    </w:p>
    <w:p w14:paraId="7C467E60" w14:textId="0911A031" w:rsidR="004066DD" w:rsidRPr="004066DD" w:rsidRDefault="004066DD" w:rsidP="004066DD">
      <w:pPr>
        <w:pStyle w:val="ListParagraph"/>
        <w:numPr>
          <w:ilvl w:val="2"/>
          <w:numId w:val="11"/>
        </w:numPr>
        <w:rPr>
          <w:sz w:val="20"/>
        </w:rPr>
      </w:pPr>
      <w:r>
        <w:rPr>
          <w:sz w:val="20"/>
        </w:rPr>
        <w:t xml:space="preserve">Agency need not explain why a new policy is </w:t>
      </w:r>
      <w:r>
        <w:rPr>
          <w:i/>
          <w:sz w:val="20"/>
        </w:rPr>
        <w:t xml:space="preserve">better </w:t>
      </w:r>
      <w:r>
        <w:rPr>
          <w:sz w:val="20"/>
        </w:rPr>
        <w:t xml:space="preserve">than an old one, as long as the agency acknowledges the policy change and gives good reasons for the shift – </w:t>
      </w:r>
      <w:r>
        <w:rPr>
          <w:i/>
          <w:sz w:val="20"/>
        </w:rPr>
        <w:t>FCC v. Fox</w:t>
      </w:r>
    </w:p>
    <w:p w14:paraId="043B2A15" w14:textId="127970C9" w:rsidR="004066DD" w:rsidRDefault="004066DD" w:rsidP="004066DD">
      <w:pPr>
        <w:pStyle w:val="ListParagraph"/>
        <w:numPr>
          <w:ilvl w:val="3"/>
          <w:numId w:val="11"/>
        </w:numPr>
        <w:rPr>
          <w:sz w:val="20"/>
        </w:rPr>
      </w:pPr>
      <w:r>
        <w:rPr>
          <w:sz w:val="20"/>
        </w:rPr>
        <w:t xml:space="preserve">Three exceptions to general rule of </w:t>
      </w:r>
      <w:r>
        <w:rPr>
          <w:i/>
          <w:sz w:val="20"/>
        </w:rPr>
        <w:t>FCC v. Fox</w:t>
      </w:r>
      <w:r>
        <w:rPr>
          <w:sz w:val="20"/>
        </w:rPr>
        <w:t>:</w:t>
      </w:r>
    </w:p>
    <w:p w14:paraId="57E89779" w14:textId="5D156DFD" w:rsidR="004066DD" w:rsidRPr="004066DD" w:rsidRDefault="004066DD" w:rsidP="004066DD">
      <w:pPr>
        <w:pStyle w:val="ListParagraph"/>
        <w:numPr>
          <w:ilvl w:val="4"/>
          <w:numId w:val="11"/>
        </w:numPr>
        <w:rPr>
          <w:sz w:val="20"/>
        </w:rPr>
      </w:pPr>
      <w:r>
        <w:rPr>
          <w:sz w:val="20"/>
        </w:rPr>
        <w:t xml:space="preserve">Agency must acknowledge change has occurred – cf. </w:t>
      </w:r>
      <w:r>
        <w:rPr>
          <w:i/>
          <w:sz w:val="20"/>
        </w:rPr>
        <w:t>Allentown Mack</w:t>
      </w:r>
    </w:p>
    <w:p w14:paraId="1A296EBC" w14:textId="639213F2" w:rsidR="004066DD" w:rsidRDefault="004066DD" w:rsidP="004066DD">
      <w:pPr>
        <w:pStyle w:val="ListParagraph"/>
        <w:numPr>
          <w:ilvl w:val="4"/>
          <w:numId w:val="11"/>
        </w:numPr>
        <w:rPr>
          <w:sz w:val="20"/>
        </w:rPr>
      </w:pPr>
      <w:r>
        <w:rPr>
          <w:sz w:val="20"/>
        </w:rPr>
        <w:t>Factual contradictions must be addressed</w:t>
      </w:r>
    </w:p>
    <w:p w14:paraId="76140F3D" w14:textId="6B575C2F" w:rsidR="004066DD" w:rsidRPr="00A772AF" w:rsidRDefault="004066DD" w:rsidP="004066DD">
      <w:pPr>
        <w:pStyle w:val="ListParagraph"/>
        <w:numPr>
          <w:ilvl w:val="4"/>
          <w:numId w:val="11"/>
        </w:numPr>
        <w:rPr>
          <w:sz w:val="20"/>
        </w:rPr>
      </w:pPr>
      <w:r>
        <w:rPr>
          <w:sz w:val="20"/>
        </w:rPr>
        <w:t xml:space="preserve">Agency must address any existing reliance interests – </w:t>
      </w:r>
      <w:r>
        <w:rPr>
          <w:i/>
          <w:sz w:val="20"/>
        </w:rPr>
        <w:t>Chenery II</w:t>
      </w:r>
    </w:p>
    <w:p w14:paraId="1178550A" w14:textId="1D94F32C" w:rsidR="00A772AF" w:rsidRDefault="00A772AF" w:rsidP="00A772AF">
      <w:pPr>
        <w:pStyle w:val="ListParagraph"/>
        <w:numPr>
          <w:ilvl w:val="3"/>
          <w:numId w:val="11"/>
        </w:numPr>
        <w:rPr>
          <w:sz w:val="20"/>
        </w:rPr>
      </w:pPr>
      <w:r>
        <w:rPr>
          <w:i/>
          <w:sz w:val="20"/>
        </w:rPr>
        <w:t xml:space="preserve">State Farm </w:t>
      </w:r>
      <w:r w:rsidR="004A05DA">
        <w:rPr>
          <w:sz w:val="20"/>
        </w:rPr>
        <w:t>requires</w:t>
      </w:r>
      <w:r>
        <w:rPr>
          <w:sz w:val="20"/>
        </w:rPr>
        <w:t xml:space="preserve"> assessment of reasonable policy alternatives, but </w:t>
      </w:r>
      <w:r>
        <w:rPr>
          <w:i/>
          <w:sz w:val="20"/>
        </w:rPr>
        <w:t xml:space="preserve">FCC v. Fox </w:t>
      </w:r>
      <w:r w:rsidR="004A05DA">
        <w:rPr>
          <w:sz w:val="20"/>
        </w:rPr>
        <w:t>doesn’t</w:t>
      </w:r>
    </w:p>
    <w:p w14:paraId="0D26F06F" w14:textId="6316C356" w:rsidR="00A772AF" w:rsidRDefault="00A772AF" w:rsidP="00A772AF">
      <w:pPr>
        <w:pStyle w:val="ListParagraph"/>
        <w:numPr>
          <w:ilvl w:val="4"/>
          <w:numId w:val="11"/>
        </w:numPr>
        <w:rPr>
          <w:sz w:val="20"/>
        </w:rPr>
      </w:pPr>
      <w:r>
        <w:rPr>
          <w:sz w:val="20"/>
        </w:rPr>
        <w:t xml:space="preserve">Cases can be </w:t>
      </w:r>
      <w:r w:rsidR="004A05DA">
        <w:rPr>
          <w:sz w:val="20"/>
        </w:rPr>
        <w:t>reconciled using an information accessibility</w:t>
      </w:r>
      <w:r w:rsidR="001D7554">
        <w:rPr>
          <w:sz w:val="20"/>
        </w:rPr>
        <w:t xml:space="preserve"> </w:t>
      </w:r>
      <w:r w:rsidR="004A05DA">
        <w:rPr>
          <w:sz w:val="20"/>
        </w:rPr>
        <w:t xml:space="preserve">spectrum </w:t>
      </w:r>
      <w:r w:rsidR="001D7554">
        <w:rPr>
          <w:sz w:val="20"/>
        </w:rPr>
        <w:t>– in domain of factual unc</w:t>
      </w:r>
      <w:r w:rsidR="004A05DA">
        <w:rPr>
          <w:sz w:val="20"/>
        </w:rPr>
        <w:t xml:space="preserve">ertainty, agencies may rely on </w:t>
      </w:r>
      <w:r w:rsidR="001D7554">
        <w:rPr>
          <w:sz w:val="20"/>
        </w:rPr>
        <w:t>their</w:t>
      </w:r>
      <w:r w:rsidR="004A05DA">
        <w:rPr>
          <w:sz w:val="20"/>
        </w:rPr>
        <w:t xml:space="preserve"> best guess</w:t>
      </w:r>
    </w:p>
    <w:p w14:paraId="12020BC5" w14:textId="25E1E321" w:rsidR="00812B82" w:rsidRDefault="00812B82" w:rsidP="00812B82">
      <w:pPr>
        <w:pStyle w:val="ListParagraph"/>
        <w:numPr>
          <w:ilvl w:val="0"/>
          <w:numId w:val="11"/>
        </w:numPr>
        <w:rPr>
          <w:sz w:val="20"/>
        </w:rPr>
      </w:pPr>
      <w:r>
        <w:rPr>
          <w:sz w:val="20"/>
        </w:rPr>
        <w:t xml:space="preserve">The birth of A&amp;C review in </w:t>
      </w:r>
      <w:r>
        <w:rPr>
          <w:i/>
          <w:sz w:val="20"/>
        </w:rPr>
        <w:t xml:space="preserve">Overton Park </w:t>
      </w:r>
      <w:r>
        <w:rPr>
          <w:sz w:val="20"/>
        </w:rPr>
        <w:t>suffers from several conceptual problems</w:t>
      </w:r>
    </w:p>
    <w:p w14:paraId="565A1D80" w14:textId="18F4163D" w:rsidR="00812B82" w:rsidRDefault="00812B82" w:rsidP="00812B82">
      <w:pPr>
        <w:pStyle w:val="ListParagraph"/>
        <w:numPr>
          <w:ilvl w:val="1"/>
          <w:numId w:val="11"/>
        </w:numPr>
        <w:rPr>
          <w:sz w:val="20"/>
        </w:rPr>
      </w:pPr>
      <w:r>
        <w:rPr>
          <w:sz w:val="20"/>
        </w:rPr>
        <w:t xml:space="preserve">Conflicts with </w:t>
      </w:r>
      <w:r>
        <w:rPr>
          <w:i/>
          <w:sz w:val="20"/>
        </w:rPr>
        <w:t>Morgan IV</w:t>
      </w:r>
      <w:r>
        <w:rPr>
          <w:sz w:val="20"/>
        </w:rPr>
        <w:t>’s ban on probing mental processes of decision maker</w:t>
      </w:r>
    </w:p>
    <w:p w14:paraId="6705DD6D" w14:textId="0325E4E6" w:rsidR="00812B82" w:rsidRDefault="00812B82" w:rsidP="00812B82">
      <w:pPr>
        <w:pStyle w:val="ListParagraph"/>
        <w:numPr>
          <w:ilvl w:val="1"/>
          <w:numId w:val="11"/>
        </w:numPr>
        <w:rPr>
          <w:sz w:val="20"/>
        </w:rPr>
      </w:pPr>
      <w:r>
        <w:rPr>
          <w:sz w:val="20"/>
        </w:rPr>
        <w:t>Allows agency to create a list of post hoc rationalizations for its decision</w:t>
      </w:r>
    </w:p>
    <w:p w14:paraId="034C670A" w14:textId="2CF948C1" w:rsidR="00812B82" w:rsidRPr="00382935" w:rsidRDefault="00382935" w:rsidP="00382935">
      <w:pPr>
        <w:pStyle w:val="ListParagraph"/>
        <w:numPr>
          <w:ilvl w:val="2"/>
          <w:numId w:val="11"/>
        </w:numPr>
        <w:rPr>
          <w:sz w:val="20"/>
        </w:rPr>
      </w:pPr>
      <w:r>
        <w:rPr>
          <w:sz w:val="20"/>
        </w:rPr>
        <w:t>N</w:t>
      </w:r>
      <w:r w:rsidR="00812B82">
        <w:rPr>
          <w:sz w:val="20"/>
        </w:rPr>
        <w:t>o APA requirement for a record in informal adjud</w:t>
      </w:r>
      <w:r>
        <w:rPr>
          <w:sz w:val="20"/>
        </w:rPr>
        <w:t xml:space="preserve">ication – can </w:t>
      </w:r>
      <w:r w:rsidR="00812B82">
        <w:rPr>
          <w:sz w:val="20"/>
        </w:rPr>
        <w:t>production of a record to facilitate judicial review under §706</w:t>
      </w:r>
      <w:r>
        <w:rPr>
          <w:sz w:val="20"/>
        </w:rPr>
        <w:t xml:space="preserve"> be ordered? AV says no,</w:t>
      </w:r>
      <w:r w:rsidR="00812B82">
        <w:rPr>
          <w:sz w:val="20"/>
        </w:rPr>
        <w:t xml:space="preserve"> law </w:t>
      </w:r>
      <w:r w:rsidR="00DA5062">
        <w:rPr>
          <w:sz w:val="20"/>
        </w:rPr>
        <w:t>says yes!</w:t>
      </w:r>
    </w:p>
    <w:sectPr w:rsidR="00812B82" w:rsidRPr="00382935" w:rsidSect="007B55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5E3C" w14:textId="77777777" w:rsidR="00993E74" w:rsidRDefault="00993E74" w:rsidP="004E6C45">
      <w:pPr>
        <w:spacing w:after="0" w:line="240" w:lineRule="auto"/>
      </w:pPr>
      <w:r>
        <w:separator/>
      </w:r>
    </w:p>
  </w:endnote>
  <w:endnote w:type="continuationSeparator" w:id="0">
    <w:p w14:paraId="48681C81" w14:textId="77777777" w:rsidR="00993E74" w:rsidRDefault="00993E74" w:rsidP="004E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35764"/>
      <w:docPartObj>
        <w:docPartGallery w:val="Page Numbers (Bottom of Page)"/>
        <w:docPartUnique/>
      </w:docPartObj>
    </w:sdtPr>
    <w:sdtEndPr>
      <w:rPr>
        <w:noProof/>
      </w:rPr>
    </w:sdtEndPr>
    <w:sdtContent>
      <w:p w14:paraId="00CC82AF" w14:textId="5AD01970" w:rsidR="00606B28" w:rsidRDefault="00606B28">
        <w:pPr>
          <w:pStyle w:val="Footer"/>
          <w:jc w:val="center"/>
        </w:pPr>
        <w:r>
          <w:fldChar w:fldCharType="begin"/>
        </w:r>
        <w:r>
          <w:instrText xml:space="preserve"> PAGE   \* MERGEFORMAT </w:instrText>
        </w:r>
        <w:r>
          <w:fldChar w:fldCharType="separate"/>
        </w:r>
        <w:r w:rsidR="009138A7">
          <w:rPr>
            <w:noProof/>
          </w:rPr>
          <w:t>12</w:t>
        </w:r>
        <w:r>
          <w:rPr>
            <w:noProof/>
          </w:rPr>
          <w:fldChar w:fldCharType="end"/>
        </w:r>
      </w:p>
    </w:sdtContent>
  </w:sdt>
  <w:p w14:paraId="6090F31E" w14:textId="77777777" w:rsidR="00606B28" w:rsidRDefault="0060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39704" w14:textId="77777777" w:rsidR="00993E74" w:rsidRDefault="00993E74" w:rsidP="004E6C45">
      <w:pPr>
        <w:spacing w:after="0" w:line="240" w:lineRule="auto"/>
      </w:pPr>
      <w:r>
        <w:separator/>
      </w:r>
    </w:p>
  </w:footnote>
  <w:footnote w:type="continuationSeparator" w:id="0">
    <w:p w14:paraId="31BB0BB8" w14:textId="77777777" w:rsidR="00993E74" w:rsidRDefault="00993E74" w:rsidP="004E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CD69" w14:textId="03ECDE9D" w:rsidR="00606B28" w:rsidRDefault="00606B28" w:rsidP="004E2655">
    <w:pPr>
      <w:pStyle w:val="Header"/>
      <w:ind w:right="110"/>
      <w:jc w:val="right"/>
    </w:pPr>
    <w:r>
      <w:t>Admin Mini-Outline</w:t>
    </w:r>
  </w:p>
  <w:p w14:paraId="2E1A2D8B" w14:textId="77777777" w:rsidR="00606B28" w:rsidRDefault="00606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90A"/>
    <w:multiLevelType w:val="hybridMultilevel"/>
    <w:tmpl w:val="EEB8B48A"/>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01F9B"/>
    <w:multiLevelType w:val="hybridMultilevel"/>
    <w:tmpl w:val="3564B576"/>
    <w:lvl w:ilvl="0" w:tplc="4C06071E">
      <w:start w:val="1"/>
      <w:numFmt w:val="decimal"/>
      <w:lvlText w:val="%1."/>
      <w:lvlJc w:val="left"/>
      <w:pPr>
        <w:ind w:left="720" w:hanging="360"/>
      </w:pPr>
      <w:rPr>
        <w:rFonts w:hint="default"/>
        <w:sz w:val="20"/>
      </w:rPr>
    </w:lvl>
    <w:lvl w:ilvl="1" w:tplc="16B6CC44">
      <w:start w:val="1"/>
      <w:numFmt w:val="lowerLetter"/>
      <w:lvlText w:val="%2."/>
      <w:lvlJc w:val="left"/>
      <w:pPr>
        <w:ind w:left="1440" w:hanging="360"/>
      </w:pPr>
      <w:rPr>
        <w:sz w:val="20"/>
      </w:rPr>
    </w:lvl>
    <w:lvl w:ilvl="2" w:tplc="20D04D60">
      <w:start w:val="1"/>
      <w:numFmt w:val="lowerRoman"/>
      <w:lvlText w:val="%3."/>
      <w:lvlJc w:val="right"/>
      <w:pPr>
        <w:ind w:left="2160" w:hanging="180"/>
      </w:pPr>
      <w:rPr>
        <w:sz w:val="20"/>
      </w:rPr>
    </w:lvl>
    <w:lvl w:ilvl="3" w:tplc="E7D8CDCC">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07412"/>
    <w:multiLevelType w:val="hybridMultilevel"/>
    <w:tmpl w:val="2AE01E5C"/>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F8BCE196">
      <w:start w:val="1"/>
      <w:numFmt w:val="lowerRoman"/>
      <w:lvlText w:val="%6."/>
      <w:lvlJc w:val="right"/>
      <w:pPr>
        <w:ind w:left="4320" w:hanging="180"/>
      </w:pPr>
      <w:rPr>
        <w:sz w:val="20"/>
      </w:rPr>
    </w:lvl>
    <w:lvl w:ilvl="6" w:tplc="BF604C32">
      <w:start w:val="1"/>
      <w:numFmt w:val="decimal"/>
      <w:lvlText w:val="%7."/>
      <w:lvlJc w:val="left"/>
      <w:pPr>
        <w:ind w:left="5040" w:hanging="360"/>
      </w:pPr>
      <w:rPr>
        <w:sz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A0928"/>
    <w:multiLevelType w:val="hybridMultilevel"/>
    <w:tmpl w:val="3564B576"/>
    <w:lvl w:ilvl="0" w:tplc="4C06071E">
      <w:start w:val="1"/>
      <w:numFmt w:val="decimal"/>
      <w:lvlText w:val="%1."/>
      <w:lvlJc w:val="left"/>
      <w:pPr>
        <w:ind w:left="720" w:hanging="360"/>
      </w:pPr>
      <w:rPr>
        <w:rFonts w:hint="default"/>
        <w:sz w:val="20"/>
      </w:rPr>
    </w:lvl>
    <w:lvl w:ilvl="1" w:tplc="16B6CC44">
      <w:start w:val="1"/>
      <w:numFmt w:val="lowerLetter"/>
      <w:lvlText w:val="%2."/>
      <w:lvlJc w:val="left"/>
      <w:pPr>
        <w:ind w:left="1440" w:hanging="360"/>
      </w:pPr>
      <w:rPr>
        <w:sz w:val="20"/>
      </w:rPr>
    </w:lvl>
    <w:lvl w:ilvl="2" w:tplc="20D04D60">
      <w:start w:val="1"/>
      <w:numFmt w:val="lowerRoman"/>
      <w:lvlText w:val="%3."/>
      <w:lvlJc w:val="right"/>
      <w:pPr>
        <w:ind w:left="2160" w:hanging="180"/>
      </w:pPr>
      <w:rPr>
        <w:sz w:val="20"/>
      </w:rPr>
    </w:lvl>
    <w:lvl w:ilvl="3" w:tplc="E7D8CDCC">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025CB"/>
    <w:multiLevelType w:val="hybridMultilevel"/>
    <w:tmpl w:val="EEB8B48A"/>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6168D"/>
    <w:multiLevelType w:val="hybridMultilevel"/>
    <w:tmpl w:val="B15C8458"/>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4DE7D80">
      <w:start w:val="1"/>
      <w:numFmt w:val="decimal"/>
      <w:lvlText w:val="%4."/>
      <w:lvlJc w:val="left"/>
      <w:pPr>
        <w:ind w:left="2880" w:hanging="360"/>
      </w:pPr>
      <w:rPr>
        <w:rFonts w:asciiTheme="minorHAnsi" w:hAnsiTheme="minorHAnsi" w:hint="default"/>
        <w:b w:val="0"/>
        <w:color w:val="auto"/>
        <w:sz w:val="20"/>
      </w:rPr>
    </w:lvl>
    <w:lvl w:ilvl="4" w:tplc="C2049B64">
      <w:start w:val="1"/>
      <w:numFmt w:val="lowerLetter"/>
      <w:lvlText w:val="%5."/>
      <w:lvlJc w:val="left"/>
      <w:pPr>
        <w:ind w:left="3600" w:hanging="360"/>
      </w:pPr>
      <w:rPr>
        <w:b w:val="0"/>
        <w:sz w:val="20"/>
      </w:rPr>
    </w:lvl>
    <w:lvl w:ilvl="5" w:tplc="F8BCE196">
      <w:start w:val="1"/>
      <w:numFmt w:val="lowerRoman"/>
      <w:lvlText w:val="%6."/>
      <w:lvlJc w:val="right"/>
      <w:pPr>
        <w:ind w:left="4320" w:hanging="180"/>
      </w:pPr>
      <w:rPr>
        <w:sz w:val="20"/>
      </w:rPr>
    </w:lvl>
    <w:lvl w:ilvl="6" w:tplc="BF604C32">
      <w:start w:val="1"/>
      <w:numFmt w:val="decimal"/>
      <w:lvlText w:val="%7."/>
      <w:lvlJc w:val="left"/>
      <w:pPr>
        <w:ind w:left="5040" w:hanging="360"/>
      </w:pPr>
      <w:rPr>
        <w:sz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A23A0"/>
    <w:multiLevelType w:val="hybridMultilevel"/>
    <w:tmpl w:val="F35CD274"/>
    <w:lvl w:ilvl="0" w:tplc="4C06071E">
      <w:start w:val="1"/>
      <w:numFmt w:val="decimal"/>
      <w:lvlText w:val="%1."/>
      <w:lvlJc w:val="left"/>
      <w:pPr>
        <w:ind w:left="720" w:hanging="360"/>
      </w:pPr>
      <w:rPr>
        <w:rFonts w:hint="default"/>
        <w:sz w:val="20"/>
      </w:rPr>
    </w:lvl>
    <w:lvl w:ilvl="1" w:tplc="16B6CC44">
      <w:start w:val="1"/>
      <w:numFmt w:val="lowerLetter"/>
      <w:lvlText w:val="%2."/>
      <w:lvlJc w:val="left"/>
      <w:pPr>
        <w:ind w:left="1440" w:hanging="360"/>
      </w:pPr>
      <w:rPr>
        <w:sz w:val="20"/>
      </w:rPr>
    </w:lvl>
    <w:lvl w:ilvl="2" w:tplc="5E2C38F6">
      <w:start w:val="1"/>
      <w:numFmt w:val="lowerRoman"/>
      <w:lvlText w:val="%3."/>
      <w:lvlJc w:val="right"/>
      <w:pPr>
        <w:ind w:left="2160" w:hanging="180"/>
      </w:pPr>
      <w:rPr>
        <w:sz w:val="20"/>
      </w:rPr>
    </w:lvl>
    <w:lvl w:ilvl="3" w:tplc="189C92F2">
      <w:start w:val="1"/>
      <w:numFmt w:val="decimal"/>
      <w:lvlText w:val="%4."/>
      <w:lvlJc w:val="left"/>
      <w:pPr>
        <w:ind w:left="2880" w:hanging="360"/>
      </w:pPr>
      <w:rPr>
        <w:sz w:val="20"/>
      </w:rPr>
    </w:lvl>
    <w:lvl w:ilvl="4" w:tplc="F4EED164">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510C4"/>
    <w:multiLevelType w:val="hybridMultilevel"/>
    <w:tmpl w:val="EEB8B48A"/>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0778E"/>
    <w:multiLevelType w:val="hybridMultilevel"/>
    <w:tmpl w:val="EEB8B48A"/>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A2CEF"/>
    <w:multiLevelType w:val="hybridMultilevel"/>
    <w:tmpl w:val="1C403326"/>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A88CB7C0">
      <w:start w:val="1"/>
      <w:numFmt w:val="lowerRoman"/>
      <w:lvlText w:val="%6."/>
      <w:lvlJc w:val="right"/>
      <w:pPr>
        <w:ind w:left="4320" w:hanging="180"/>
      </w:pPr>
      <w:rPr>
        <w:sz w:val="20"/>
      </w:rPr>
    </w:lvl>
    <w:lvl w:ilvl="6" w:tplc="BF604C32">
      <w:start w:val="1"/>
      <w:numFmt w:val="decimal"/>
      <w:lvlText w:val="%7."/>
      <w:lvlJc w:val="left"/>
      <w:pPr>
        <w:ind w:left="5040" w:hanging="360"/>
      </w:pPr>
      <w:rPr>
        <w:sz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30A85"/>
    <w:multiLevelType w:val="hybridMultilevel"/>
    <w:tmpl w:val="EEB8B48A"/>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F1E06"/>
    <w:multiLevelType w:val="hybridMultilevel"/>
    <w:tmpl w:val="EEB8B48A"/>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84920"/>
    <w:multiLevelType w:val="hybridMultilevel"/>
    <w:tmpl w:val="EEB8B48A"/>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74EBF"/>
    <w:multiLevelType w:val="hybridMultilevel"/>
    <w:tmpl w:val="16B0CF20"/>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63333"/>
    <w:multiLevelType w:val="hybridMultilevel"/>
    <w:tmpl w:val="65FC1478"/>
    <w:lvl w:ilvl="0" w:tplc="15AA5A84">
      <w:start w:val="1"/>
      <w:numFmt w:val="decimal"/>
      <w:lvlText w:val="%1."/>
      <w:lvlJc w:val="left"/>
      <w:pPr>
        <w:ind w:left="720" w:hanging="360"/>
      </w:pPr>
      <w:rPr>
        <w:rFonts w:hint="default"/>
        <w:sz w:val="20"/>
      </w:rPr>
    </w:lvl>
    <w:lvl w:ilvl="1" w:tplc="F202F93A">
      <w:start w:val="1"/>
      <w:numFmt w:val="lowerLetter"/>
      <w:lvlText w:val="%2."/>
      <w:lvlJc w:val="left"/>
      <w:pPr>
        <w:ind w:left="1440" w:hanging="360"/>
      </w:pPr>
      <w:rPr>
        <w:sz w:val="20"/>
      </w:rPr>
    </w:lvl>
    <w:lvl w:ilvl="2" w:tplc="A968718C">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917F2"/>
    <w:multiLevelType w:val="hybridMultilevel"/>
    <w:tmpl w:val="EEB8B48A"/>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E7400F0C">
      <w:start w:val="1"/>
      <w:numFmt w:val="lowerRoman"/>
      <w:lvlText w:val="%3."/>
      <w:lvlJc w:val="right"/>
      <w:pPr>
        <w:ind w:left="2160" w:hanging="180"/>
      </w:pPr>
      <w:rPr>
        <w:b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74119"/>
    <w:multiLevelType w:val="hybridMultilevel"/>
    <w:tmpl w:val="FF445EBE"/>
    <w:lvl w:ilvl="0" w:tplc="A680ECFC">
      <w:start w:val="1"/>
      <w:numFmt w:val="decimal"/>
      <w:lvlText w:val="%1."/>
      <w:lvlJc w:val="left"/>
      <w:pPr>
        <w:ind w:left="720" w:hanging="360"/>
      </w:pPr>
      <w:rPr>
        <w:rFonts w:hint="default"/>
        <w:b w:val="0"/>
        <w:sz w:val="20"/>
      </w:rPr>
    </w:lvl>
    <w:lvl w:ilvl="1" w:tplc="9204181E">
      <w:start w:val="1"/>
      <w:numFmt w:val="lowerLetter"/>
      <w:lvlText w:val="%2."/>
      <w:lvlJc w:val="left"/>
      <w:pPr>
        <w:ind w:left="1440" w:hanging="360"/>
      </w:pPr>
      <w:rPr>
        <w:b w:val="0"/>
        <w:sz w:val="20"/>
      </w:rPr>
    </w:lvl>
    <w:lvl w:ilvl="2" w:tplc="052CC64C">
      <w:start w:val="1"/>
      <w:numFmt w:val="lowerRoman"/>
      <w:lvlText w:val="%3."/>
      <w:lvlJc w:val="right"/>
      <w:pPr>
        <w:ind w:left="2160" w:hanging="180"/>
      </w:pPr>
      <w:rPr>
        <w:b w:val="0"/>
        <w:i w:val="0"/>
        <w:sz w:val="20"/>
      </w:rPr>
    </w:lvl>
    <w:lvl w:ilvl="3" w:tplc="AE84B178">
      <w:start w:val="1"/>
      <w:numFmt w:val="decimal"/>
      <w:lvlText w:val="%4."/>
      <w:lvlJc w:val="left"/>
      <w:pPr>
        <w:ind w:left="2880" w:hanging="360"/>
      </w:pPr>
      <w:rPr>
        <w:b w:val="0"/>
        <w:sz w:val="20"/>
      </w:rPr>
    </w:lvl>
    <w:lvl w:ilvl="4" w:tplc="C2049B64">
      <w:start w:val="1"/>
      <w:numFmt w:val="lowerLetter"/>
      <w:lvlText w:val="%5."/>
      <w:lvlJc w:val="left"/>
      <w:pPr>
        <w:ind w:left="3600" w:hanging="360"/>
      </w:pPr>
      <w:rPr>
        <w:b w:val="0"/>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6"/>
  </w:num>
  <w:num w:numId="5">
    <w:abstractNumId w:val="15"/>
  </w:num>
  <w:num w:numId="6">
    <w:abstractNumId w:val="16"/>
  </w:num>
  <w:num w:numId="7">
    <w:abstractNumId w:val="8"/>
  </w:num>
  <w:num w:numId="8">
    <w:abstractNumId w:val="4"/>
  </w:num>
  <w:num w:numId="9">
    <w:abstractNumId w:val="10"/>
  </w:num>
  <w:num w:numId="10">
    <w:abstractNumId w:val="0"/>
  </w:num>
  <w:num w:numId="11">
    <w:abstractNumId w:val="7"/>
  </w:num>
  <w:num w:numId="12">
    <w:abstractNumId w:val="12"/>
  </w:num>
  <w:num w:numId="13">
    <w:abstractNumId w:val="3"/>
  </w:num>
  <w:num w:numId="14">
    <w:abstractNumId w:val="13"/>
  </w:num>
  <w:num w:numId="15">
    <w:abstractNumId w:val="2"/>
  </w:num>
  <w:num w:numId="16">
    <w:abstractNumId w:val="9"/>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db76d7b2-b514-4a95-8b91-4b76bea34362"/>
  </w:docVars>
  <w:rsids>
    <w:rsidRoot w:val="00505123"/>
    <w:rsid w:val="00002344"/>
    <w:rsid w:val="000027B5"/>
    <w:rsid w:val="000107D3"/>
    <w:rsid w:val="00022760"/>
    <w:rsid w:val="00023045"/>
    <w:rsid w:val="00026809"/>
    <w:rsid w:val="00030BEB"/>
    <w:rsid w:val="000419C8"/>
    <w:rsid w:val="00042840"/>
    <w:rsid w:val="00045817"/>
    <w:rsid w:val="00046FAC"/>
    <w:rsid w:val="00050F27"/>
    <w:rsid w:val="00052B7A"/>
    <w:rsid w:val="00052C77"/>
    <w:rsid w:val="0005426B"/>
    <w:rsid w:val="000554FD"/>
    <w:rsid w:val="000558A1"/>
    <w:rsid w:val="00055EDE"/>
    <w:rsid w:val="00056A96"/>
    <w:rsid w:val="0006029C"/>
    <w:rsid w:val="0006279D"/>
    <w:rsid w:val="00065734"/>
    <w:rsid w:val="00067A01"/>
    <w:rsid w:val="000805F1"/>
    <w:rsid w:val="00080E82"/>
    <w:rsid w:val="00090332"/>
    <w:rsid w:val="0009194C"/>
    <w:rsid w:val="00091A57"/>
    <w:rsid w:val="0009326C"/>
    <w:rsid w:val="00093B2A"/>
    <w:rsid w:val="0009548B"/>
    <w:rsid w:val="00096DDD"/>
    <w:rsid w:val="000A2105"/>
    <w:rsid w:val="000B154F"/>
    <w:rsid w:val="000B42E6"/>
    <w:rsid w:val="000C08E7"/>
    <w:rsid w:val="000C32F0"/>
    <w:rsid w:val="000C3FAC"/>
    <w:rsid w:val="000C5367"/>
    <w:rsid w:val="000C5602"/>
    <w:rsid w:val="000C6652"/>
    <w:rsid w:val="000D0013"/>
    <w:rsid w:val="000D1FBC"/>
    <w:rsid w:val="000D4618"/>
    <w:rsid w:val="000D748B"/>
    <w:rsid w:val="000E12AF"/>
    <w:rsid w:val="000E2A78"/>
    <w:rsid w:val="000E375C"/>
    <w:rsid w:val="000E38DB"/>
    <w:rsid w:val="000E39D8"/>
    <w:rsid w:val="000E4CA8"/>
    <w:rsid w:val="000E4FAF"/>
    <w:rsid w:val="000E6F86"/>
    <w:rsid w:val="000F03DD"/>
    <w:rsid w:val="000F6CE2"/>
    <w:rsid w:val="000F6EB1"/>
    <w:rsid w:val="000F724E"/>
    <w:rsid w:val="000F7527"/>
    <w:rsid w:val="00100B1B"/>
    <w:rsid w:val="001018CE"/>
    <w:rsid w:val="00102829"/>
    <w:rsid w:val="00104CB7"/>
    <w:rsid w:val="001210CA"/>
    <w:rsid w:val="00124B22"/>
    <w:rsid w:val="00127B68"/>
    <w:rsid w:val="0013039C"/>
    <w:rsid w:val="001303C2"/>
    <w:rsid w:val="001346CF"/>
    <w:rsid w:val="00141718"/>
    <w:rsid w:val="00141913"/>
    <w:rsid w:val="00145D1D"/>
    <w:rsid w:val="00147582"/>
    <w:rsid w:val="00150E5C"/>
    <w:rsid w:val="00151766"/>
    <w:rsid w:val="00151A3F"/>
    <w:rsid w:val="001607C7"/>
    <w:rsid w:val="00164635"/>
    <w:rsid w:val="00170C48"/>
    <w:rsid w:val="001801A7"/>
    <w:rsid w:val="0018043C"/>
    <w:rsid w:val="00180CD1"/>
    <w:rsid w:val="00180E71"/>
    <w:rsid w:val="00180EFC"/>
    <w:rsid w:val="00181424"/>
    <w:rsid w:val="001823C9"/>
    <w:rsid w:val="001829F6"/>
    <w:rsid w:val="00186617"/>
    <w:rsid w:val="001867DB"/>
    <w:rsid w:val="001919EE"/>
    <w:rsid w:val="00193A0D"/>
    <w:rsid w:val="0019533F"/>
    <w:rsid w:val="00195D40"/>
    <w:rsid w:val="00195F9B"/>
    <w:rsid w:val="00197C60"/>
    <w:rsid w:val="001A2DF7"/>
    <w:rsid w:val="001A5C3C"/>
    <w:rsid w:val="001A6071"/>
    <w:rsid w:val="001A656F"/>
    <w:rsid w:val="001B04B3"/>
    <w:rsid w:val="001B5275"/>
    <w:rsid w:val="001B5F3B"/>
    <w:rsid w:val="001B727C"/>
    <w:rsid w:val="001C2EE2"/>
    <w:rsid w:val="001C457B"/>
    <w:rsid w:val="001C512B"/>
    <w:rsid w:val="001D1216"/>
    <w:rsid w:val="001D2485"/>
    <w:rsid w:val="001D47D5"/>
    <w:rsid w:val="001D670C"/>
    <w:rsid w:val="001D68A3"/>
    <w:rsid w:val="001D7554"/>
    <w:rsid w:val="001D76BA"/>
    <w:rsid w:val="001E06C4"/>
    <w:rsid w:val="001E25CA"/>
    <w:rsid w:val="001E691B"/>
    <w:rsid w:val="001F000C"/>
    <w:rsid w:val="001F0C23"/>
    <w:rsid w:val="001F1751"/>
    <w:rsid w:val="001F2214"/>
    <w:rsid w:val="001F3B6D"/>
    <w:rsid w:val="001F5B14"/>
    <w:rsid w:val="0020169E"/>
    <w:rsid w:val="00206309"/>
    <w:rsid w:val="00213182"/>
    <w:rsid w:val="002132D2"/>
    <w:rsid w:val="00216778"/>
    <w:rsid w:val="00216FFC"/>
    <w:rsid w:val="00217021"/>
    <w:rsid w:val="002171B6"/>
    <w:rsid w:val="00220AE9"/>
    <w:rsid w:val="0022229F"/>
    <w:rsid w:val="00231C5E"/>
    <w:rsid w:val="00232CBA"/>
    <w:rsid w:val="002330F9"/>
    <w:rsid w:val="00233D5C"/>
    <w:rsid w:val="00234984"/>
    <w:rsid w:val="0023576A"/>
    <w:rsid w:val="00237244"/>
    <w:rsid w:val="0024111C"/>
    <w:rsid w:val="00241BFE"/>
    <w:rsid w:val="0024343E"/>
    <w:rsid w:val="00243EFE"/>
    <w:rsid w:val="00245457"/>
    <w:rsid w:val="00245824"/>
    <w:rsid w:val="00255623"/>
    <w:rsid w:val="00257FA0"/>
    <w:rsid w:val="00264398"/>
    <w:rsid w:val="0026608E"/>
    <w:rsid w:val="002660BF"/>
    <w:rsid w:val="00267752"/>
    <w:rsid w:val="0027056C"/>
    <w:rsid w:val="0027104D"/>
    <w:rsid w:val="00274A42"/>
    <w:rsid w:val="002775B9"/>
    <w:rsid w:val="002834E3"/>
    <w:rsid w:val="00284347"/>
    <w:rsid w:val="00286089"/>
    <w:rsid w:val="00287167"/>
    <w:rsid w:val="002908B2"/>
    <w:rsid w:val="00291A85"/>
    <w:rsid w:val="0029304C"/>
    <w:rsid w:val="00294DDA"/>
    <w:rsid w:val="002A0065"/>
    <w:rsid w:val="002A4A22"/>
    <w:rsid w:val="002A55A7"/>
    <w:rsid w:val="002A7BCC"/>
    <w:rsid w:val="002B1FA1"/>
    <w:rsid w:val="002B3FAB"/>
    <w:rsid w:val="002B6C4F"/>
    <w:rsid w:val="002B76F5"/>
    <w:rsid w:val="002C08B0"/>
    <w:rsid w:val="002C1BE7"/>
    <w:rsid w:val="002C2152"/>
    <w:rsid w:val="002C2F7E"/>
    <w:rsid w:val="002C3468"/>
    <w:rsid w:val="002C49EB"/>
    <w:rsid w:val="002D19A5"/>
    <w:rsid w:val="002D1B3D"/>
    <w:rsid w:val="002D2951"/>
    <w:rsid w:val="002D2B2D"/>
    <w:rsid w:val="002D39C2"/>
    <w:rsid w:val="002E0E33"/>
    <w:rsid w:val="002F4F0F"/>
    <w:rsid w:val="002F51C9"/>
    <w:rsid w:val="002F599C"/>
    <w:rsid w:val="002F67C1"/>
    <w:rsid w:val="00304103"/>
    <w:rsid w:val="003050E3"/>
    <w:rsid w:val="003052C6"/>
    <w:rsid w:val="003077DF"/>
    <w:rsid w:val="00310C55"/>
    <w:rsid w:val="0031142B"/>
    <w:rsid w:val="00311F6A"/>
    <w:rsid w:val="00316924"/>
    <w:rsid w:val="00316B95"/>
    <w:rsid w:val="00316E0D"/>
    <w:rsid w:val="00317D22"/>
    <w:rsid w:val="00321033"/>
    <w:rsid w:val="003215B0"/>
    <w:rsid w:val="00325BFB"/>
    <w:rsid w:val="003313F7"/>
    <w:rsid w:val="003320A9"/>
    <w:rsid w:val="00333281"/>
    <w:rsid w:val="0033713A"/>
    <w:rsid w:val="0033774B"/>
    <w:rsid w:val="00337A73"/>
    <w:rsid w:val="00340AC5"/>
    <w:rsid w:val="00343B46"/>
    <w:rsid w:val="00344559"/>
    <w:rsid w:val="00346FC9"/>
    <w:rsid w:val="00351701"/>
    <w:rsid w:val="00352E37"/>
    <w:rsid w:val="00356049"/>
    <w:rsid w:val="00360022"/>
    <w:rsid w:val="0036258A"/>
    <w:rsid w:val="00363722"/>
    <w:rsid w:val="00364AD4"/>
    <w:rsid w:val="00364BFC"/>
    <w:rsid w:val="0036528A"/>
    <w:rsid w:val="003709C2"/>
    <w:rsid w:val="00372566"/>
    <w:rsid w:val="0038139C"/>
    <w:rsid w:val="0038243A"/>
    <w:rsid w:val="00382935"/>
    <w:rsid w:val="003837C6"/>
    <w:rsid w:val="003841A6"/>
    <w:rsid w:val="00385668"/>
    <w:rsid w:val="003859FF"/>
    <w:rsid w:val="00390D45"/>
    <w:rsid w:val="00391957"/>
    <w:rsid w:val="00392198"/>
    <w:rsid w:val="00392B7A"/>
    <w:rsid w:val="00397376"/>
    <w:rsid w:val="003A1174"/>
    <w:rsid w:val="003A3F78"/>
    <w:rsid w:val="003A4F8F"/>
    <w:rsid w:val="003A54DE"/>
    <w:rsid w:val="003A63C4"/>
    <w:rsid w:val="003B2709"/>
    <w:rsid w:val="003B3F01"/>
    <w:rsid w:val="003B585A"/>
    <w:rsid w:val="003B6352"/>
    <w:rsid w:val="003C5914"/>
    <w:rsid w:val="003C637B"/>
    <w:rsid w:val="003D10AE"/>
    <w:rsid w:val="003D1945"/>
    <w:rsid w:val="003D44DA"/>
    <w:rsid w:val="003D63D1"/>
    <w:rsid w:val="003D662F"/>
    <w:rsid w:val="003E5980"/>
    <w:rsid w:val="003F302F"/>
    <w:rsid w:val="003F7B4A"/>
    <w:rsid w:val="00402855"/>
    <w:rsid w:val="00404D74"/>
    <w:rsid w:val="004066DD"/>
    <w:rsid w:val="00407F09"/>
    <w:rsid w:val="00410131"/>
    <w:rsid w:val="0041016F"/>
    <w:rsid w:val="0041783E"/>
    <w:rsid w:val="004216A8"/>
    <w:rsid w:val="004222B7"/>
    <w:rsid w:val="00425155"/>
    <w:rsid w:val="0042601A"/>
    <w:rsid w:val="0042759E"/>
    <w:rsid w:val="00433771"/>
    <w:rsid w:val="00433CE0"/>
    <w:rsid w:val="00435180"/>
    <w:rsid w:val="004353F1"/>
    <w:rsid w:val="00437021"/>
    <w:rsid w:val="00437667"/>
    <w:rsid w:val="00440F1C"/>
    <w:rsid w:val="00441D47"/>
    <w:rsid w:val="00441E63"/>
    <w:rsid w:val="0044226D"/>
    <w:rsid w:val="00442FA0"/>
    <w:rsid w:val="00447C0F"/>
    <w:rsid w:val="00450CC0"/>
    <w:rsid w:val="00453982"/>
    <w:rsid w:val="0047003A"/>
    <w:rsid w:val="00471C75"/>
    <w:rsid w:val="00472EC1"/>
    <w:rsid w:val="0047537B"/>
    <w:rsid w:val="00480BC9"/>
    <w:rsid w:val="00481F58"/>
    <w:rsid w:val="004825BF"/>
    <w:rsid w:val="00483C6E"/>
    <w:rsid w:val="00487E92"/>
    <w:rsid w:val="00493D64"/>
    <w:rsid w:val="00497699"/>
    <w:rsid w:val="004A05DA"/>
    <w:rsid w:val="004A1D21"/>
    <w:rsid w:val="004A42AF"/>
    <w:rsid w:val="004A5EA5"/>
    <w:rsid w:val="004A647C"/>
    <w:rsid w:val="004A762D"/>
    <w:rsid w:val="004B2F66"/>
    <w:rsid w:val="004B3C29"/>
    <w:rsid w:val="004B3FA3"/>
    <w:rsid w:val="004B5090"/>
    <w:rsid w:val="004B6648"/>
    <w:rsid w:val="004B778B"/>
    <w:rsid w:val="004C0EB6"/>
    <w:rsid w:val="004C1DCC"/>
    <w:rsid w:val="004C244A"/>
    <w:rsid w:val="004C2C58"/>
    <w:rsid w:val="004C5541"/>
    <w:rsid w:val="004C7931"/>
    <w:rsid w:val="004D1C51"/>
    <w:rsid w:val="004D20BE"/>
    <w:rsid w:val="004D31DA"/>
    <w:rsid w:val="004E0209"/>
    <w:rsid w:val="004E1640"/>
    <w:rsid w:val="004E2655"/>
    <w:rsid w:val="004E6655"/>
    <w:rsid w:val="004E6C45"/>
    <w:rsid w:val="004F06A9"/>
    <w:rsid w:val="004F1661"/>
    <w:rsid w:val="004F280F"/>
    <w:rsid w:val="004F44BE"/>
    <w:rsid w:val="00505123"/>
    <w:rsid w:val="0050520C"/>
    <w:rsid w:val="0051110E"/>
    <w:rsid w:val="00512498"/>
    <w:rsid w:val="00515639"/>
    <w:rsid w:val="00523184"/>
    <w:rsid w:val="005257DE"/>
    <w:rsid w:val="005266BC"/>
    <w:rsid w:val="00527B77"/>
    <w:rsid w:val="005300BC"/>
    <w:rsid w:val="00531E8A"/>
    <w:rsid w:val="00532120"/>
    <w:rsid w:val="005366B5"/>
    <w:rsid w:val="00537EF3"/>
    <w:rsid w:val="0054140F"/>
    <w:rsid w:val="00542D4E"/>
    <w:rsid w:val="005431E3"/>
    <w:rsid w:val="0054381B"/>
    <w:rsid w:val="005478A6"/>
    <w:rsid w:val="00550B1C"/>
    <w:rsid w:val="00552EF4"/>
    <w:rsid w:val="00554A7B"/>
    <w:rsid w:val="00554DC4"/>
    <w:rsid w:val="0055641F"/>
    <w:rsid w:val="005658A0"/>
    <w:rsid w:val="00573C0D"/>
    <w:rsid w:val="0057453A"/>
    <w:rsid w:val="00575E6F"/>
    <w:rsid w:val="0057642D"/>
    <w:rsid w:val="005767D7"/>
    <w:rsid w:val="00577F42"/>
    <w:rsid w:val="005816B4"/>
    <w:rsid w:val="005877F3"/>
    <w:rsid w:val="00587CD4"/>
    <w:rsid w:val="005908B8"/>
    <w:rsid w:val="005910DC"/>
    <w:rsid w:val="005911C9"/>
    <w:rsid w:val="00593F3B"/>
    <w:rsid w:val="00594646"/>
    <w:rsid w:val="0059673B"/>
    <w:rsid w:val="005A3737"/>
    <w:rsid w:val="005A5437"/>
    <w:rsid w:val="005A5441"/>
    <w:rsid w:val="005A5CC3"/>
    <w:rsid w:val="005B1592"/>
    <w:rsid w:val="005B15BB"/>
    <w:rsid w:val="005B5785"/>
    <w:rsid w:val="005B7E46"/>
    <w:rsid w:val="005C03A4"/>
    <w:rsid w:val="005C1A0F"/>
    <w:rsid w:val="005C3EB7"/>
    <w:rsid w:val="005D240D"/>
    <w:rsid w:val="005D3DBB"/>
    <w:rsid w:val="005D4E56"/>
    <w:rsid w:val="005E0BC7"/>
    <w:rsid w:val="005E3E75"/>
    <w:rsid w:val="005E4C3B"/>
    <w:rsid w:val="005E6BD3"/>
    <w:rsid w:val="005F06EC"/>
    <w:rsid w:val="005F1D26"/>
    <w:rsid w:val="005F6894"/>
    <w:rsid w:val="005F7A07"/>
    <w:rsid w:val="00602CC1"/>
    <w:rsid w:val="00603F2A"/>
    <w:rsid w:val="00606B28"/>
    <w:rsid w:val="0060762E"/>
    <w:rsid w:val="00611047"/>
    <w:rsid w:val="006113B8"/>
    <w:rsid w:val="00611ECA"/>
    <w:rsid w:val="00612C91"/>
    <w:rsid w:val="00613D1C"/>
    <w:rsid w:val="00615D70"/>
    <w:rsid w:val="0061654F"/>
    <w:rsid w:val="00620956"/>
    <w:rsid w:val="00621B0B"/>
    <w:rsid w:val="00624BBC"/>
    <w:rsid w:val="00625AD3"/>
    <w:rsid w:val="0063164C"/>
    <w:rsid w:val="00633766"/>
    <w:rsid w:val="00634F75"/>
    <w:rsid w:val="00635187"/>
    <w:rsid w:val="0063709D"/>
    <w:rsid w:val="006423A8"/>
    <w:rsid w:val="006455E0"/>
    <w:rsid w:val="00645DF9"/>
    <w:rsid w:val="0064756B"/>
    <w:rsid w:val="006656FB"/>
    <w:rsid w:val="00672051"/>
    <w:rsid w:val="00676B0D"/>
    <w:rsid w:val="00684F51"/>
    <w:rsid w:val="006A48C5"/>
    <w:rsid w:val="006A5F8E"/>
    <w:rsid w:val="006A6061"/>
    <w:rsid w:val="006A764D"/>
    <w:rsid w:val="006B26BD"/>
    <w:rsid w:val="006B6B81"/>
    <w:rsid w:val="006C1962"/>
    <w:rsid w:val="006C4251"/>
    <w:rsid w:val="006C4DD2"/>
    <w:rsid w:val="006C5752"/>
    <w:rsid w:val="006C7490"/>
    <w:rsid w:val="006D2005"/>
    <w:rsid w:val="006D67E8"/>
    <w:rsid w:val="006D7943"/>
    <w:rsid w:val="006E2850"/>
    <w:rsid w:val="006E2E47"/>
    <w:rsid w:val="006E2EA5"/>
    <w:rsid w:val="006E36FA"/>
    <w:rsid w:val="006E453E"/>
    <w:rsid w:val="006E7BBF"/>
    <w:rsid w:val="006F2BBE"/>
    <w:rsid w:val="00700AC6"/>
    <w:rsid w:val="00702857"/>
    <w:rsid w:val="00702F19"/>
    <w:rsid w:val="00703963"/>
    <w:rsid w:val="007042B5"/>
    <w:rsid w:val="00704C9E"/>
    <w:rsid w:val="007059B6"/>
    <w:rsid w:val="00712397"/>
    <w:rsid w:val="00712F77"/>
    <w:rsid w:val="00713D92"/>
    <w:rsid w:val="007152ED"/>
    <w:rsid w:val="00715617"/>
    <w:rsid w:val="007158EA"/>
    <w:rsid w:val="00715C77"/>
    <w:rsid w:val="007164A5"/>
    <w:rsid w:val="007177ED"/>
    <w:rsid w:val="00725FC6"/>
    <w:rsid w:val="007264C5"/>
    <w:rsid w:val="00726E12"/>
    <w:rsid w:val="00731E45"/>
    <w:rsid w:val="00735C42"/>
    <w:rsid w:val="00736EF6"/>
    <w:rsid w:val="007373C3"/>
    <w:rsid w:val="007375D8"/>
    <w:rsid w:val="00737699"/>
    <w:rsid w:val="00740451"/>
    <w:rsid w:val="0074151B"/>
    <w:rsid w:val="00743437"/>
    <w:rsid w:val="00746326"/>
    <w:rsid w:val="0075324F"/>
    <w:rsid w:val="00754E25"/>
    <w:rsid w:val="00755B89"/>
    <w:rsid w:val="00755E34"/>
    <w:rsid w:val="007562C1"/>
    <w:rsid w:val="00760774"/>
    <w:rsid w:val="0076130D"/>
    <w:rsid w:val="00763AFF"/>
    <w:rsid w:val="007645E9"/>
    <w:rsid w:val="007646B0"/>
    <w:rsid w:val="00765E1F"/>
    <w:rsid w:val="00765F9F"/>
    <w:rsid w:val="007668DC"/>
    <w:rsid w:val="00770C69"/>
    <w:rsid w:val="00771CAC"/>
    <w:rsid w:val="00772DC3"/>
    <w:rsid w:val="00774E0F"/>
    <w:rsid w:val="00776A85"/>
    <w:rsid w:val="007823B6"/>
    <w:rsid w:val="00784F5D"/>
    <w:rsid w:val="007875D3"/>
    <w:rsid w:val="00795919"/>
    <w:rsid w:val="00796B50"/>
    <w:rsid w:val="007A64BA"/>
    <w:rsid w:val="007A6EB9"/>
    <w:rsid w:val="007B08E2"/>
    <w:rsid w:val="007B1DAC"/>
    <w:rsid w:val="007B3258"/>
    <w:rsid w:val="007B5520"/>
    <w:rsid w:val="007B59FB"/>
    <w:rsid w:val="007B6C5C"/>
    <w:rsid w:val="007C1E5D"/>
    <w:rsid w:val="007C3374"/>
    <w:rsid w:val="007D04A6"/>
    <w:rsid w:val="007D0BA0"/>
    <w:rsid w:val="007D0D43"/>
    <w:rsid w:val="007D1D9A"/>
    <w:rsid w:val="007D3E0A"/>
    <w:rsid w:val="007D4749"/>
    <w:rsid w:val="007E0B0D"/>
    <w:rsid w:val="007E0B1D"/>
    <w:rsid w:val="007E18BA"/>
    <w:rsid w:val="007E27EF"/>
    <w:rsid w:val="007E4E08"/>
    <w:rsid w:val="007E6024"/>
    <w:rsid w:val="007E6AE1"/>
    <w:rsid w:val="007F079A"/>
    <w:rsid w:val="007F09E6"/>
    <w:rsid w:val="007F0AB2"/>
    <w:rsid w:val="007F130D"/>
    <w:rsid w:val="007F165E"/>
    <w:rsid w:val="007F1C2B"/>
    <w:rsid w:val="007F1C46"/>
    <w:rsid w:val="007F20AE"/>
    <w:rsid w:val="007F3361"/>
    <w:rsid w:val="007F4A0A"/>
    <w:rsid w:val="007F576C"/>
    <w:rsid w:val="007F58B6"/>
    <w:rsid w:val="007F6C85"/>
    <w:rsid w:val="007F725F"/>
    <w:rsid w:val="007F7409"/>
    <w:rsid w:val="008002D9"/>
    <w:rsid w:val="008012F9"/>
    <w:rsid w:val="008059A2"/>
    <w:rsid w:val="0080651D"/>
    <w:rsid w:val="00807E78"/>
    <w:rsid w:val="00807E9B"/>
    <w:rsid w:val="00810206"/>
    <w:rsid w:val="0081198C"/>
    <w:rsid w:val="00812B82"/>
    <w:rsid w:val="00816C9D"/>
    <w:rsid w:val="008211D9"/>
    <w:rsid w:val="0082672C"/>
    <w:rsid w:val="00830EDE"/>
    <w:rsid w:val="00831556"/>
    <w:rsid w:val="008320E0"/>
    <w:rsid w:val="0083381E"/>
    <w:rsid w:val="008342C5"/>
    <w:rsid w:val="008367FE"/>
    <w:rsid w:val="00842CC1"/>
    <w:rsid w:val="00844831"/>
    <w:rsid w:val="00845B27"/>
    <w:rsid w:val="0084658C"/>
    <w:rsid w:val="00846F8B"/>
    <w:rsid w:val="0085170E"/>
    <w:rsid w:val="00852941"/>
    <w:rsid w:val="00854B5F"/>
    <w:rsid w:val="00854E61"/>
    <w:rsid w:val="0085596C"/>
    <w:rsid w:val="00860F5F"/>
    <w:rsid w:val="00864424"/>
    <w:rsid w:val="00870A3B"/>
    <w:rsid w:val="00871130"/>
    <w:rsid w:val="00872607"/>
    <w:rsid w:val="00872AC9"/>
    <w:rsid w:val="008738B2"/>
    <w:rsid w:val="00883E8F"/>
    <w:rsid w:val="008849A1"/>
    <w:rsid w:val="00892722"/>
    <w:rsid w:val="00892C0B"/>
    <w:rsid w:val="00892E14"/>
    <w:rsid w:val="00894108"/>
    <w:rsid w:val="00894625"/>
    <w:rsid w:val="008953F6"/>
    <w:rsid w:val="008959B6"/>
    <w:rsid w:val="00896B1C"/>
    <w:rsid w:val="00896F12"/>
    <w:rsid w:val="008A0AAB"/>
    <w:rsid w:val="008A324E"/>
    <w:rsid w:val="008A586C"/>
    <w:rsid w:val="008A58A2"/>
    <w:rsid w:val="008A74AB"/>
    <w:rsid w:val="008B20CF"/>
    <w:rsid w:val="008B23EA"/>
    <w:rsid w:val="008B4ABF"/>
    <w:rsid w:val="008B579A"/>
    <w:rsid w:val="008B5FA3"/>
    <w:rsid w:val="008B6D74"/>
    <w:rsid w:val="008C206A"/>
    <w:rsid w:val="008C4578"/>
    <w:rsid w:val="008C5A7D"/>
    <w:rsid w:val="008C5C61"/>
    <w:rsid w:val="008D25F4"/>
    <w:rsid w:val="008D40E3"/>
    <w:rsid w:val="008D51FB"/>
    <w:rsid w:val="008D7CCD"/>
    <w:rsid w:val="008E2124"/>
    <w:rsid w:val="008E5605"/>
    <w:rsid w:val="008E7E48"/>
    <w:rsid w:val="008F0622"/>
    <w:rsid w:val="008F3F0F"/>
    <w:rsid w:val="008F4F7D"/>
    <w:rsid w:val="008F5F55"/>
    <w:rsid w:val="008F6187"/>
    <w:rsid w:val="008F6A47"/>
    <w:rsid w:val="008F6D52"/>
    <w:rsid w:val="00903AAC"/>
    <w:rsid w:val="00906B31"/>
    <w:rsid w:val="009126D4"/>
    <w:rsid w:val="009138A7"/>
    <w:rsid w:val="0091586B"/>
    <w:rsid w:val="00917BFF"/>
    <w:rsid w:val="00922A12"/>
    <w:rsid w:val="00924276"/>
    <w:rsid w:val="009301C4"/>
    <w:rsid w:val="00930E8E"/>
    <w:rsid w:val="0093222C"/>
    <w:rsid w:val="00934EE5"/>
    <w:rsid w:val="00935D2B"/>
    <w:rsid w:val="00936C24"/>
    <w:rsid w:val="009431EC"/>
    <w:rsid w:val="00943CC5"/>
    <w:rsid w:val="00943D42"/>
    <w:rsid w:val="009457E7"/>
    <w:rsid w:val="00945AE0"/>
    <w:rsid w:val="009509B0"/>
    <w:rsid w:val="00953A7C"/>
    <w:rsid w:val="00954BF3"/>
    <w:rsid w:val="009570F3"/>
    <w:rsid w:val="00961040"/>
    <w:rsid w:val="00970A17"/>
    <w:rsid w:val="00972F9B"/>
    <w:rsid w:val="00973987"/>
    <w:rsid w:val="009757AE"/>
    <w:rsid w:val="00976736"/>
    <w:rsid w:val="00980842"/>
    <w:rsid w:val="00984CBE"/>
    <w:rsid w:val="00987DCA"/>
    <w:rsid w:val="009904E8"/>
    <w:rsid w:val="00993E74"/>
    <w:rsid w:val="009A2D37"/>
    <w:rsid w:val="009A3B8E"/>
    <w:rsid w:val="009A4179"/>
    <w:rsid w:val="009A49C9"/>
    <w:rsid w:val="009A64A3"/>
    <w:rsid w:val="009B0A74"/>
    <w:rsid w:val="009B2EE1"/>
    <w:rsid w:val="009B44CC"/>
    <w:rsid w:val="009B4977"/>
    <w:rsid w:val="009B5459"/>
    <w:rsid w:val="009B62B3"/>
    <w:rsid w:val="009B6BCC"/>
    <w:rsid w:val="009C0258"/>
    <w:rsid w:val="009C26FC"/>
    <w:rsid w:val="009C31D9"/>
    <w:rsid w:val="009C3646"/>
    <w:rsid w:val="009C719E"/>
    <w:rsid w:val="009C7DCE"/>
    <w:rsid w:val="009E25B3"/>
    <w:rsid w:val="009E6F8C"/>
    <w:rsid w:val="009F07B6"/>
    <w:rsid w:val="009F2A77"/>
    <w:rsid w:val="009F45AB"/>
    <w:rsid w:val="009F6515"/>
    <w:rsid w:val="00A01951"/>
    <w:rsid w:val="00A05E37"/>
    <w:rsid w:val="00A0684F"/>
    <w:rsid w:val="00A11843"/>
    <w:rsid w:val="00A124EC"/>
    <w:rsid w:val="00A1269E"/>
    <w:rsid w:val="00A13553"/>
    <w:rsid w:val="00A170B5"/>
    <w:rsid w:val="00A24685"/>
    <w:rsid w:val="00A252F8"/>
    <w:rsid w:val="00A25679"/>
    <w:rsid w:val="00A272E1"/>
    <w:rsid w:val="00A30822"/>
    <w:rsid w:val="00A33CC1"/>
    <w:rsid w:val="00A3474A"/>
    <w:rsid w:val="00A463F7"/>
    <w:rsid w:val="00A46728"/>
    <w:rsid w:val="00A47256"/>
    <w:rsid w:val="00A50CFB"/>
    <w:rsid w:val="00A5380A"/>
    <w:rsid w:val="00A53BD1"/>
    <w:rsid w:val="00A53E9C"/>
    <w:rsid w:val="00A56798"/>
    <w:rsid w:val="00A579B1"/>
    <w:rsid w:val="00A63B2C"/>
    <w:rsid w:val="00A63C85"/>
    <w:rsid w:val="00A643BC"/>
    <w:rsid w:val="00A66084"/>
    <w:rsid w:val="00A67126"/>
    <w:rsid w:val="00A67884"/>
    <w:rsid w:val="00A71372"/>
    <w:rsid w:val="00A71F0E"/>
    <w:rsid w:val="00A75247"/>
    <w:rsid w:val="00A752CD"/>
    <w:rsid w:val="00A76250"/>
    <w:rsid w:val="00A76D22"/>
    <w:rsid w:val="00A772AF"/>
    <w:rsid w:val="00A82AB7"/>
    <w:rsid w:val="00A8310D"/>
    <w:rsid w:val="00A837BF"/>
    <w:rsid w:val="00A8387A"/>
    <w:rsid w:val="00A87AAB"/>
    <w:rsid w:val="00A90901"/>
    <w:rsid w:val="00A90E5B"/>
    <w:rsid w:val="00A911AC"/>
    <w:rsid w:val="00A92117"/>
    <w:rsid w:val="00A9367E"/>
    <w:rsid w:val="00AA29FD"/>
    <w:rsid w:val="00AA38A8"/>
    <w:rsid w:val="00AA466E"/>
    <w:rsid w:val="00AA7E54"/>
    <w:rsid w:val="00AB325F"/>
    <w:rsid w:val="00AB685F"/>
    <w:rsid w:val="00AB7664"/>
    <w:rsid w:val="00AC462E"/>
    <w:rsid w:val="00AC4B28"/>
    <w:rsid w:val="00AC5ADB"/>
    <w:rsid w:val="00AC656E"/>
    <w:rsid w:val="00AC7655"/>
    <w:rsid w:val="00AD02E2"/>
    <w:rsid w:val="00AD0391"/>
    <w:rsid w:val="00AD12A7"/>
    <w:rsid w:val="00AD1E4F"/>
    <w:rsid w:val="00AD202B"/>
    <w:rsid w:val="00AD3DE3"/>
    <w:rsid w:val="00AD45AC"/>
    <w:rsid w:val="00AD624A"/>
    <w:rsid w:val="00AD6AA1"/>
    <w:rsid w:val="00AE0529"/>
    <w:rsid w:val="00AE0676"/>
    <w:rsid w:val="00AE0793"/>
    <w:rsid w:val="00AE1EDF"/>
    <w:rsid w:val="00AE276D"/>
    <w:rsid w:val="00AE4858"/>
    <w:rsid w:val="00AE4A5C"/>
    <w:rsid w:val="00AE7EEC"/>
    <w:rsid w:val="00AF216B"/>
    <w:rsid w:val="00AF4DCB"/>
    <w:rsid w:val="00AF653F"/>
    <w:rsid w:val="00B01967"/>
    <w:rsid w:val="00B02624"/>
    <w:rsid w:val="00B03AAF"/>
    <w:rsid w:val="00B05F65"/>
    <w:rsid w:val="00B07AE6"/>
    <w:rsid w:val="00B103E8"/>
    <w:rsid w:val="00B11AC9"/>
    <w:rsid w:val="00B132A4"/>
    <w:rsid w:val="00B133F6"/>
    <w:rsid w:val="00B17BDA"/>
    <w:rsid w:val="00B210C6"/>
    <w:rsid w:val="00B2421C"/>
    <w:rsid w:val="00B2641A"/>
    <w:rsid w:val="00B277FD"/>
    <w:rsid w:val="00B2784A"/>
    <w:rsid w:val="00B30F9C"/>
    <w:rsid w:val="00B334F4"/>
    <w:rsid w:val="00B350B4"/>
    <w:rsid w:val="00B36D16"/>
    <w:rsid w:val="00B3720C"/>
    <w:rsid w:val="00B37CF8"/>
    <w:rsid w:val="00B41592"/>
    <w:rsid w:val="00B435DD"/>
    <w:rsid w:val="00B44158"/>
    <w:rsid w:val="00B44481"/>
    <w:rsid w:val="00B46E0C"/>
    <w:rsid w:val="00B50053"/>
    <w:rsid w:val="00B561B9"/>
    <w:rsid w:val="00B56E4F"/>
    <w:rsid w:val="00B60246"/>
    <w:rsid w:val="00B60B52"/>
    <w:rsid w:val="00B60F53"/>
    <w:rsid w:val="00B62626"/>
    <w:rsid w:val="00B64457"/>
    <w:rsid w:val="00B64959"/>
    <w:rsid w:val="00B65F9C"/>
    <w:rsid w:val="00B7140F"/>
    <w:rsid w:val="00B71A6E"/>
    <w:rsid w:val="00B72013"/>
    <w:rsid w:val="00B73DC2"/>
    <w:rsid w:val="00B75772"/>
    <w:rsid w:val="00B82F6A"/>
    <w:rsid w:val="00B839BC"/>
    <w:rsid w:val="00B84F9D"/>
    <w:rsid w:val="00B93FB5"/>
    <w:rsid w:val="00BA035B"/>
    <w:rsid w:val="00BA6AE3"/>
    <w:rsid w:val="00BA782C"/>
    <w:rsid w:val="00BB0014"/>
    <w:rsid w:val="00BB0805"/>
    <w:rsid w:val="00BB4AE8"/>
    <w:rsid w:val="00BB6827"/>
    <w:rsid w:val="00BB7A0E"/>
    <w:rsid w:val="00BC5A1F"/>
    <w:rsid w:val="00BC5E98"/>
    <w:rsid w:val="00BC5F33"/>
    <w:rsid w:val="00BD18B3"/>
    <w:rsid w:val="00BD337C"/>
    <w:rsid w:val="00BD455C"/>
    <w:rsid w:val="00BD57B3"/>
    <w:rsid w:val="00BD6DC2"/>
    <w:rsid w:val="00BE1186"/>
    <w:rsid w:val="00BE1AE9"/>
    <w:rsid w:val="00BE2A58"/>
    <w:rsid w:val="00BE3E5E"/>
    <w:rsid w:val="00BE414C"/>
    <w:rsid w:val="00BE4FB7"/>
    <w:rsid w:val="00BE72E6"/>
    <w:rsid w:val="00BE7517"/>
    <w:rsid w:val="00BF0722"/>
    <w:rsid w:val="00BF1301"/>
    <w:rsid w:val="00BF31B5"/>
    <w:rsid w:val="00BF3CC5"/>
    <w:rsid w:val="00BF3CF1"/>
    <w:rsid w:val="00BF4FE8"/>
    <w:rsid w:val="00BF6980"/>
    <w:rsid w:val="00BF7E49"/>
    <w:rsid w:val="00C0351C"/>
    <w:rsid w:val="00C07819"/>
    <w:rsid w:val="00C10098"/>
    <w:rsid w:val="00C106C0"/>
    <w:rsid w:val="00C13B3E"/>
    <w:rsid w:val="00C1417D"/>
    <w:rsid w:val="00C2217A"/>
    <w:rsid w:val="00C24B72"/>
    <w:rsid w:val="00C25F53"/>
    <w:rsid w:val="00C4059F"/>
    <w:rsid w:val="00C408C4"/>
    <w:rsid w:val="00C410B1"/>
    <w:rsid w:val="00C414DE"/>
    <w:rsid w:val="00C4620C"/>
    <w:rsid w:val="00C4641A"/>
    <w:rsid w:val="00C46F63"/>
    <w:rsid w:val="00C472F6"/>
    <w:rsid w:val="00C478EA"/>
    <w:rsid w:val="00C50D1C"/>
    <w:rsid w:val="00C51667"/>
    <w:rsid w:val="00C51AB3"/>
    <w:rsid w:val="00C51E68"/>
    <w:rsid w:val="00C542BA"/>
    <w:rsid w:val="00C56CF7"/>
    <w:rsid w:val="00C625E3"/>
    <w:rsid w:val="00C64905"/>
    <w:rsid w:val="00C665D3"/>
    <w:rsid w:val="00C70FBB"/>
    <w:rsid w:val="00C81E5D"/>
    <w:rsid w:val="00C82EE7"/>
    <w:rsid w:val="00C87C45"/>
    <w:rsid w:val="00C905DA"/>
    <w:rsid w:val="00C92473"/>
    <w:rsid w:val="00CA4AF1"/>
    <w:rsid w:val="00CA6419"/>
    <w:rsid w:val="00CA664D"/>
    <w:rsid w:val="00CA66E6"/>
    <w:rsid w:val="00CA72AA"/>
    <w:rsid w:val="00CA77AE"/>
    <w:rsid w:val="00CA7BA9"/>
    <w:rsid w:val="00CA7CDE"/>
    <w:rsid w:val="00CB06BB"/>
    <w:rsid w:val="00CC00E1"/>
    <w:rsid w:val="00CC0F2D"/>
    <w:rsid w:val="00CC1442"/>
    <w:rsid w:val="00CC46DF"/>
    <w:rsid w:val="00CC547E"/>
    <w:rsid w:val="00CD27BC"/>
    <w:rsid w:val="00CD3E49"/>
    <w:rsid w:val="00CE0FED"/>
    <w:rsid w:val="00CE3522"/>
    <w:rsid w:val="00CE5204"/>
    <w:rsid w:val="00CE5E14"/>
    <w:rsid w:val="00CE6BF1"/>
    <w:rsid w:val="00CF15D2"/>
    <w:rsid w:val="00CF34DF"/>
    <w:rsid w:val="00CF4810"/>
    <w:rsid w:val="00D01187"/>
    <w:rsid w:val="00D01745"/>
    <w:rsid w:val="00D04C1C"/>
    <w:rsid w:val="00D05F08"/>
    <w:rsid w:val="00D10B3A"/>
    <w:rsid w:val="00D123BD"/>
    <w:rsid w:val="00D25371"/>
    <w:rsid w:val="00D27359"/>
    <w:rsid w:val="00D35267"/>
    <w:rsid w:val="00D4032F"/>
    <w:rsid w:val="00D4167F"/>
    <w:rsid w:val="00D42739"/>
    <w:rsid w:val="00D43C56"/>
    <w:rsid w:val="00D43D65"/>
    <w:rsid w:val="00D46044"/>
    <w:rsid w:val="00D477A3"/>
    <w:rsid w:val="00D514ED"/>
    <w:rsid w:val="00D5213B"/>
    <w:rsid w:val="00D54153"/>
    <w:rsid w:val="00D56622"/>
    <w:rsid w:val="00D57440"/>
    <w:rsid w:val="00D63D04"/>
    <w:rsid w:val="00D644BB"/>
    <w:rsid w:val="00D65C2D"/>
    <w:rsid w:val="00D67D88"/>
    <w:rsid w:val="00D7478C"/>
    <w:rsid w:val="00D77FCA"/>
    <w:rsid w:val="00D8142A"/>
    <w:rsid w:val="00D84BDC"/>
    <w:rsid w:val="00D91737"/>
    <w:rsid w:val="00D9230D"/>
    <w:rsid w:val="00D9510B"/>
    <w:rsid w:val="00D969EB"/>
    <w:rsid w:val="00D973C7"/>
    <w:rsid w:val="00DA35C7"/>
    <w:rsid w:val="00DA3711"/>
    <w:rsid w:val="00DA3A75"/>
    <w:rsid w:val="00DA5062"/>
    <w:rsid w:val="00DA5107"/>
    <w:rsid w:val="00DA5820"/>
    <w:rsid w:val="00DA623D"/>
    <w:rsid w:val="00DA782C"/>
    <w:rsid w:val="00DC3E36"/>
    <w:rsid w:val="00DC446A"/>
    <w:rsid w:val="00DC560E"/>
    <w:rsid w:val="00DC6BD7"/>
    <w:rsid w:val="00DD1287"/>
    <w:rsid w:val="00DD1D07"/>
    <w:rsid w:val="00DD2B86"/>
    <w:rsid w:val="00DD2DFA"/>
    <w:rsid w:val="00DD4D9F"/>
    <w:rsid w:val="00DD6458"/>
    <w:rsid w:val="00DE5FD2"/>
    <w:rsid w:val="00DF0FBA"/>
    <w:rsid w:val="00DF4094"/>
    <w:rsid w:val="00DF47F0"/>
    <w:rsid w:val="00DF5B59"/>
    <w:rsid w:val="00E0030C"/>
    <w:rsid w:val="00E02E27"/>
    <w:rsid w:val="00E03496"/>
    <w:rsid w:val="00E05A59"/>
    <w:rsid w:val="00E128D4"/>
    <w:rsid w:val="00E161B4"/>
    <w:rsid w:val="00E16666"/>
    <w:rsid w:val="00E226D5"/>
    <w:rsid w:val="00E23EFF"/>
    <w:rsid w:val="00E2618A"/>
    <w:rsid w:val="00E34619"/>
    <w:rsid w:val="00E34D2C"/>
    <w:rsid w:val="00E35733"/>
    <w:rsid w:val="00E35753"/>
    <w:rsid w:val="00E36927"/>
    <w:rsid w:val="00E418B7"/>
    <w:rsid w:val="00E45062"/>
    <w:rsid w:val="00E45FB6"/>
    <w:rsid w:val="00E465F8"/>
    <w:rsid w:val="00E46A59"/>
    <w:rsid w:val="00E50925"/>
    <w:rsid w:val="00E51919"/>
    <w:rsid w:val="00E51FB2"/>
    <w:rsid w:val="00E520DF"/>
    <w:rsid w:val="00E529E2"/>
    <w:rsid w:val="00E55BF9"/>
    <w:rsid w:val="00E565E3"/>
    <w:rsid w:val="00E612A4"/>
    <w:rsid w:val="00E638B0"/>
    <w:rsid w:val="00E678BC"/>
    <w:rsid w:val="00E71A5F"/>
    <w:rsid w:val="00E73DB9"/>
    <w:rsid w:val="00E809BC"/>
    <w:rsid w:val="00E836E7"/>
    <w:rsid w:val="00E85C39"/>
    <w:rsid w:val="00E86000"/>
    <w:rsid w:val="00E91CB3"/>
    <w:rsid w:val="00E93290"/>
    <w:rsid w:val="00E93590"/>
    <w:rsid w:val="00E93BEE"/>
    <w:rsid w:val="00E93F09"/>
    <w:rsid w:val="00E94327"/>
    <w:rsid w:val="00E9682D"/>
    <w:rsid w:val="00E97099"/>
    <w:rsid w:val="00E97B20"/>
    <w:rsid w:val="00EA017A"/>
    <w:rsid w:val="00EA69C7"/>
    <w:rsid w:val="00EA7821"/>
    <w:rsid w:val="00EB1BFD"/>
    <w:rsid w:val="00EB3914"/>
    <w:rsid w:val="00EB3BE9"/>
    <w:rsid w:val="00EB40CA"/>
    <w:rsid w:val="00EB75BB"/>
    <w:rsid w:val="00EC03E6"/>
    <w:rsid w:val="00EC1B88"/>
    <w:rsid w:val="00EC20CF"/>
    <w:rsid w:val="00ED0103"/>
    <w:rsid w:val="00ED4E6A"/>
    <w:rsid w:val="00ED6043"/>
    <w:rsid w:val="00ED741A"/>
    <w:rsid w:val="00EE1E9A"/>
    <w:rsid w:val="00EE5004"/>
    <w:rsid w:val="00EE564C"/>
    <w:rsid w:val="00EE5F54"/>
    <w:rsid w:val="00EF0AA8"/>
    <w:rsid w:val="00EF1B48"/>
    <w:rsid w:val="00EF4434"/>
    <w:rsid w:val="00EF67F9"/>
    <w:rsid w:val="00EF6ACF"/>
    <w:rsid w:val="00F007A8"/>
    <w:rsid w:val="00F00B8E"/>
    <w:rsid w:val="00F0315D"/>
    <w:rsid w:val="00F04507"/>
    <w:rsid w:val="00F04AB8"/>
    <w:rsid w:val="00F05695"/>
    <w:rsid w:val="00F14E0F"/>
    <w:rsid w:val="00F15A36"/>
    <w:rsid w:val="00F163C2"/>
    <w:rsid w:val="00F16C4A"/>
    <w:rsid w:val="00F20A56"/>
    <w:rsid w:val="00F236A1"/>
    <w:rsid w:val="00F2513C"/>
    <w:rsid w:val="00F30A47"/>
    <w:rsid w:val="00F3180A"/>
    <w:rsid w:val="00F33313"/>
    <w:rsid w:val="00F34B42"/>
    <w:rsid w:val="00F4244A"/>
    <w:rsid w:val="00F45670"/>
    <w:rsid w:val="00F45C9F"/>
    <w:rsid w:val="00F46A20"/>
    <w:rsid w:val="00F46FC2"/>
    <w:rsid w:val="00F47F46"/>
    <w:rsid w:val="00F503DC"/>
    <w:rsid w:val="00F50603"/>
    <w:rsid w:val="00F50832"/>
    <w:rsid w:val="00F51AAC"/>
    <w:rsid w:val="00F52D45"/>
    <w:rsid w:val="00F5370A"/>
    <w:rsid w:val="00F53CAB"/>
    <w:rsid w:val="00F53D9B"/>
    <w:rsid w:val="00F54C40"/>
    <w:rsid w:val="00F61AA5"/>
    <w:rsid w:val="00F61F68"/>
    <w:rsid w:val="00F623EF"/>
    <w:rsid w:val="00F64EAF"/>
    <w:rsid w:val="00F64F71"/>
    <w:rsid w:val="00F703EF"/>
    <w:rsid w:val="00F75D17"/>
    <w:rsid w:val="00F76694"/>
    <w:rsid w:val="00F857B8"/>
    <w:rsid w:val="00F8649C"/>
    <w:rsid w:val="00F87704"/>
    <w:rsid w:val="00F9290C"/>
    <w:rsid w:val="00F932E7"/>
    <w:rsid w:val="00FA3205"/>
    <w:rsid w:val="00FA4939"/>
    <w:rsid w:val="00FB0193"/>
    <w:rsid w:val="00FB0B07"/>
    <w:rsid w:val="00FB4118"/>
    <w:rsid w:val="00FB4848"/>
    <w:rsid w:val="00FB48BA"/>
    <w:rsid w:val="00FC190B"/>
    <w:rsid w:val="00FC1C5D"/>
    <w:rsid w:val="00FC72F0"/>
    <w:rsid w:val="00FD2A46"/>
    <w:rsid w:val="00FD2EB2"/>
    <w:rsid w:val="00FD680D"/>
    <w:rsid w:val="00FD6B1D"/>
    <w:rsid w:val="00FE005F"/>
    <w:rsid w:val="00FE1387"/>
    <w:rsid w:val="00FE160D"/>
    <w:rsid w:val="00FE4957"/>
    <w:rsid w:val="00FE6803"/>
    <w:rsid w:val="00FE6BA1"/>
    <w:rsid w:val="00FF5AE9"/>
    <w:rsid w:val="00FF5E15"/>
    <w:rsid w:val="00FF651E"/>
    <w:rsid w:val="00FF7670"/>
    <w:rsid w:val="00FF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A1FD5"/>
  <w15:chartTrackingRefBased/>
  <w15:docId w15:val="{A185C9FA-7FBE-4590-9915-6B5C62D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1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51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1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1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51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512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05123"/>
    <w:pPr>
      <w:ind w:left="720"/>
      <w:contextualSpacing/>
    </w:pPr>
  </w:style>
  <w:style w:type="paragraph" w:styleId="Header">
    <w:name w:val="header"/>
    <w:basedOn w:val="Normal"/>
    <w:link w:val="HeaderChar"/>
    <w:uiPriority w:val="99"/>
    <w:unhideWhenUsed/>
    <w:rsid w:val="004E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45"/>
  </w:style>
  <w:style w:type="paragraph" w:styleId="Footer">
    <w:name w:val="footer"/>
    <w:basedOn w:val="Normal"/>
    <w:link w:val="FooterChar"/>
    <w:uiPriority w:val="99"/>
    <w:unhideWhenUsed/>
    <w:rsid w:val="004E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45"/>
  </w:style>
  <w:style w:type="table" w:styleId="TableGrid">
    <w:name w:val="Table Grid"/>
    <w:basedOn w:val="TableNormal"/>
    <w:uiPriority w:val="39"/>
    <w:rsid w:val="00D9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29"/>
    <w:rPr>
      <w:rFonts w:ascii="Segoe UI" w:hAnsi="Segoe UI" w:cs="Segoe UI"/>
      <w:sz w:val="18"/>
      <w:szCs w:val="18"/>
    </w:rPr>
  </w:style>
  <w:style w:type="table" w:styleId="GridTable5Dark">
    <w:name w:val="Grid Table 5 Dark"/>
    <w:basedOn w:val="TableNormal"/>
    <w:uiPriority w:val="50"/>
    <w:rsid w:val="002710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56EB-8562-44D9-AA38-6AA0E4AF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14</Pages>
  <Words>6963</Words>
  <Characters>39693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264</cp:revision>
  <cp:lastPrinted>2016-04-06T10:56:00Z</cp:lastPrinted>
  <dcterms:created xsi:type="dcterms:W3CDTF">2016-02-10T21:57:00Z</dcterms:created>
  <dcterms:modified xsi:type="dcterms:W3CDTF">2016-05-04T15:54:00Z</dcterms:modified>
</cp:coreProperties>
</file>