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7DBD0" w14:textId="3B0DEEF9" w:rsidR="009052E6" w:rsidRPr="00443F62" w:rsidRDefault="003C0A28" w:rsidP="00CB1AC9">
      <w:pPr>
        <w:pStyle w:val="Title"/>
      </w:pPr>
      <w:r w:rsidRPr="00443F62">
        <w:t>CORPORATIONS</w:t>
      </w:r>
    </w:p>
    <w:p w14:paraId="2D187289" w14:textId="77777777" w:rsidR="003C0A28" w:rsidRPr="00443F62" w:rsidRDefault="003C0A28" w:rsidP="009052E6">
      <w:pPr>
        <w:rPr>
          <w:rFonts w:cs="Times New Roman"/>
          <w:szCs w:val="24"/>
        </w:rPr>
      </w:pPr>
    </w:p>
    <w:p w14:paraId="6B37262A" w14:textId="4E141A83" w:rsidR="003C0A28" w:rsidRPr="003612BB" w:rsidRDefault="005A7562" w:rsidP="003612BB">
      <w:pPr>
        <w:pStyle w:val="Heading1"/>
      </w:pPr>
      <w:r>
        <w:t>Agency</w:t>
      </w:r>
    </w:p>
    <w:p w14:paraId="3DBFFDF6" w14:textId="16D197B9" w:rsidR="003C0A28" w:rsidRPr="00443F62" w:rsidRDefault="003C0A28" w:rsidP="00400AD6">
      <w:pPr>
        <w:pStyle w:val="Heading2"/>
        <w:numPr>
          <w:ilvl w:val="0"/>
          <w:numId w:val="5"/>
        </w:numPr>
      </w:pPr>
      <w:r w:rsidRPr="00443F62">
        <w:t>Agents</w:t>
      </w:r>
    </w:p>
    <w:p w14:paraId="68ACF07D" w14:textId="01497252" w:rsidR="004D0528" w:rsidRDefault="00614038" w:rsidP="004D0528">
      <w:pPr>
        <w:pStyle w:val="Heading3"/>
        <w:numPr>
          <w:ilvl w:val="1"/>
          <w:numId w:val="5"/>
        </w:numPr>
      </w:pPr>
      <w:r>
        <w:t>Agents v. Non-Agents</w:t>
      </w:r>
    </w:p>
    <w:p w14:paraId="374F890C" w14:textId="77777777" w:rsidR="00614038" w:rsidRPr="00614038" w:rsidRDefault="00614038" w:rsidP="00614038"/>
    <w:p w14:paraId="17D3EC16" w14:textId="3C69C063" w:rsidR="003C0A28" w:rsidRPr="00614038" w:rsidRDefault="004D0528" w:rsidP="00614038">
      <w:pPr>
        <w:rPr>
          <w:rFonts w:cs="Times New Roman"/>
          <w:szCs w:val="24"/>
        </w:rPr>
      </w:pPr>
      <w:r w:rsidRPr="00443F62">
        <w:rPr>
          <w:rFonts w:cs="Times New Roman"/>
          <w:noProof/>
          <w:szCs w:val="24"/>
        </w:rPr>
        <w:drawing>
          <wp:inline distT="0" distB="0" distL="0" distR="0" wp14:anchorId="6FD06A80" wp14:editId="30B46CA8">
            <wp:extent cx="4391025" cy="1311965"/>
            <wp:effectExtent l="0" t="38100" r="0" b="406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280B0D1" w14:textId="0BF172C4" w:rsidR="00301983" w:rsidRPr="00BE05AA" w:rsidRDefault="00614038" w:rsidP="00BE05AA">
      <w:pPr>
        <w:pStyle w:val="ListParagraph"/>
        <w:numPr>
          <w:ilvl w:val="2"/>
          <w:numId w:val="5"/>
        </w:numPr>
        <w:rPr>
          <w:rFonts w:cs="Times New Roman"/>
          <w:sz w:val="24"/>
          <w:szCs w:val="24"/>
        </w:rPr>
      </w:pPr>
      <w:r>
        <w:rPr>
          <w:rFonts w:cs="Times New Roman"/>
          <w:sz w:val="24"/>
          <w:szCs w:val="24"/>
        </w:rPr>
        <w:t>Agent relationship</w:t>
      </w:r>
      <w:r w:rsidR="000D7CBD" w:rsidRPr="00443F62">
        <w:rPr>
          <w:rFonts w:cs="Times New Roman"/>
          <w:sz w:val="24"/>
          <w:szCs w:val="24"/>
        </w:rPr>
        <w:t xml:space="preserve">: parties must (1) agree that (2) one will act on the other’s behalf (3) subject to the other’s control. </w:t>
      </w:r>
      <w:r w:rsidR="00BE05AA" w:rsidRPr="003D2F2B">
        <w:rPr>
          <w:rFonts w:cs="Times New Roman"/>
          <w:i/>
          <w:sz w:val="24"/>
          <w:szCs w:val="24"/>
        </w:rPr>
        <w:t>See</w:t>
      </w:r>
      <w:r w:rsidR="00BE05AA">
        <w:rPr>
          <w:rFonts w:cs="Times New Roman"/>
          <w:sz w:val="24"/>
          <w:szCs w:val="24"/>
        </w:rPr>
        <w:t xml:space="preserve"> </w:t>
      </w:r>
      <w:r w:rsidR="00BE05AA" w:rsidRPr="00443F62">
        <w:rPr>
          <w:rFonts w:cs="Times New Roman"/>
          <w:sz w:val="24"/>
          <w:szCs w:val="24"/>
        </w:rPr>
        <w:t>R2d Agency § 1</w:t>
      </w:r>
      <w:r w:rsidR="00BE05AA">
        <w:rPr>
          <w:rFonts w:cs="Times New Roman"/>
          <w:sz w:val="24"/>
          <w:szCs w:val="24"/>
        </w:rPr>
        <w:t xml:space="preserve">. </w:t>
      </w:r>
      <w:r w:rsidR="00301983" w:rsidRPr="00BE05AA">
        <w:rPr>
          <w:rFonts w:cs="Times New Roman"/>
          <w:sz w:val="24"/>
          <w:szCs w:val="24"/>
        </w:rPr>
        <w:t xml:space="preserve">Note: </w:t>
      </w:r>
      <w:r>
        <w:rPr>
          <w:rFonts w:cs="Times New Roman"/>
          <w:sz w:val="24"/>
          <w:szCs w:val="24"/>
        </w:rPr>
        <w:t>agree, not intend.</w:t>
      </w:r>
    </w:p>
    <w:p w14:paraId="7229D732" w14:textId="5D94FF0A" w:rsidR="00787632" w:rsidRPr="00614038" w:rsidRDefault="00787632" w:rsidP="00614038">
      <w:pPr>
        <w:pStyle w:val="ListParagraph"/>
        <w:numPr>
          <w:ilvl w:val="2"/>
          <w:numId w:val="5"/>
        </w:numPr>
        <w:rPr>
          <w:rFonts w:cs="Times New Roman"/>
          <w:sz w:val="24"/>
          <w:szCs w:val="24"/>
        </w:rPr>
      </w:pPr>
      <w:r w:rsidRPr="00443F62">
        <w:rPr>
          <w:rFonts w:cs="Times New Roman"/>
          <w:sz w:val="24"/>
          <w:szCs w:val="24"/>
        </w:rPr>
        <w:t>Servant/Employee</w:t>
      </w:r>
      <w:r w:rsidR="00614038">
        <w:rPr>
          <w:rFonts w:cs="Times New Roman"/>
          <w:sz w:val="24"/>
          <w:szCs w:val="24"/>
        </w:rPr>
        <w:t xml:space="preserve"> – </w:t>
      </w:r>
      <w:r w:rsidRPr="00614038">
        <w:rPr>
          <w:rFonts w:cs="Times New Roman"/>
          <w:sz w:val="24"/>
          <w:szCs w:val="24"/>
        </w:rPr>
        <w:t>“A servant is an agent…whose p</w:t>
      </w:r>
      <w:bookmarkStart w:id="0" w:name="_GoBack"/>
      <w:bookmarkEnd w:id="0"/>
      <w:r w:rsidRPr="00614038">
        <w:rPr>
          <w:rFonts w:cs="Times New Roman"/>
          <w:sz w:val="24"/>
          <w:szCs w:val="24"/>
        </w:rPr>
        <w:t>hysical conduct in the performance of the service…is subject to the right to control by the master.”</w:t>
      </w:r>
      <w:r w:rsidR="00077A54" w:rsidRPr="00614038">
        <w:rPr>
          <w:rFonts w:cs="Times New Roman"/>
          <w:sz w:val="24"/>
          <w:szCs w:val="24"/>
        </w:rPr>
        <w:t xml:space="preserve"> R2d Agency § 2(2).</w:t>
      </w:r>
    </w:p>
    <w:p w14:paraId="0898213C" w14:textId="71E31BF5" w:rsidR="00787632" w:rsidRPr="00614038" w:rsidRDefault="00614038" w:rsidP="00614038">
      <w:pPr>
        <w:pStyle w:val="ListParagraph"/>
        <w:numPr>
          <w:ilvl w:val="2"/>
          <w:numId w:val="5"/>
        </w:numPr>
        <w:rPr>
          <w:rFonts w:cs="Times New Roman"/>
          <w:sz w:val="24"/>
          <w:szCs w:val="24"/>
        </w:rPr>
      </w:pPr>
      <w:r>
        <w:rPr>
          <w:rFonts w:cs="Times New Roman"/>
          <w:sz w:val="24"/>
          <w:szCs w:val="24"/>
        </w:rPr>
        <w:t xml:space="preserve">Independent Contractor – </w:t>
      </w:r>
      <w:r w:rsidR="00787632" w:rsidRPr="00614038">
        <w:rPr>
          <w:rFonts w:cs="Times New Roman"/>
          <w:sz w:val="24"/>
          <w:szCs w:val="24"/>
        </w:rPr>
        <w:t>“An independent contractor is a person…who is not…subject to the other’s right to control with respect to his physical conduct…”</w:t>
      </w:r>
      <w:r w:rsidR="00077A54" w:rsidRPr="00614038">
        <w:rPr>
          <w:rFonts w:cs="Times New Roman"/>
          <w:sz w:val="24"/>
          <w:szCs w:val="24"/>
        </w:rPr>
        <w:t xml:space="preserve"> R2d Agency § 2(3).</w:t>
      </w:r>
    </w:p>
    <w:p w14:paraId="7A8FD7C7" w14:textId="14053510" w:rsidR="003C0A28" w:rsidRPr="00443F62" w:rsidRDefault="003D2F2B" w:rsidP="00400AD6">
      <w:pPr>
        <w:pStyle w:val="Heading3"/>
        <w:numPr>
          <w:ilvl w:val="1"/>
          <w:numId w:val="5"/>
        </w:numPr>
      </w:pPr>
      <w:r>
        <w:t xml:space="preserve">Bad </w:t>
      </w:r>
      <w:r w:rsidR="003C0A28" w:rsidRPr="00443F62">
        <w:t>Cases</w:t>
      </w:r>
    </w:p>
    <w:p w14:paraId="7B55E879" w14:textId="0C7EDCB5" w:rsidR="000A7995" w:rsidRPr="00443F62" w:rsidRDefault="00614038" w:rsidP="000A7995">
      <w:pPr>
        <w:pStyle w:val="ListParagraph"/>
        <w:numPr>
          <w:ilvl w:val="2"/>
          <w:numId w:val="5"/>
        </w:numPr>
        <w:rPr>
          <w:rFonts w:cs="Times New Roman"/>
          <w:i/>
          <w:sz w:val="24"/>
          <w:szCs w:val="24"/>
        </w:rPr>
      </w:pPr>
      <w:r w:rsidRPr="00614038">
        <w:rPr>
          <w:rFonts w:cs="Times New Roman"/>
          <w:sz w:val="24"/>
          <w:szCs w:val="24"/>
        </w:rPr>
        <w:t>Recover on Insurance</w:t>
      </w:r>
      <w:r>
        <w:rPr>
          <w:rFonts w:cs="Times New Roman"/>
          <w:i/>
          <w:sz w:val="24"/>
          <w:szCs w:val="24"/>
        </w:rPr>
        <w:t xml:space="preserve"> – </w:t>
      </w:r>
      <w:r w:rsidR="000A7995" w:rsidRPr="00614038">
        <w:rPr>
          <w:rFonts w:cs="Times New Roman"/>
          <w:b/>
          <w:i/>
          <w:sz w:val="24"/>
          <w:szCs w:val="24"/>
        </w:rPr>
        <w:t>Gorton v. Doty (Idaho 1937)</w:t>
      </w:r>
    </w:p>
    <w:p w14:paraId="29C45B7A" w14:textId="77777777" w:rsidR="000A7995" w:rsidRPr="00443F62" w:rsidRDefault="000A7995" w:rsidP="000A7995">
      <w:pPr>
        <w:pStyle w:val="ListParagraph"/>
        <w:numPr>
          <w:ilvl w:val="3"/>
          <w:numId w:val="5"/>
        </w:numPr>
        <w:rPr>
          <w:rFonts w:cs="Times New Roman"/>
          <w:sz w:val="24"/>
          <w:szCs w:val="24"/>
        </w:rPr>
      </w:pPr>
      <w:r w:rsidRPr="00443F62">
        <w:rPr>
          <w:rFonts w:cs="Times New Roman"/>
          <w:sz w:val="24"/>
          <w:szCs w:val="24"/>
        </w:rPr>
        <w:t>Synopsis: Gorton sued Doty for injuries sustained as a result of an accident while school’s coach was driving Doty’s car. Court found Doty and coach had principal-agent relationship so Doty is liable.</w:t>
      </w:r>
    </w:p>
    <w:p w14:paraId="371CF95E" w14:textId="7559E077" w:rsidR="000A7995" w:rsidRPr="003D2F2B" w:rsidRDefault="000A7995" w:rsidP="003D2F2B">
      <w:pPr>
        <w:pStyle w:val="ListParagraph"/>
        <w:numPr>
          <w:ilvl w:val="3"/>
          <w:numId w:val="5"/>
        </w:numPr>
        <w:rPr>
          <w:rFonts w:cs="Times New Roman"/>
          <w:sz w:val="24"/>
          <w:szCs w:val="24"/>
        </w:rPr>
      </w:pPr>
      <w:r w:rsidRPr="00443F62">
        <w:rPr>
          <w:rFonts w:cs="Times New Roman"/>
          <w:sz w:val="24"/>
          <w:szCs w:val="24"/>
        </w:rPr>
        <w:t xml:space="preserve">Tool: </w:t>
      </w:r>
      <w:r w:rsidRPr="003D2F2B">
        <w:rPr>
          <w:rFonts w:cs="Times New Roman"/>
          <w:sz w:val="24"/>
          <w:szCs w:val="24"/>
        </w:rPr>
        <w:t>Court did not properly apply R2d Agency § 1 to facts. Court characterized Doty’s stipulation that the coach not let the students drive the car as evidence of her control. Even so, Doty never asked the coach to act on her behalf and the coach never agreed. The court just wanted the injured player’s father to rec</w:t>
      </w:r>
      <w:r w:rsidR="00F94937" w:rsidRPr="003D2F2B">
        <w:rPr>
          <w:rFonts w:cs="Times New Roman"/>
          <w:sz w:val="24"/>
          <w:szCs w:val="24"/>
        </w:rPr>
        <w:t>over on Doty’s insurance policy (Gorton’s counsel insinuated that Doty had insurance (insurance only covers accidents by other people driving if other driver is agent)).</w:t>
      </w:r>
    </w:p>
    <w:p w14:paraId="6D9758B2" w14:textId="42BF6CCF" w:rsidR="000A7995" w:rsidRPr="00614038" w:rsidRDefault="00614038" w:rsidP="000A7995">
      <w:pPr>
        <w:pStyle w:val="ListParagraph"/>
        <w:numPr>
          <w:ilvl w:val="2"/>
          <w:numId w:val="5"/>
        </w:numPr>
        <w:rPr>
          <w:rFonts w:cs="Times New Roman"/>
          <w:b/>
          <w:i/>
          <w:sz w:val="24"/>
          <w:szCs w:val="24"/>
        </w:rPr>
      </w:pPr>
      <w:r>
        <w:rPr>
          <w:rFonts w:cs="Times New Roman"/>
          <w:sz w:val="24"/>
          <w:szCs w:val="24"/>
        </w:rPr>
        <w:t xml:space="preserve">Lender Liability – </w:t>
      </w:r>
      <w:r w:rsidR="000A7995" w:rsidRPr="00614038">
        <w:rPr>
          <w:rFonts w:cs="Times New Roman"/>
          <w:b/>
          <w:i/>
          <w:sz w:val="24"/>
          <w:szCs w:val="24"/>
        </w:rPr>
        <w:t>A. Gay Jenson Farms Co. v. Cargill, Inc. (Minn. 1981)</w:t>
      </w:r>
    </w:p>
    <w:p w14:paraId="6232A4CA" w14:textId="54957828" w:rsidR="000A7995" w:rsidRPr="00443F62" w:rsidRDefault="000A7995" w:rsidP="000A7995">
      <w:pPr>
        <w:pStyle w:val="ListParagraph"/>
        <w:numPr>
          <w:ilvl w:val="3"/>
          <w:numId w:val="5"/>
        </w:numPr>
        <w:rPr>
          <w:rFonts w:cs="Times New Roman"/>
          <w:sz w:val="24"/>
          <w:szCs w:val="24"/>
        </w:rPr>
      </w:pPr>
      <w:r w:rsidRPr="00443F62">
        <w:rPr>
          <w:rFonts w:cs="Times New Roman"/>
          <w:sz w:val="24"/>
          <w:szCs w:val="24"/>
        </w:rPr>
        <w:t xml:space="preserve">Synopsis: Farmers (P) brought action against Cargill (D) who acted as creditor to Warren Grain &amp; Seed Co., debtor, for damages sustained when D defaulted on contracts made with the farmers. </w:t>
      </w:r>
      <w:r w:rsidR="00614038" w:rsidRPr="003D2F2B">
        <w:rPr>
          <w:rFonts w:cs="Times New Roman"/>
          <w:sz w:val="24"/>
          <w:szCs w:val="24"/>
        </w:rPr>
        <w:t xml:space="preserve">Warren mounted debts and D lent Warren additional funds, but only if Warren agreed to live by its limitations. </w:t>
      </w:r>
      <w:r w:rsidR="000D09F9">
        <w:rPr>
          <w:rFonts w:cs="Times New Roman"/>
          <w:sz w:val="24"/>
          <w:szCs w:val="24"/>
        </w:rPr>
        <w:t xml:space="preserve">D sent officers to monitor Warren’s use of funds. </w:t>
      </w:r>
      <w:r w:rsidRPr="00443F62">
        <w:rPr>
          <w:rFonts w:cs="Times New Roman"/>
          <w:sz w:val="24"/>
          <w:szCs w:val="24"/>
        </w:rPr>
        <w:t xml:space="preserve">Court found </w:t>
      </w:r>
      <w:r w:rsidR="000D09F9">
        <w:rPr>
          <w:rFonts w:cs="Times New Roman"/>
          <w:sz w:val="24"/>
          <w:szCs w:val="24"/>
        </w:rPr>
        <w:t xml:space="preserve">this was control and thus found </w:t>
      </w:r>
      <w:r w:rsidRPr="00443F62">
        <w:rPr>
          <w:rFonts w:cs="Times New Roman"/>
          <w:sz w:val="24"/>
          <w:szCs w:val="24"/>
        </w:rPr>
        <w:t>agency relationship so D was liable for Warren’s debts.</w:t>
      </w:r>
    </w:p>
    <w:p w14:paraId="4BE8CA99" w14:textId="77777777" w:rsidR="00301983" w:rsidRPr="00443F62" w:rsidRDefault="00301983" w:rsidP="00301983">
      <w:pPr>
        <w:pStyle w:val="ListParagraph"/>
        <w:numPr>
          <w:ilvl w:val="3"/>
          <w:numId w:val="5"/>
        </w:numPr>
        <w:rPr>
          <w:rFonts w:cs="Times New Roman"/>
          <w:sz w:val="24"/>
          <w:szCs w:val="24"/>
        </w:rPr>
      </w:pPr>
      <w:r w:rsidRPr="00443F62">
        <w:rPr>
          <w:rFonts w:cs="Times New Roman"/>
          <w:sz w:val="24"/>
          <w:szCs w:val="24"/>
        </w:rPr>
        <w:t xml:space="preserve">Tool: </w:t>
      </w:r>
    </w:p>
    <w:p w14:paraId="3CB13B08" w14:textId="7FD5E8D7" w:rsidR="00301983" w:rsidRPr="00443F62" w:rsidRDefault="003D2F2B" w:rsidP="003D2F2B">
      <w:pPr>
        <w:pStyle w:val="ListParagraph"/>
        <w:numPr>
          <w:ilvl w:val="4"/>
          <w:numId w:val="5"/>
        </w:numPr>
        <w:rPr>
          <w:rFonts w:cs="Times New Roman"/>
          <w:sz w:val="24"/>
          <w:szCs w:val="24"/>
        </w:rPr>
      </w:pPr>
      <w:r w:rsidRPr="003D2F2B">
        <w:rPr>
          <w:rFonts w:cs="Times New Roman"/>
          <w:sz w:val="24"/>
          <w:szCs w:val="24"/>
        </w:rPr>
        <w:t xml:space="preserve">Court did not properly apply R2d Agency § 1 to facts. Court wanted to allow local voters to collect from the out-of-state multinational the money they had lent the fraudulent local elevator. Court ignored that parties had to agree that one will act on behalf of the other to find agency relationship. Warren did not think it was acting on Cargill’s behalf; it thought it was borrowing money as an independent operation. </w:t>
      </w:r>
    </w:p>
    <w:p w14:paraId="06BA02FB" w14:textId="53D6767B" w:rsidR="000A7995" w:rsidRPr="003D2F2B" w:rsidRDefault="00301983" w:rsidP="003D2F2B">
      <w:pPr>
        <w:pStyle w:val="ListParagraph"/>
        <w:numPr>
          <w:ilvl w:val="4"/>
          <w:numId w:val="5"/>
        </w:numPr>
        <w:spacing w:after="160" w:line="259" w:lineRule="auto"/>
        <w:rPr>
          <w:rFonts w:cs="Times New Roman"/>
          <w:sz w:val="24"/>
          <w:szCs w:val="24"/>
        </w:rPr>
      </w:pPr>
      <w:r w:rsidRPr="00443F62">
        <w:rPr>
          <w:rFonts w:cs="Times New Roman"/>
          <w:sz w:val="24"/>
          <w:szCs w:val="24"/>
        </w:rPr>
        <w:t xml:space="preserve">“Lender Liability” </w:t>
      </w:r>
      <w:r w:rsidR="000D09F9">
        <w:rPr>
          <w:rFonts w:cs="Times New Roman"/>
          <w:sz w:val="24"/>
          <w:szCs w:val="24"/>
        </w:rPr>
        <w:t>–</w:t>
      </w:r>
      <w:r w:rsidRPr="00443F62">
        <w:rPr>
          <w:rFonts w:cs="Times New Roman"/>
          <w:sz w:val="24"/>
          <w:szCs w:val="24"/>
        </w:rPr>
        <w:t xml:space="preserve"> A creditor who assumes control of his debtor’s business may become liable as principal for the acts of the debtor in connection with the business. R2d Agency § 14 O (see also comment a.).</w:t>
      </w:r>
      <w:r w:rsidR="00614038" w:rsidRPr="003D2F2B">
        <w:rPr>
          <w:rFonts w:cs="Times New Roman"/>
          <w:sz w:val="24"/>
          <w:szCs w:val="24"/>
        </w:rPr>
        <w:t xml:space="preserve"> (Lender liability is not black letter law but name of phenomenon.)</w:t>
      </w:r>
      <w:r w:rsidR="00614038" w:rsidRPr="00614038">
        <w:rPr>
          <w:rFonts w:cs="Times New Roman"/>
          <w:sz w:val="24"/>
          <w:szCs w:val="24"/>
        </w:rPr>
        <w:t xml:space="preserve"> </w:t>
      </w:r>
      <w:r w:rsidR="00614038">
        <w:rPr>
          <w:rFonts w:cs="Times New Roman"/>
          <w:sz w:val="24"/>
          <w:szCs w:val="24"/>
        </w:rPr>
        <w:t>E</w:t>
      </w:r>
      <w:r w:rsidR="00614038" w:rsidRPr="003D2F2B">
        <w:rPr>
          <w:rFonts w:cs="Times New Roman"/>
          <w:sz w:val="24"/>
          <w:szCs w:val="24"/>
        </w:rPr>
        <w:t>ncourages creditors to shut down all troubled firms, goods risks or bad.</w:t>
      </w:r>
    </w:p>
    <w:p w14:paraId="29110A5D" w14:textId="27756706" w:rsidR="003C0A28" w:rsidRPr="00443F62" w:rsidRDefault="003C0A28" w:rsidP="00400AD6">
      <w:pPr>
        <w:pStyle w:val="Heading2"/>
        <w:numPr>
          <w:ilvl w:val="0"/>
          <w:numId w:val="5"/>
        </w:numPr>
      </w:pPr>
      <w:r w:rsidRPr="00443F62">
        <w:lastRenderedPageBreak/>
        <w:t>Authority</w:t>
      </w:r>
      <w:r w:rsidR="00516A4C" w:rsidRPr="00443F62">
        <w:t xml:space="preserve"> – Contractual Liability</w:t>
      </w:r>
    </w:p>
    <w:p w14:paraId="0DC74796" w14:textId="2D053DD7" w:rsidR="003C0A28" w:rsidRPr="00443F62" w:rsidRDefault="003D2F2B" w:rsidP="00400AD6">
      <w:pPr>
        <w:pStyle w:val="Heading3"/>
        <w:numPr>
          <w:ilvl w:val="1"/>
          <w:numId w:val="5"/>
        </w:numPr>
      </w:pPr>
      <w:r>
        <w:t>Rule</w:t>
      </w:r>
    </w:p>
    <w:p w14:paraId="31120901" w14:textId="77777777" w:rsidR="00516A4C" w:rsidRPr="00443F62" w:rsidRDefault="00516A4C" w:rsidP="00516A4C">
      <w:pPr>
        <w:pStyle w:val="ListParagraph"/>
        <w:numPr>
          <w:ilvl w:val="2"/>
          <w:numId w:val="5"/>
        </w:numPr>
        <w:rPr>
          <w:rFonts w:cs="Times New Roman"/>
          <w:sz w:val="24"/>
          <w:szCs w:val="24"/>
        </w:rPr>
      </w:pPr>
      <w:r w:rsidRPr="00443F62">
        <w:rPr>
          <w:rFonts w:cs="Times New Roman"/>
          <w:sz w:val="24"/>
          <w:szCs w:val="24"/>
        </w:rPr>
        <w:t>An agent can impose contractual liability on his principal only when he acts with “authority.”</w:t>
      </w:r>
    </w:p>
    <w:p w14:paraId="2BBFD6F3" w14:textId="2F7C5042" w:rsidR="00077A54" w:rsidRPr="00077A54" w:rsidRDefault="003C0A28" w:rsidP="00077A54">
      <w:pPr>
        <w:pStyle w:val="Heading3"/>
        <w:numPr>
          <w:ilvl w:val="1"/>
          <w:numId w:val="5"/>
        </w:numPr>
      </w:pPr>
      <w:r w:rsidRPr="00443F62">
        <w:t>Actual Authority</w:t>
      </w:r>
      <w:r w:rsidR="00077A54">
        <w:t xml:space="preserve"> – </w:t>
      </w:r>
      <w:r w:rsidR="00077A54">
        <w:rPr>
          <w:rFonts w:cs="Times New Roman"/>
        </w:rPr>
        <w:t>principal tells a</w:t>
      </w:r>
      <w:r w:rsidR="00077A54" w:rsidRPr="00077A54">
        <w:rPr>
          <w:rFonts w:cs="Times New Roman"/>
        </w:rPr>
        <w:t>gent to do something</w:t>
      </w:r>
    </w:p>
    <w:p w14:paraId="6C3BE3D5" w14:textId="56CCC7F3" w:rsidR="00763D07" w:rsidRPr="00077A54" w:rsidRDefault="003C0A28" w:rsidP="00077A54">
      <w:pPr>
        <w:pStyle w:val="ListParagraph"/>
        <w:numPr>
          <w:ilvl w:val="2"/>
          <w:numId w:val="5"/>
        </w:numPr>
        <w:rPr>
          <w:rFonts w:cs="Times New Roman"/>
          <w:sz w:val="24"/>
          <w:szCs w:val="24"/>
        </w:rPr>
      </w:pPr>
      <w:r w:rsidRPr="00443F62">
        <w:rPr>
          <w:rFonts w:cs="Times New Roman"/>
          <w:sz w:val="24"/>
          <w:szCs w:val="24"/>
        </w:rPr>
        <w:t>Actual Express</w:t>
      </w:r>
      <w:r w:rsidR="00077A54">
        <w:rPr>
          <w:rFonts w:cs="Times New Roman"/>
          <w:sz w:val="24"/>
          <w:szCs w:val="24"/>
        </w:rPr>
        <w:t xml:space="preserve"> –</w:t>
      </w:r>
      <w:r w:rsidR="00763D07" w:rsidRPr="00077A54">
        <w:rPr>
          <w:rFonts w:cs="Times New Roman"/>
          <w:sz w:val="24"/>
          <w:szCs w:val="24"/>
        </w:rPr>
        <w:t xml:space="preserve"> “[A]</w:t>
      </w:r>
      <w:proofErr w:type="spellStart"/>
      <w:r w:rsidR="00763D07" w:rsidRPr="00077A54">
        <w:rPr>
          <w:rFonts w:cs="Times New Roman"/>
          <w:sz w:val="24"/>
          <w:szCs w:val="24"/>
        </w:rPr>
        <w:t>uthority</w:t>
      </w:r>
      <w:proofErr w:type="spellEnd"/>
      <w:r w:rsidR="00763D07" w:rsidRPr="00077A54">
        <w:rPr>
          <w:rFonts w:cs="Times New Roman"/>
          <w:sz w:val="24"/>
          <w:szCs w:val="24"/>
        </w:rPr>
        <w:t xml:space="preserve"> to do an act can be created by written or spoken words or other conduct of the principal which, reasonably interpreted causes the agent to believe that the principal desires him so to act on the principal’s account.”</w:t>
      </w:r>
      <w:r w:rsidR="00077A54">
        <w:rPr>
          <w:rFonts w:cs="Times New Roman"/>
          <w:sz w:val="24"/>
          <w:szCs w:val="24"/>
        </w:rPr>
        <w:t xml:space="preserve"> </w:t>
      </w:r>
      <w:r w:rsidR="00077A54" w:rsidRPr="00077A54">
        <w:rPr>
          <w:rFonts w:cs="Times New Roman"/>
          <w:sz w:val="24"/>
          <w:szCs w:val="24"/>
        </w:rPr>
        <w:t>R2d § 26</w:t>
      </w:r>
      <w:r w:rsidR="00077A54">
        <w:rPr>
          <w:rFonts w:cs="Times New Roman"/>
          <w:sz w:val="24"/>
          <w:szCs w:val="24"/>
        </w:rPr>
        <w:t>.</w:t>
      </w:r>
    </w:p>
    <w:p w14:paraId="50A06222" w14:textId="77777777" w:rsidR="003C0A28" w:rsidRPr="00443F62" w:rsidRDefault="003C0A28" w:rsidP="003C0A28">
      <w:pPr>
        <w:pStyle w:val="ListParagraph"/>
        <w:numPr>
          <w:ilvl w:val="2"/>
          <w:numId w:val="5"/>
        </w:numPr>
        <w:rPr>
          <w:rFonts w:cs="Times New Roman"/>
          <w:sz w:val="24"/>
          <w:szCs w:val="24"/>
        </w:rPr>
      </w:pPr>
      <w:r w:rsidRPr="00443F62">
        <w:rPr>
          <w:rFonts w:cs="Times New Roman"/>
          <w:sz w:val="24"/>
          <w:szCs w:val="24"/>
        </w:rPr>
        <w:t>Actual Implied</w:t>
      </w:r>
    </w:p>
    <w:p w14:paraId="33E180A7" w14:textId="408F1FDC" w:rsidR="00763D07" w:rsidRDefault="00763D07" w:rsidP="00763D07">
      <w:pPr>
        <w:pStyle w:val="ListParagraph"/>
        <w:numPr>
          <w:ilvl w:val="3"/>
          <w:numId w:val="5"/>
        </w:numPr>
        <w:rPr>
          <w:rFonts w:cs="Times New Roman"/>
          <w:sz w:val="24"/>
          <w:szCs w:val="24"/>
        </w:rPr>
      </w:pPr>
      <w:r w:rsidRPr="00443F62">
        <w:rPr>
          <w:rFonts w:cs="Times New Roman"/>
          <w:sz w:val="24"/>
          <w:szCs w:val="24"/>
        </w:rPr>
        <w:t>“[A]</w:t>
      </w:r>
      <w:proofErr w:type="spellStart"/>
      <w:r w:rsidRPr="00443F62">
        <w:rPr>
          <w:rFonts w:cs="Times New Roman"/>
          <w:sz w:val="24"/>
          <w:szCs w:val="24"/>
        </w:rPr>
        <w:t>uthority</w:t>
      </w:r>
      <w:proofErr w:type="spellEnd"/>
      <w:r w:rsidRPr="00443F62">
        <w:rPr>
          <w:rFonts w:cs="Times New Roman"/>
          <w:sz w:val="24"/>
          <w:szCs w:val="24"/>
        </w:rPr>
        <w:t xml:space="preserve"> to conduct a transaction includes authority to do acts which are incidental to it, usually accompany it, or are reasonably necessary to accomplish it.”</w:t>
      </w:r>
      <w:r w:rsidR="00077A54">
        <w:rPr>
          <w:rFonts w:cs="Times New Roman"/>
          <w:sz w:val="24"/>
          <w:szCs w:val="24"/>
        </w:rPr>
        <w:t xml:space="preserve"> </w:t>
      </w:r>
      <w:r w:rsidR="00077A54" w:rsidRPr="00443F62">
        <w:rPr>
          <w:rFonts w:cs="Times New Roman"/>
          <w:sz w:val="24"/>
          <w:szCs w:val="24"/>
        </w:rPr>
        <w:t>R2d § 35</w:t>
      </w:r>
      <w:r w:rsidR="00077A54">
        <w:rPr>
          <w:rFonts w:cs="Times New Roman"/>
          <w:sz w:val="24"/>
          <w:szCs w:val="24"/>
        </w:rPr>
        <w:t>.</w:t>
      </w:r>
    </w:p>
    <w:p w14:paraId="6A55AC40" w14:textId="77777777" w:rsidR="00A756E1" w:rsidRPr="001C65D9" w:rsidRDefault="00A756E1" w:rsidP="00A756E1">
      <w:pPr>
        <w:pStyle w:val="ListParagraph"/>
        <w:numPr>
          <w:ilvl w:val="3"/>
          <w:numId w:val="5"/>
        </w:numPr>
        <w:rPr>
          <w:rFonts w:cs="Times New Roman"/>
          <w:b/>
          <w:i/>
          <w:sz w:val="24"/>
          <w:szCs w:val="24"/>
        </w:rPr>
      </w:pPr>
      <w:r w:rsidRPr="001C65D9">
        <w:rPr>
          <w:rFonts w:cs="Times New Roman"/>
          <w:b/>
          <w:i/>
          <w:sz w:val="24"/>
          <w:szCs w:val="24"/>
        </w:rPr>
        <w:t>Mill Street Church of Christ v. Hogan (Ky. 1990)</w:t>
      </w:r>
    </w:p>
    <w:p w14:paraId="73BE1459" w14:textId="77777777" w:rsidR="00A756E1" w:rsidRPr="00A756E1" w:rsidRDefault="00A756E1" w:rsidP="00A756E1">
      <w:pPr>
        <w:pStyle w:val="ListParagraph"/>
        <w:numPr>
          <w:ilvl w:val="4"/>
          <w:numId w:val="5"/>
        </w:numPr>
        <w:rPr>
          <w:rFonts w:cs="Times New Roman"/>
          <w:sz w:val="24"/>
          <w:szCs w:val="24"/>
        </w:rPr>
      </w:pPr>
      <w:r w:rsidRPr="00A756E1">
        <w:rPr>
          <w:rFonts w:cs="Times New Roman"/>
          <w:sz w:val="24"/>
          <w:szCs w:val="24"/>
        </w:rPr>
        <w:t>Synopsis: Bill hired by Church to paint church. Bill asked Sam to help as had been previously done. Sam injures himself and sues for compensation. Old Board finds Sam is not employee and New Board reverses. Court affirms finding that Bill had implied authority to hire Sam, given following facts: Church had allowed Bill to hire Sam or other persons when necessary; no mention of Board of Elders discussion that Sam could not be hired again was given to Bill; one of the Elders told Bill that Gary (someone the Elder suggested) would be difficult to reach and that Bill could hire someone else; interior of church couldn’t be painted by one person; Sam believed Bill had authority to hire him as in the past (apparent authority?); church treasurer paid Bill for work Sam completed (ratification?).</w:t>
      </w:r>
    </w:p>
    <w:p w14:paraId="5E1F9942" w14:textId="77777777" w:rsidR="00A756E1" w:rsidRPr="00A756E1" w:rsidRDefault="00A756E1" w:rsidP="00A756E1">
      <w:pPr>
        <w:pStyle w:val="ListParagraph"/>
        <w:numPr>
          <w:ilvl w:val="4"/>
          <w:numId w:val="5"/>
        </w:numPr>
        <w:rPr>
          <w:rFonts w:cs="Times New Roman"/>
          <w:sz w:val="24"/>
          <w:szCs w:val="24"/>
        </w:rPr>
      </w:pPr>
      <w:r w:rsidRPr="00A756E1">
        <w:rPr>
          <w:rFonts w:cs="Times New Roman"/>
          <w:sz w:val="24"/>
          <w:szCs w:val="24"/>
        </w:rPr>
        <w:t>Tool:</w:t>
      </w:r>
    </w:p>
    <w:p w14:paraId="7D476DC9" w14:textId="0D38CFC1" w:rsidR="00A756E1" w:rsidRPr="00A756E1" w:rsidRDefault="00A756E1" w:rsidP="00D7387B">
      <w:pPr>
        <w:pStyle w:val="ListParagraph"/>
        <w:numPr>
          <w:ilvl w:val="5"/>
          <w:numId w:val="5"/>
        </w:numPr>
        <w:rPr>
          <w:rFonts w:cs="Times New Roman"/>
          <w:sz w:val="24"/>
          <w:szCs w:val="24"/>
        </w:rPr>
      </w:pPr>
      <w:r w:rsidRPr="00A756E1">
        <w:rPr>
          <w:rFonts w:cs="Times New Roman"/>
          <w:sz w:val="24"/>
          <w:szCs w:val="24"/>
        </w:rPr>
        <w:t>Implied authority – actual authority circumstantially proven which the principal actually intended the agent to possess and includes such powers as are practically necessary to carry out the duties actually delegated.</w:t>
      </w:r>
      <w:r w:rsidR="00D7387B">
        <w:rPr>
          <w:rFonts w:cs="Times New Roman"/>
          <w:sz w:val="24"/>
          <w:szCs w:val="24"/>
        </w:rPr>
        <w:t xml:space="preserve"> Factors:</w:t>
      </w:r>
    </w:p>
    <w:p w14:paraId="384BBF0B" w14:textId="77777777" w:rsidR="00A756E1" w:rsidRPr="00A756E1" w:rsidRDefault="00A756E1" w:rsidP="00D7387B">
      <w:pPr>
        <w:pStyle w:val="ListParagraph"/>
        <w:numPr>
          <w:ilvl w:val="6"/>
          <w:numId w:val="5"/>
        </w:numPr>
        <w:rPr>
          <w:rFonts w:cs="Times New Roman"/>
          <w:sz w:val="24"/>
          <w:szCs w:val="24"/>
        </w:rPr>
      </w:pPr>
      <w:r w:rsidRPr="00A756E1">
        <w:rPr>
          <w:rFonts w:cs="Times New Roman"/>
          <w:sz w:val="24"/>
          <w:szCs w:val="24"/>
        </w:rPr>
        <w:t xml:space="preserve">Agent’s understanding of his authority. “Whether the agent reasonably believes because of present or past conduct of the principal that the principal wishes him to act in a certain way or to have certain authority.” </w:t>
      </w:r>
    </w:p>
    <w:p w14:paraId="4CECC8C2" w14:textId="77777777" w:rsidR="00A756E1" w:rsidRPr="00A756E1" w:rsidRDefault="00A756E1" w:rsidP="00D7387B">
      <w:pPr>
        <w:pStyle w:val="ListParagraph"/>
        <w:numPr>
          <w:ilvl w:val="6"/>
          <w:numId w:val="5"/>
        </w:numPr>
        <w:rPr>
          <w:rFonts w:cs="Times New Roman"/>
          <w:sz w:val="24"/>
          <w:szCs w:val="24"/>
        </w:rPr>
      </w:pPr>
      <w:r w:rsidRPr="00A756E1">
        <w:rPr>
          <w:rFonts w:cs="Times New Roman"/>
          <w:sz w:val="24"/>
          <w:szCs w:val="24"/>
        </w:rPr>
        <w:t xml:space="preserve">“Nature of the task or job may be another factor to consider. Implied authority may be necessary in order to implement the express authority.” </w:t>
      </w:r>
    </w:p>
    <w:p w14:paraId="32DEAA6C" w14:textId="77777777" w:rsidR="00A756E1" w:rsidRPr="00A756E1" w:rsidRDefault="00A756E1" w:rsidP="00D7387B">
      <w:pPr>
        <w:pStyle w:val="ListParagraph"/>
        <w:numPr>
          <w:ilvl w:val="6"/>
          <w:numId w:val="5"/>
        </w:numPr>
        <w:rPr>
          <w:rFonts w:cs="Times New Roman"/>
          <w:sz w:val="24"/>
          <w:szCs w:val="24"/>
        </w:rPr>
      </w:pPr>
      <w:r w:rsidRPr="00A756E1">
        <w:rPr>
          <w:rFonts w:cs="Times New Roman"/>
          <w:sz w:val="24"/>
          <w:szCs w:val="24"/>
        </w:rPr>
        <w:t>“The existence of prior similar practices is one of the most important factors. Specific conduct by the principal in the past permitting the agent to exercise similar powers is crucial.”</w:t>
      </w:r>
    </w:p>
    <w:p w14:paraId="07584D1C" w14:textId="56879B5D" w:rsidR="00A756E1" w:rsidRPr="00A756E1" w:rsidRDefault="00A756E1" w:rsidP="00D7387B">
      <w:pPr>
        <w:pStyle w:val="ListParagraph"/>
        <w:numPr>
          <w:ilvl w:val="5"/>
          <w:numId w:val="5"/>
        </w:numPr>
        <w:rPr>
          <w:rFonts w:cs="Times New Roman"/>
          <w:sz w:val="24"/>
          <w:szCs w:val="24"/>
        </w:rPr>
      </w:pPr>
      <w:r w:rsidRPr="00A756E1">
        <w:rPr>
          <w:rFonts w:cs="Times New Roman"/>
          <w:sz w:val="24"/>
          <w:szCs w:val="24"/>
        </w:rPr>
        <w:t xml:space="preserve">Person alleging agency and resulting authority has the burden of proving that it exists. Agency cannot be proven by a mere statement but can be established by circumstantial evidence including the acts and conduct of the parties such as the continuous course of conduct of the parties covering a number of successive transactions. </w:t>
      </w:r>
    </w:p>
    <w:p w14:paraId="6D115963" w14:textId="6F696AB6" w:rsidR="003C0A28" w:rsidRPr="00443F62" w:rsidRDefault="003C0A28" w:rsidP="00400AD6">
      <w:pPr>
        <w:pStyle w:val="Heading3"/>
        <w:numPr>
          <w:ilvl w:val="1"/>
          <w:numId w:val="5"/>
        </w:numPr>
      </w:pPr>
      <w:r w:rsidRPr="00443F62">
        <w:t>Apparent Authority</w:t>
      </w:r>
      <w:r w:rsidR="00516A4C" w:rsidRPr="00443F62">
        <w:t xml:space="preserve"> – principal tells a third party that the agent has authority</w:t>
      </w:r>
      <w:r w:rsidR="00095025" w:rsidRPr="00443F62">
        <w:t xml:space="preserve">, </w:t>
      </w:r>
      <w:r w:rsidR="00095025" w:rsidRPr="00276A65">
        <w:rPr>
          <w:u w:val="single"/>
        </w:rPr>
        <w:t>disclosed</w:t>
      </w:r>
      <w:r w:rsidR="00095025" w:rsidRPr="00443F62">
        <w:t xml:space="preserve"> principal</w:t>
      </w:r>
    </w:p>
    <w:p w14:paraId="2417133F" w14:textId="0F2DC004" w:rsidR="00E51FCD" w:rsidRDefault="0032331E" w:rsidP="00234194">
      <w:pPr>
        <w:pStyle w:val="ListParagraph"/>
        <w:numPr>
          <w:ilvl w:val="2"/>
          <w:numId w:val="5"/>
        </w:numPr>
        <w:rPr>
          <w:rFonts w:cs="Times New Roman"/>
          <w:sz w:val="24"/>
          <w:szCs w:val="24"/>
        </w:rPr>
      </w:pPr>
      <w:r>
        <w:rPr>
          <w:rFonts w:cs="Times New Roman"/>
          <w:szCs w:val="24"/>
        </w:rPr>
        <w:t>Rule</w:t>
      </w:r>
    </w:p>
    <w:p w14:paraId="6B960167" w14:textId="3402F747" w:rsidR="00202338" w:rsidRPr="00443F62" w:rsidRDefault="00077A54" w:rsidP="00E51FCD">
      <w:pPr>
        <w:pStyle w:val="ListParagraph"/>
        <w:numPr>
          <w:ilvl w:val="3"/>
          <w:numId w:val="5"/>
        </w:numPr>
        <w:rPr>
          <w:rFonts w:cs="Times New Roman"/>
          <w:sz w:val="24"/>
          <w:szCs w:val="24"/>
        </w:rPr>
      </w:pPr>
      <w:r>
        <w:rPr>
          <w:rFonts w:cs="Times New Roman"/>
          <w:sz w:val="24"/>
          <w:szCs w:val="24"/>
        </w:rPr>
        <w:t>A</w:t>
      </w:r>
      <w:r w:rsidR="00202338" w:rsidRPr="00443F62">
        <w:rPr>
          <w:rFonts w:cs="Times New Roman"/>
          <w:sz w:val="24"/>
          <w:szCs w:val="24"/>
        </w:rPr>
        <w:t>pparent authority only exists “when a third party reasonably believes the actor has authority to act on behalf of the principal and that belief is traceable to the principal’s manifestations.”</w:t>
      </w:r>
      <w:r>
        <w:rPr>
          <w:rFonts w:cs="Times New Roman"/>
          <w:sz w:val="24"/>
          <w:szCs w:val="24"/>
        </w:rPr>
        <w:t xml:space="preserve"> </w:t>
      </w:r>
      <w:r w:rsidRPr="00443F62">
        <w:rPr>
          <w:rFonts w:cs="Times New Roman"/>
          <w:sz w:val="24"/>
          <w:szCs w:val="24"/>
        </w:rPr>
        <w:t>R3d § 2.03:</w:t>
      </w:r>
    </w:p>
    <w:p w14:paraId="74C0CABF" w14:textId="69B44340" w:rsidR="006920E6" w:rsidRPr="00443F62" w:rsidRDefault="006920E6" w:rsidP="00E51FCD">
      <w:pPr>
        <w:pStyle w:val="ListParagraph"/>
        <w:numPr>
          <w:ilvl w:val="3"/>
          <w:numId w:val="5"/>
        </w:numPr>
        <w:rPr>
          <w:rFonts w:cs="Times New Roman"/>
          <w:sz w:val="24"/>
          <w:szCs w:val="24"/>
        </w:rPr>
      </w:pPr>
      <w:r w:rsidRPr="00443F62">
        <w:rPr>
          <w:rFonts w:cs="Times New Roman"/>
          <w:sz w:val="24"/>
          <w:szCs w:val="24"/>
        </w:rPr>
        <w:t xml:space="preserve">An agent can create her own apparent authority </w:t>
      </w:r>
      <w:r w:rsidRPr="00B776BC">
        <w:rPr>
          <w:rFonts w:cs="Times New Roman"/>
          <w:sz w:val="24"/>
          <w:szCs w:val="24"/>
          <w:u w:val="single"/>
        </w:rPr>
        <w:t>only when the statement is truthful when made</w:t>
      </w:r>
      <w:r w:rsidRPr="00443F62">
        <w:rPr>
          <w:rFonts w:cs="Times New Roman"/>
          <w:sz w:val="24"/>
          <w:szCs w:val="24"/>
        </w:rPr>
        <w:t xml:space="preserve">, and thus had actual authority. </w:t>
      </w:r>
      <w:r w:rsidR="00D7387B">
        <w:rPr>
          <w:rFonts w:cs="Times New Roman"/>
          <w:sz w:val="24"/>
          <w:szCs w:val="24"/>
        </w:rPr>
        <w:t xml:space="preserve">E.g. </w:t>
      </w:r>
      <w:r w:rsidRPr="00443F62">
        <w:rPr>
          <w:rFonts w:cs="Times New Roman"/>
          <w:sz w:val="24"/>
          <w:szCs w:val="24"/>
        </w:rPr>
        <w:t xml:space="preserve">principal cancels authority after having given actual authority. </w:t>
      </w:r>
    </w:p>
    <w:p w14:paraId="590D0143" w14:textId="77777777" w:rsidR="006920E6" w:rsidRPr="001C65D9" w:rsidRDefault="006920E6" w:rsidP="006920E6">
      <w:pPr>
        <w:pStyle w:val="ListParagraph"/>
        <w:numPr>
          <w:ilvl w:val="2"/>
          <w:numId w:val="5"/>
        </w:numPr>
        <w:rPr>
          <w:rFonts w:cs="Times New Roman"/>
          <w:b/>
          <w:i/>
          <w:sz w:val="24"/>
          <w:szCs w:val="24"/>
        </w:rPr>
      </w:pPr>
      <w:r w:rsidRPr="001C65D9">
        <w:rPr>
          <w:rFonts w:cs="Times New Roman"/>
          <w:b/>
          <w:i/>
          <w:sz w:val="24"/>
          <w:szCs w:val="24"/>
        </w:rPr>
        <w:t xml:space="preserve">Three-Seventy Leasing Corporation v. </w:t>
      </w:r>
      <w:proofErr w:type="spellStart"/>
      <w:r w:rsidRPr="001C65D9">
        <w:rPr>
          <w:rFonts w:cs="Times New Roman"/>
          <w:b/>
          <w:i/>
          <w:sz w:val="24"/>
          <w:szCs w:val="24"/>
        </w:rPr>
        <w:t>Ampex</w:t>
      </w:r>
      <w:proofErr w:type="spellEnd"/>
      <w:r w:rsidRPr="001C65D9">
        <w:rPr>
          <w:rFonts w:cs="Times New Roman"/>
          <w:b/>
          <w:i/>
          <w:sz w:val="24"/>
          <w:szCs w:val="24"/>
        </w:rPr>
        <w:t xml:space="preserve"> Corporation (5th Cir. 1976)</w:t>
      </w:r>
    </w:p>
    <w:p w14:paraId="62F65149" w14:textId="77777777" w:rsidR="006920E6" w:rsidRPr="00443F62" w:rsidRDefault="006920E6" w:rsidP="006920E6">
      <w:pPr>
        <w:pStyle w:val="ListParagraph"/>
        <w:numPr>
          <w:ilvl w:val="3"/>
          <w:numId w:val="5"/>
        </w:numPr>
        <w:rPr>
          <w:rFonts w:cs="Times New Roman"/>
          <w:sz w:val="24"/>
          <w:szCs w:val="24"/>
        </w:rPr>
      </w:pPr>
      <w:r w:rsidRPr="00443F62">
        <w:rPr>
          <w:rFonts w:cs="Times New Roman"/>
          <w:sz w:val="24"/>
          <w:szCs w:val="24"/>
        </w:rPr>
        <w:t xml:space="preserve">Synopsis: Three-Seventy Leasing Corp. (P) sought damages from </w:t>
      </w:r>
      <w:proofErr w:type="spellStart"/>
      <w:r w:rsidRPr="00443F62">
        <w:rPr>
          <w:rFonts w:cs="Times New Roman"/>
          <w:sz w:val="24"/>
          <w:szCs w:val="24"/>
        </w:rPr>
        <w:t>Ampex</w:t>
      </w:r>
      <w:proofErr w:type="spellEnd"/>
      <w:r w:rsidRPr="00443F62">
        <w:rPr>
          <w:rFonts w:cs="Times New Roman"/>
          <w:sz w:val="24"/>
          <w:szCs w:val="24"/>
        </w:rPr>
        <w:t xml:space="preserve"> Corp. (D) for a breach of contract to sell P computer hardware. District Court found that there was an enforceable contract because Kays had apparent authority to sell on behalf of </w:t>
      </w:r>
      <w:proofErr w:type="spellStart"/>
      <w:r w:rsidRPr="00443F62">
        <w:rPr>
          <w:rFonts w:cs="Times New Roman"/>
          <w:sz w:val="24"/>
          <w:szCs w:val="24"/>
        </w:rPr>
        <w:t>Ampex</w:t>
      </w:r>
      <w:proofErr w:type="spellEnd"/>
      <w:r w:rsidRPr="00443F62">
        <w:rPr>
          <w:rFonts w:cs="Times New Roman"/>
          <w:sz w:val="24"/>
          <w:szCs w:val="24"/>
        </w:rPr>
        <w:t xml:space="preserve">. 5th Cir. found that district court’s finding was not clearly erroneous since </w:t>
      </w:r>
      <w:proofErr w:type="spellStart"/>
      <w:r w:rsidRPr="00077A54">
        <w:rPr>
          <w:rFonts w:cs="Times New Roman"/>
          <w:sz w:val="24"/>
          <w:szCs w:val="24"/>
          <w:u w:val="single"/>
        </w:rPr>
        <w:t>Ampex</w:t>
      </w:r>
      <w:proofErr w:type="spellEnd"/>
      <w:r w:rsidRPr="00077A54">
        <w:rPr>
          <w:rFonts w:cs="Times New Roman"/>
          <w:sz w:val="24"/>
          <w:szCs w:val="24"/>
          <w:u w:val="single"/>
        </w:rPr>
        <w:t xml:space="preserve"> appointed Kay as sales </w:t>
      </w:r>
      <w:r w:rsidRPr="00077A54">
        <w:rPr>
          <w:rFonts w:cs="Times New Roman"/>
          <w:sz w:val="24"/>
          <w:szCs w:val="24"/>
          <w:u w:val="single"/>
        </w:rPr>
        <w:lastRenderedPageBreak/>
        <w:t>representative, let him send a contract, circulated a memo about the sale, and thus gave Kays apparent authority to bind the firm.</w:t>
      </w:r>
    </w:p>
    <w:p w14:paraId="7BC19E7B" w14:textId="04FE88C6" w:rsidR="00202338" w:rsidRPr="00A756E1" w:rsidRDefault="006920E6" w:rsidP="00A756E1">
      <w:pPr>
        <w:pStyle w:val="ListParagraph"/>
        <w:numPr>
          <w:ilvl w:val="3"/>
          <w:numId w:val="5"/>
        </w:numPr>
        <w:rPr>
          <w:rFonts w:cs="Times New Roman"/>
          <w:sz w:val="24"/>
          <w:szCs w:val="24"/>
        </w:rPr>
      </w:pPr>
      <w:r w:rsidRPr="00443F62">
        <w:rPr>
          <w:rFonts w:cs="Times New Roman"/>
          <w:sz w:val="24"/>
          <w:szCs w:val="24"/>
        </w:rPr>
        <w:t>Tool: Apparent authority – an agent has apparent authority sufficient to bind the principal when the principal acts in such a manner as would lead a reasonably prudent person to suppose that the agent had the authority he purports to exercise…Further, absent knowledge on the part of third parties to the contrary, an agent has the apparent authority to do those things which are usual and proper to the conduct of the business which he is employed to conduct.</w:t>
      </w:r>
    </w:p>
    <w:p w14:paraId="35F026EF" w14:textId="77777777" w:rsidR="00A756E1" w:rsidRPr="001C65D9" w:rsidRDefault="00A756E1" w:rsidP="00A756E1">
      <w:pPr>
        <w:pStyle w:val="ListParagraph"/>
        <w:numPr>
          <w:ilvl w:val="2"/>
          <w:numId w:val="5"/>
        </w:numPr>
        <w:rPr>
          <w:rFonts w:cs="Times New Roman"/>
          <w:b/>
          <w:i/>
          <w:sz w:val="24"/>
          <w:szCs w:val="24"/>
        </w:rPr>
      </w:pPr>
      <w:r w:rsidRPr="001C65D9">
        <w:rPr>
          <w:rFonts w:cs="Times New Roman"/>
          <w:b/>
          <w:i/>
          <w:sz w:val="24"/>
          <w:szCs w:val="24"/>
        </w:rPr>
        <w:t>Mill Street Church of Christ v. Hogan (Ky. 1990)</w:t>
      </w:r>
    </w:p>
    <w:p w14:paraId="300A110D" w14:textId="4829A0C5" w:rsidR="00202338" w:rsidRPr="00A756E1" w:rsidRDefault="00202338" w:rsidP="00A756E1">
      <w:pPr>
        <w:pStyle w:val="ListParagraph"/>
        <w:numPr>
          <w:ilvl w:val="3"/>
          <w:numId w:val="5"/>
        </w:numPr>
        <w:rPr>
          <w:rFonts w:cs="Times New Roman"/>
          <w:sz w:val="24"/>
          <w:szCs w:val="24"/>
        </w:rPr>
      </w:pPr>
      <w:r w:rsidRPr="00A756E1">
        <w:rPr>
          <w:rFonts w:cs="Times New Roman"/>
          <w:sz w:val="24"/>
          <w:szCs w:val="24"/>
        </w:rPr>
        <w:t xml:space="preserve">Apparent authority – authority the agent is held out by the principal as possessing. It is a matter of appearances on which third parties come to rely. </w:t>
      </w:r>
    </w:p>
    <w:p w14:paraId="75113412" w14:textId="4384DE1E" w:rsidR="00202338" w:rsidRPr="00443F62" w:rsidRDefault="00A756E1" w:rsidP="00177E95">
      <w:pPr>
        <w:pStyle w:val="ListParagraph"/>
        <w:numPr>
          <w:ilvl w:val="3"/>
          <w:numId w:val="5"/>
        </w:numPr>
        <w:rPr>
          <w:rFonts w:cs="Times New Roman"/>
          <w:sz w:val="24"/>
          <w:szCs w:val="24"/>
        </w:rPr>
      </w:pPr>
      <w:r w:rsidRPr="00443F62">
        <w:rPr>
          <w:rFonts w:cs="Times New Roman"/>
          <w:sz w:val="24"/>
          <w:szCs w:val="24"/>
        </w:rPr>
        <w:t xml:space="preserve"> </w:t>
      </w:r>
      <w:r w:rsidR="00177E95" w:rsidRPr="00443F62">
        <w:rPr>
          <w:rFonts w:cs="Times New Roman"/>
          <w:sz w:val="24"/>
          <w:szCs w:val="24"/>
        </w:rPr>
        <w:t xml:space="preserve">“Agent’s agent” v. “Subagent” – Agents generally lack implied authority to hire another worker in any job that involves substantial discretion. If the first agent does have authority to hire, the hired worker is a subagent and an agent of the principal. If the agent does not have authority to hire, the worker is an agent’s agent, an agent of the first agent but not of the principal. </w:t>
      </w:r>
      <w:r w:rsidR="00202338" w:rsidRPr="00443F62">
        <w:rPr>
          <w:rFonts w:cs="Times New Roman"/>
          <w:sz w:val="24"/>
          <w:szCs w:val="24"/>
        </w:rPr>
        <w:t xml:space="preserve"> </w:t>
      </w:r>
    </w:p>
    <w:p w14:paraId="30079026" w14:textId="77777777" w:rsidR="00177E95" w:rsidRPr="00443F62" w:rsidRDefault="00177E95" w:rsidP="00177E95">
      <w:pPr>
        <w:pStyle w:val="ListParagraph"/>
        <w:numPr>
          <w:ilvl w:val="3"/>
          <w:numId w:val="5"/>
        </w:numPr>
        <w:rPr>
          <w:rFonts w:cs="Times New Roman"/>
          <w:sz w:val="24"/>
          <w:szCs w:val="24"/>
        </w:rPr>
      </w:pPr>
      <w:r w:rsidRPr="00443F62">
        <w:rPr>
          <w:rFonts w:cs="Times New Roman"/>
          <w:sz w:val="24"/>
          <w:szCs w:val="24"/>
        </w:rPr>
        <w:t>“</w:t>
      </w:r>
      <w:proofErr w:type="gramStart"/>
      <w:r w:rsidRPr="00443F62">
        <w:rPr>
          <w:rFonts w:cs="Times New Roman"/>
          <w:sz w:val="24"/>
          <w:szCs w:val="24"/>
        </w:rPr>
        <w:t>manifestation</w:t>
      </w:r>
      <w:proofErr w:type="gramEnd"/>
      <w:r w:rsidRPr="00443F62">
        <w:rPr>
          <w:rFonts w:cs="Times New Roman"/>
          <w:sz w:val="24"/>
          <w:szCs w:val="24"/>
        </w:rPr>
        <w:t xml:space="preserve">” – past conduct can create apparent authority in the present. Suppose a principal had earlier authorized an agent to hire someone else. That past conduct could constitute a “manifestation” to the world that the agent had authority to hire. If the agent now hires again, the principal might find himself bound by apparent authority. </w:t>
      </w:r>
    </w:p>
    <w:p w14:paraId="2D31D427" w14:textId="000991C4" w:rsidR="003C0A28" w:rsidRPr="00443F62" w:rsidRDefault="003C0A28" w:rsidP="00400AD6">
      <w:pPr>
        <w:pStyle w:val="Heading3"/>
        <w:numPr>
          <w:ilvl w:val="1"/>
          <w:numId w:val="5"/>
        </w:numPr>
      </w:pPr>
      <w:r w:rsidRPr="00443F62">
        <w:t>Inherent Agency Power</w:t>
      </w:r>
      <w:r w:rsidR="00095025" w:rsidRPr="00443F62">
        <w:t xml:space="preserve"> – </w:t>
      </w:r>
      <w:r w:rsidR="00095025" w:rsidRPr="00276A65">
        <w:rPr>
          <w:u w:val="single"/>
        </w:rPr>
        <w:t>undisclosed</w:t>
      </w:r>
      <w:r w:rsidR="00095025" w:rsidRPr="00443F62">
        <w:t xml:space="preserve"> principal</w:t>
      </w:r>
      <w:r w:rsidR="00BF6492" w:rsidRPr="00443F62">
        <w:t xml:space="preserve"> </w:t>
      </w:r>
    </w:p>
    <w:p w14:paraId="35606ADC" w14:textId="518D241E" w:rsidR="0051544E" w:rsidRDefault="0051544E" w:rsidP="00095025">
      <w:pPr>
        <w:pStyle w:val="ListParagraph"/>
        <w:numPr>
          <w:ilvl w:val="2"/>
          <w:numId w:val="5"/>
        </w:numPr>
        <w:rPr>
          <w:rFonts w:cs="Times New Roman"/>
          <w:sz w:val="24"/>
          <w:szCs w:val="24"/>
        </w:rPr>
      </w:pPr>
      <w:r>
        <w:rPr>
          <w:rFonts w:cs="Times New Roman"/>
          <w:sz w:val="24"/>
          <w:szCs w:val="24"/>
        </w:rPr>
        <w:t>Elements: (1) general agent; (2) state that recognizes it; (3) agent purports to act on behalf of principal</w:t>
      </w:r>
    </w:p>
    <w:p w14:paraId="0CF69EAE" w14:textId="2C3FBA26" w:rsidR="00D7387B" w:rsidRPr="00D7387B" w:rsidRDefault="00D7387B" w:rsidP="00D7387B">
      <w:pPr>
        <w:pStyle w:val="ListParagraph"/>
        <w:numPr>
          <w:ilvl w:val="2"/>
          <w:numId w:val="5"/>
        </w:numPr>
        <w:rPr>
          <w:rFonts w:cs="Times New Roman"/>
          <w:sz w:val="24"/>
          <w:szCs w:val="24"/>
        </w:rPr>
      </w:pPr>
      <w:r>
        <w:rPr>
          <w:rFonts w:cs="Times New Roman"/>
          <w:sz w:val="24"/>
          <w:szCs w:val="24"/>
        </w:rPr>
        <w:t xml:space="preserve">General v. Special Agent: </w:t>
      </w:r>
      <w:r w:rsidRPr="00443F62">
        <w:rPr>
          <w:rFonts w:cs="Times New Roman"/>
          <w:sz w:val="24"/>
          <w:szCs w:val="24"/>
        </w:rPr>
        <w:t xml:space="preserve">“(1) </w:t>
      </w:r>
      <w:proofErr w:type="gramStart"/>
      <w:r w:rsidRPr="00443F62">
        <w:rPr>
          <w:rFonts w:cs="Times New Roman"/>
          <w:sz w:val="24"/>
          <w:szCs w:val="24"/>
        </w:rPr>
        <w:t>A</w:t>
      </w:r>
      <w:proofErr w:type="gramEnd"/>
      <w:r w:rsidRPr="00443F62">
        <w:rPr>
          <w:rFonts w:cs="Times New Roman"/>
          <w:sz w:val="24"/>
          <w:szCs w:val="24"/>
        </w:rPr>
        <w:t xml:space="preserve"> general agent is an agent authorized to conduct a series of transactions inv</w:t>
      </w:r>
      <w:r>
        <w:rPr>
          <w:rFonts w:cs="Times New Roman"/>
          <w:sz w:val="24"/>
          <w:szCs w:val="24"/>
        </w:rPr>
        <w:t xml:space="preserve">olving a </w:t>
      </w:r>
      <w:r w:rsidRPr="00080BD7">
        <w:rPr>
          <w:rFonts w:cs="Times New Roman"/>
          <w:sz w:val="24"/>
          <w:szCs w:val="24"/>
          <w:u w:val="single"/>
        </w:rPr>
        <w:t>continuity</w:t>
      </w:r>
      <w:r>
        <w:rPr>
          <w:rFonts w:cs="Times New Roman"/>
          <w:sz w:val="24"/>
          <w:szCs w:val="24"/>
        </w:rPr>
        <w:t xml:space="preserve"> of service. </w:t>
      </w:r>
      <w:r w:rsidRPr="00D7387B">
        <w:rPr>
          <w:rFonts w:cs="Times New Roman"/>
          <w:sz w:val="24"/>
          <w:szCs w:val="24"/>
        </w:rPr>
        <w:t>(2) A special agent is an agent authorized to conduct a single transaction or a series of transactions not involving continuity of service.</w:t>
      </w:r>
      <w:r>
        <w:rPr>
          <w:rFonts w:cs="Times New Roman"/>
          <w:sz w:val="24"/>
          <w:szCs w:val="24"/>
        </w:rPr>
        <w:t xml:space="preserve"> </w:t>
      </w:r>
      <w:r w:rsidRPr="00D7387B">
        <w:rPr>
          <w:rFonts w:cs="Times New Roman"/>
          <w:sz w:val="24"/>
          <w:szCs w:val="24"/>
        </w:rPr>
        <w:t>R2 Agency § 3.</w:t>
      </w:r>
    </w:p>
    <w:p w14:paraId="499F8991" w14:textId="7F87DE1C" w:rsidR="00E51FCD" w:rsidRDefault="0032331E" w:rsidP="00095025">
      <w:pPr>
        <w:pStyle w:val="ListParagraph"/>
        <w:numPr>
          <w:ilvl w:val="2"/>
          <w:numId w:val="5"/>
        </w:numPr>
        <w:rPr>
          <w:rFonts w:cs="Times New Roman"/>
          <w:sz w:val="24"/>
          <w:szCs w:val="24"/>
        </w:rPr>
      </w:pPr>
      <w:r>
        <w:rPr>
          <w:rFonts w:cs="Times New Roman"/>
          <w:szCs w:val="24"/>
        </w:rPr>
        <w:t>Rule</w:t>
      </w:r>
    </w:p>
    <w:p w14:paraId="6BA4A78B" w14:textId="30DDEB8B" w:rsidR="00095025" w:rsidRPr="00443F62" w:rsidRDefault="00095025" w:rsidP="00E51FCD">
      <w:pPr>
        <w:pStyle w:val="ListParagraph"/>
        <w:numPr>
          <w:ilvl w:val="3"/>
          <w:numId w:val="5"/>
        </w:numPr>
        <w:rPr>
          <w:rFonts w:cs="Times New Roman"/>
          <w:sz w:val="24"/>
          <w:szCs w:val="24"/>
        </w:rPr>
      </w:pPr>
      <w:r w:rsidRPr="00443F62">
        <w:rPr>
          <w:rFonts w:cs="Times New Roman"/>
          <w:sz w:val="24"/>
          <w:szCs w:val="24"/>
        </w:rPr>
        <w:t>Inherent agency power indicates “the power of an agent which is derived not from authority, apparent authority or estoppel, but solely from the agency relation and exists for the protection of persons harmed by or dealing with a servant or other agent.</w:t>
      </w:r>
      <w:r w:rsidR="00A756E1">
        <w:rPr>
          <w:rFonts w:cs="Times New Roman"/>
          <w:sz w:val="24"/>
          <w:szCs w:val="24"/>
        </w:rPr>
        <w:t xml:space="preserve"> </w:t>
      </w:r>
      <w:r w:rsidR="00A756E1" w:rsidRPr="00443F62">
        <w:rPr>
          <w:rFonts w:cs="Times New Roman"/>
          <w:sz w:val="24"/>
          <w:szCs w:val="24"/>
        </w:rPr>
        <w:t>R2 Agency § 8A</w:t>
      </w:r>
      <w:r w:rsidR="00A756E1">
        <w:rPr>
          <w:rFonts w:cs="Times New Roman"/>
          <w:sz w:val="24"/>
          <w:szCs w:val="24"/>
        </w:rPr>
        <w:t>.</w:t>
      </w:r>
    </w:p>
    <w:p w14:paraId="637036D8" w14:textId="41D53DCA" w:rsidR="00A756E1" w:rsidRPr="00A756E1" w:rsidRDefault="00A756E1" w:rsidP="00A756E1">
      <w:pPr>
        <w:pStyle w:val="ListParagraph"/>
        <w:numPr>
          <w:ilvl w:val="3"/>
          <w:numId w:val="5"/>
        </w:numPr>
        <w:spacing w:after="160" w:line="259" w:lineRule="auto"/>
        <w:rPr>
          <w:rFonts w:cs="Times New Roman"/>
          <w:sz w:val="24"/>
          <w:szCs w:val="24"/>
        </w:rPr>
      </w:pPr>
      <w:r w:rsidRPr="00A756E1">
        <w:rPr>
          <w:rFonts w:cs="Times New Roman"/>
          <w:sz w:val="24"/>
          <w:szCs w:val="24"/>
        </w:rPr>
        <w:t>“An undisclosed principal who entrusts an agent with the management of his business is subject to liability to third persons with whom the agent enters into transactions usual in such business and on the principal’s account, although contrary to the directions of the principal.”</w:t>
      </w:r>
      <w:r>
        <w:rPr>
          <w:rFonts w:cs="Times New Roman"/>
          <w:sz w:val="24"/>
          <w:szCs w:val="24"/>
        </w:rPr>
        <w:t xml:space="preserve"> </w:t>
      </w:r>
      <w:r w:rsidRPr="00A756E1">
        <w:rPr>
          <w:rFonts w:cs="Times New Roman"/>
          <w:sz w:val="24"/>
          <w:szCs w:val="24"/>
        </w:rPr>
        <w:t>R2 Agency § 195</w:t>
      </w:r>
      <w:r>
        <w:rPr>
          <w:rFonts w:cs="Times New Roman"/>
          <w:sz w:val="24"/>
          <w:szCs w:val="24"/>
        </w:rPr>
        <w:t>.</w:t>
      </w:r>
    </w:p>
    <w:p w14:paraId="07329E52" w14:textId="05D1994C" w:rsidR="00095025" w:rsidRPr="00F4769E" w:rsidRDefault="004E26A2" w:rsidP="00F4769E">
      <w:pPr>
        <w:pStyle w:val="ListParagraph"/>
        <w:numPr>
          <w:ilvl w:val="3"/>
          <w:numId w:val="5"/>
        </w:numPr>
        <w:rPr>
          <w:rFonts w:cs="Times New Roman"/>
          <w:sz w:val="24"/>
          <w:szCs w:val="24"/>
        </w:rPr>
      </w:pPr>
      <w:r w:rsidRPr="00443F62">
        <w:rPr>
          <w:rFonts w:cs="Times New Roman"/>
          <w:sz w:val="24"/>
          <w:szCs w:val="24"/>
        </w:rPr>
        <w:t>R3 Agency (</w:t>
      </w:r>
      <w:r w:rsidR="0051544E">
        <w:rPr>
          <w:rFonts w:cs="Times New Roman"/>
          <w:sz w:val="24"/>
          <w:szCs w:val="24"/>
        </w:rPr>
        <w:t>purports to adopt</w:t>
      </w:r>
      <w:r w:rsidRPr="00443F62">
        <w:rPr>
          <w:rFonts w:cs="Times New Roman"/>
          <w:sz w:val="24"/>
          <w:szCs w:val="24"/>
        </w:rPr>
        <w:t xml:space="preserve"> inherent agency power</w:t>
      </w:r>
      <w:r w:rsidR="0051544E">
        <w:rPr>
          <w:rFonts w:cs="Times New Roman"/>
          <w:sz w:val="24"/>
          <w:szCs w:val="24"/>
        </w:rPr>
        <w:t xml:space="preserve"> but actually rejects it)</w:t>
      </w:r>
      <w:r w:rsidRPr="00443F62">
        <w:rPr>
          <w:rFonts w:cs="Times New Roman"/>
          <w:sz w:val="24"/>
          <w:szCs w:val="24"/>
        </w:rPr>
        <w:t xml:space="preserve"> </w:t>
      </w:r>
      <w:r w:rsidR="00095025" w:rsidRPr="00443F62">
        <w:rPr>
          <w:rFonts w:cs="Times New Roman"/>
          <w:sz w:val="24"/>
          <w:szCs w:val="24"/>
        </w:rPr>
        <w:t>§ 2.06 Liability of Undisclosed Principal</w:t>
      </w:r>
      <w:r w:rsidR="00F4769E">
        <w:rPr>
          <w:rFonts w:cs="Times New Roman"/>
          <w:sz w:val="24"/>
          <w:szCs w:val="24"/>
        </w:rPr>
        <w:t xml:space="preserve">. </w:t>
      </w:r>
      <w:r w:rsidR="00095025" w:rsidRPr="00F4769E">
        <w:rPr>
          <w:rFonts w:cs="Times New Roman"/>
          <w:sz w:val="24"/>
          <w:szCs w:val="24"/>
        </w:rPr>
        <w:t xml:space="preserve">“(1) An undisclosed principal is subject to liability to a third party who is justifiably induced to make a detrimental change in position by an agent acting on the principal's behalf and without actual authority if the principal, </w:t>
      </w:r>
      <w:r w:rsidR="00095025" w:rsidRPr="00F4769E">
        <w:rPr>
          <w:rFonts w:cs="Times New Roman"/>
          <w:sz w:val="24"/>
          <w:szCs w:val="24"/>
          <w:u w:val="single"/>
        </w:rPr>
        <w:t>having notice of the agent's conduct and that it might induce others to change their positions</w:t>
      </w:r>
      <w:r w:rsidR="00095025" w:rsidRPr="00F4769E">
        <w:rPr>
          <w:rFonts w:cs="Times New Roman"/>
          <w:sz w:val="24"/>
          <w:szCs w:val="24"/>
        </w:rPr>
        <w:t>, did not take reasonable steps to notify them of the facts.”</w:t>
      </w:r>
    </w:p>
    <w:p w14:paraId="65CCA344" w14:textId="77777777" w:rsidR="00095025" w:rsidRPr="001C65D9" w:rsidRDefault="00095025" w:rsidP="00095025">
      <w:pPr>
        <w:pStyle w:val="ListParagraph"/>
        <w:numPr>
          <w:ilvl w:val="2"/>
          <w:numId w:val="5"/>
        </w:numPr>
        <w:rPr>
          <w:rFonts w:cs="Times New Roman"/>
          <w:b/>
          <w:i/>
          <w:sz w:val="24"/>
          <w:szCs w:val="24"/>
        </w:rPr>
      </w:pPr>
      <w:r w:rsidRPr="001C65D9">
        <w:rPr>
          <w:rFonts w:cs="Times New Roman"/>
          <w:b/>
          <w:i/>
          <w:sz w:val="24"/>
          <w:szCs w:val="24"/>
        </w:rPr>
        <w:t>Watteau v. Fenwick (Queen’s Bench 1892)</w:t>
      </w:r>
    </w:p>
    <w:p w14:paraId="76A065E1" w14:textId="77777777" w:rsidR="00095025" w:rsidRPr="00443F62" w:rsidRDefault="00095025" w:rsidP="00095025">
      <w:pPr>
        <w:pStyle w:val="ListParagraph"/>
        <w:numPr>
          <w:ilvl w:val="3"/>
          <w:numId w:val="5"/>
        </w:numPr>
        <w:rPr>
          <w:rFonts w:cs="Times New Roman"/>
          <w:sz w:val="24"/>
          <w:szCs w:val="24"/>
        </w:rPr>
      </w:pPr>
      <w:r w:rsidRPr="00443F62">
        <w:rPr>
          <w:rFonts w:cs="Times New Roman"/>
          <w:sz w:val="24"/>
          <w:szCs w:val="24"/>
        </w:rPr>
        <w:t xml:space="preserve">Synopsis: Watteau (P) sold goods to a pub manager, Humble, under the belief that Humble was actually the pub owner. P learned that Fenwick (D) was the actual owner and sought to collect from D for the unpaid balance of goods purchased by Humble. </w:t>
      </w:r>
      <w:r w:rsidR="004E26A2" w:rsidRPr="00443F62">
        <w:rPr>
          <w:rFonts w:cs="Times New Roman"/>
          <w:sz w:val="24"/>
          <w:szCs w:val="24"/>
        </w:rPr>
        <w:t xml:space="preserve">D had told Humble to only buy those goods, (cigars and Bovril) from D. </w:t>
      </w:r>
      <w:r w:rsidRPr="00443F62">
        <w:rPr>
          <w:rFonts w:cs="Times New Roman"/>
          <w:sz w:val="24"/>
          <w:szCs w:val="24"/>
        </w:rPr>
        <w:t xml:space="preserve">County Court </w:t>
      </w:r>
      <w:r w:rsidR="004E26A2" w:rsidRPr="00443F62">
        <w:rPr>
          <w:rFonts w:cs="Times New Roman"/>
          <w:sz w:val="24"/>
          <w:szCs w:val="24"/>
        </w:rPr>
        <w:t xml:space="preserve">still </w:t>
      </w:r>
      <w:r w:rsidRPr="00443F62">
        <w:rPr>
          <w:rFonts w:cs="Times New Roman"/>
          <w:sz w:val="24"/>
          <w:szCs w:val="24"/>
        </w:rPr>
        <w:t xml:space="preserve">found D liable. Queen’s Bench affirmed, because </w:t>
      </w:r>
      <w:r w:rsidRPr="007E4C54">
        <w:rPr>
          <w:rFonts w:cs="Times New Roman"/>
          <w:sz w:val="24"/>
          <w:szCs w:val="24"/>
          <w:u w:val="single"/>
        </w:rPr>
        <w:t>Humble was acting with an authority that was inherently reasonable for an agent in that position (cigars were of the type that would usually be supplied to such an establishment</w:t>
      </w:r>
      <w:r w:rsidRPr="00443F62">
        <w:rPr>
          <w:rFonts w:cs="Times New Roman"/>
          <w:sz w:val="24"/>
          <w:szCs w:val="24"/>
        </w:rPr>
        <w:t>). The situation is analogous to a partnership wherein one partner is silent but is still liable for actions of the partnership as a whole.</w:t>
      </w:r>
    </w:p>
    <w:p w14:paraId="02716473" w14:textId="77777777" w:rsidR="00095025" w:rsidRDefault="00095025" w:rsidP="00095025">
      <w:pPr>
        <w:pStyle w:val="ListParagraph"/>
        <w:numPr>
          <w:ilvl w:val="3"/>
          <w:numId w:val="5"/>
        </w:numPr>
        <w:rPr>
          <w:rFonts w:cs="Times New Roman"/>
          <w:sz w:val="24"/>
          <w:szCs w:val="24"/>
        </w:rPr>
      </w:pPr>
      <w:r w:rsidRPr="00443F62">
        <w:rPr>
          <w:rFonts w:cs="Times New Roman"/>
          <w:sz w:val="24"/>
          <w:szCs w:val="24"/>
        </w:rPr>
        <w:lastRenderedPageBreak/>
        <w:t>Tool: An undisclosed principal can be held liable for the actions of an agent who is acting with an authority that is reasonable for a person in the agent’s position regardless of whether the agent has the actual authority to do so.</w:t>
      </w:r>
    </w:p>
    <w:p w14:paraId="53273F0E" w14:textId="5CD71AFE" w:rsidR="003C0A28" w:rsidRPr="00443F62" w:rsidRDefault="003C0A28" w:rsidP="00400AD6">
      <w:pPr>
        <w:pStyle w:val="Heading3"/>
        <w:numPr>
          <w:ilvl w:val="1"/>
          <w:numId w:val="5"/>
        </w:numPr>
      </w:pPr>
      <w:r w:rsidRPr="00443F62">
        <w:t>Ratification</w:t>
      </w:r>
    </w:p>
    <w:p w14:paraId="750B2063" w14:textId="188419DD" w:rsidR="00B613E6" w:rsidRPr="00443F62" w:rsidRDefault="00C22E4C" w:rsidP="00B613E6">
      <w:pPr>
        <w:pStyle w:val="ListParagraph"/>
        <w:numPr>
          <w:ilvl w:val="2"/>
          <w:numId w:val="5"/>
        </w:numPr>
        <w:rPr>
          <w:rFonts w:cs="Times New Roman"/>
          <w:sz w:val="24"/>
          <w:szCs w:val="24"/>
        </w:rPr>
      </w:pPr>
      <w:r>
        <w:rPr>
          <w:rFonts w:cs="Times New Roman"/>
          <w:szCs w:val="24"/>
        </w:rPr>
        <w:t xml:space="preserve">General </w:t>
      </w:r>
      <w:r w:rsidR="0032331E">
        <w:rPr>
          <w:rFonts w:cs="Times New Roman"/>
          <w:szCs w:val="24"/>
        </w:rPr>
        <w:t>Rule</w:t>
      </w:r>
    </w:p>
    <w:p w14:paraId="46E65C8B" w14:textId="77777777" w:rsidR="00B613E6" w:rsidRPr="00443F62" w:rsidRDefault="00B613E6" w:rsidP="00B613E6">
      <w:pPr>
        <w:pStyle w:val="ListParagraph"/>
        <w:numPr>
          <w:ilvl w:val="3"/>
          <w:numId w:val="5"/>
        </w:numPr>
        <w:rPr>
          <w:rFonts w:cs="Times New Roman"/>
          <w:sz w:val="24"/>
          <w:szCs w:val="24"/>
        </w:rPr>
      </w:pPr>
      <w:r w:rsidRPr="00443F62">
        <w:rPr>
          <w:rFonts w:cs="Times New Roman"/>
          <w:sz w:val="24"/>
          <w:szCs w:val="24"/>
        </w:rPr>
        <w:t xml:space="preserve">Ratification is “the affirmance by a person of a prior act which did not bind him but which was done or professedly done on his account, whereby the act…is given effect as if originally authorized by him.” R2 Agency § 82. </w:t>
      </w:r>
    </w:p>
    <w:p w14:paraId="0E790D9A" w14:textId="77777777" w:rsidR="00B613E6" w:rsidRPr="00443F62" w:rsidRDefault="00B613E6" w:rsidP="00B613E6">
      <w:pPr>
        <w:pStyle w:val="ListParagraph"/>
        <w:numPr>
          <w:ilvl w:val="3"/>
          <w:numId w:val="5"/>
        </w:numPr>
        <w:rPr>
          <w:rFonts w:cs="Times New Roman"/>
          <w:sz w:val="24"/>
          <w:szCs w:val="24"/>
        </w:rPr>
      </w:pPr>
      <w:r w:rsidRPr="00443F62">
        <w:rPr>
          <w:rFonts w:cs="Times New Roman"/>
          <w:sz w:val="24"/>
          <w:szCs w:val="24"/>
        </w:rPr>
        <w:t>A principal ratifies a contract when (</w:t>
      </w:r>
      <w:proofErr w:type="spellStart"/>
      <w:r w:rsidRPr="00443F62">
        <w:rPr>
          <w:rFonts w:cs="Times New Roman"/>
          <w:sz w:val="24"/>
          <w:szCs w:val="24"/>
        </w:rPr>
        <w:t>i</w:t>
      </w:r>
      <w:proofErr w:type="spellEnd"/>
      <w:r w:rsidRPr="00443F62">
        <w:rPr>
          <w:rFonts w:cs="Times New Roman"/>
          <w:sz w:val="24"/>
          <w:szCs w:val="24"/>
        </w:rPr>
        <w:t>) someone (who may or may not have been an agent) purports to act on behalf of the principal; (ii) that principal could have authorized the person’s actions but did not (§ 84); and (iii) upon learning of the actions, the principal either (a) indicates that he will treat them as having been authorized or (b) does something that makes sense only if he decided to treat them as authorized (§ 83).</w:t>
      </w:r>
    </w:p>
    <w:p w14:paraId="550B7CE6" w14:textId="77777777" w:rsidR="00B613E6" w:rsidRPr="00443F62" w:rsidRDefault="00B613E6" w:rsidP="00B613E6">
      <w:pPr>
        <w:pStyle w:val="ListParagraph"/>
        <w:numPr>
          <w:ilvl w:val="3"/>
          <w:numId w:val="5"/>
        </w:numPr>
        <w:rPr>
          <w:rFonts w:cs="Times New Roman"/>
          <w:sz w:val="24"/>
          <w:szCs w:val="24"/>
        </w:rPr>
      </w:pPr>
      <w:r w:rsidRPr="00443F62">
        <w:rPr>
          <w:rFonts w:cs="Times New Roman"/>
          <w:sz w:val="24"/>
          <w:szCs w:val="24"/>
        </w:rPr>
        <w:t>“</w:t>
      </w:r>
      <w:proofErr w:type="gramStart"/>
      <w:r w:rsidRPr="00443F62">
        <w:rPr>
          <w:rFonts w:cs="Times New Roman"/>
          <w:sz w:val="24"/>
          <w:szCs w:val="24"/>
        </w:rPr>
        <w:t>ratify</w:t>
      </w:r>
      <w:proofErr w:type="gramEnd"/>
      <w:r w:rsidRPr="00443F62">
        <w:rPr>
          <w:rFonts w:cs="Times New Roman"/>
          <w:sz w:val="24"/>
          <w:szCs w:val="24"/>
        </w:rPr>
        <w:t xml:space="preserve">” v. “adopt” – If requirement “ii,” is not met, then principal cannot ratify after the fact  but can only “adopt” the contract. Ratification relates back to the original contractual date while adoption generates a new contract that dates from the time the principal adopted it. If the date of the contract matters, the two doctrines will yield different results. R2d § 84 </w:t>
      </w:r>
      <w:proofErr w:type="spellStart"/>
      <w:r w:rsidRPr="00443F62">
        <w:rPr>
          <w:rFonts w:cs="Times New Roman"/>
          <w:sz w:val="24"/>
          <w:szCs w:val="24"/>
        </w:rPr>
        <w:t>cmt</w:t>
      </w:r>
      <w:proofErr w:type="spellEnd"/>
      <w:r w:rsidRPr="00443F62">
        <w:rPr>
          <w:rFonts w:cs="Times New Roman"/>
          <w:sz w:val="24"/>
          <w:szCs w:val="24"/>
        </w:rPr>
        <w:t xml:space="preserve">. d. </w:t>
      </w:r>
    </w:p>
    <w:p w14:paraId="6F674508" w14:textId="5ED7D144" w:rsidR="00BF6492" w:rsidRPr="00C22E4C" w:rsidRDefault="00C22E4C" w:rsidP="00C22E4C">
      <w:pPr>
        <w:pStyle w:val="ListParagraph"/>
        <w:numPr>
          <w:ilvl w:val="2"/>
          <w:numId w:val="5"/>
        </w:numPr>
        <w:rPr>
          <w:rFonts w:cs="Times New Roman"/>
          <w:sz w:val="24"/>
          <w:szCs w:val="24"/>
        </w:rPr>
      </w:pPr>
      <w:r>
        <w:rPr>
          <w:rFonts w:cs="Times New Roman"/>
          <w:sz w:val="24"/>
          <w:szCs w:val="24"/>
        </w:rPr>
        <w:t xml:space="preserve">Full Knowledge of All Material Circumstances – </w:t>
      </w:r>
      <w:proofErr w:type="spellStart"/>
      <w:r w:rsidR="009C19B6" w:rsidRPr="00C22E4C">
        <w:rPr>
          <w:rFonts w:cs="Times New Roman"/>
          <w:b/>
          <w:i/>
          <w:sz w:val="24"/>
          <w:szCs w:val="24"/>
        </w:rPr>
        <w:t>Botticello</w:t>
      </w:r>
      <w:proofErr w:type="spellEnd"/>
      <w:r w:rsidR="009C19B6" w:rsidRPr="00C22E4C">
        <w:rPr>
          <w:rFonts w:cs="Times New Roman"/>
          <w:b/>
          <w:i/>
          <w:sz w:val="24"/>
          <w:szCs w:val="24"/>
        </w:rPr>
        <w:t xml:space="preserve"> v. </w:t>
      </w:r>
      <w:proofErr w:type="spellStart"/>
      <w:r w:rsidR="009C19B6" w:rsidRPr="00C22E4C">
        <w:rPr>
          <w:rFonts w:cs="Times New Roman"/>
          <w:b/>
          <w:i/>
          <w:sz w:val="24"/>
          <w:szCs w:val="24"/>
        </w:rPr>
        <w:t>Stefanovicz</w:t>
      </w:r>
      <w:proofErr w:type="spellEnd"/>
      <w:r w:rsidR="009C19B6" w:rsidRPr="00C22E4C">
        <w:rPr>
          <w:rFonts w:cs="Times New Roman"/>
          <w:b/>
          <w:i/>
          <w:sz w:val="24"/>
          <w:szCs w:val="24"/>
        </w:rPr>
        <w:t xml:space="preserve"> (Conn. 1979)</w:t>
      </w:r>
    </w:p>
    <w:p w14:paraId="67D040CF" w14:textId="77777777" w:rsidR="009C19B6" w:rsidRPr="00443F62" w:rsidRDefault="009C19B6" w:rsidP="00C22E4C">
      <w:pPr>
        <w:pStyle w:val="ListParagraph"/>
        <w:numPr>
          <w:ilvl w:val="3"/>
          <w:numId w:val="5"/>
        </w:numPr>
        <w:rPr>
          <w:rFonts w:cs="Times New Roman"/>
          <w:sz w:val="24"/>
          <w:szCs w:val="24"/>
        </w:rPr>
      </w:pPr>
      <w:r w:rsidRPr="00443F62">
        <w:rPr>
          <w:rFonts w:cs="Times New Roman"/>
          <w:sz w:val="24"/>
          <w:szCs w:val="24"/>
        </w:rPr>
        <w:t xml:space="preserve">Synopsis: Anthony </w:t>
      </w:r>
      <w:proofErr w:type="spellStart"/>
      <w:r w:rsidRPr="00443F62">
        <w:rPr>
          <w:rFonts w:cs="Times New Roman"/>
          <w:sz w:val="24"/>
          <w:szCs w:val="24"/>
        </w:rPr>
        <w:t>Botticello</w:t>
      </w:r>
      <w:proofErr w:type="spellEnd"/>
      <w:r w:rsidRPr="00443F62">
        <w:rPr>
          <w:rFonts w:cs="Times New Roman"/>
          <w:sz w:val="24"/>
          <w:szCs w:val="24"/>
        </w:rPr>
        <w:t xml:space="preserve"> (P) entered a real estate leasing agreement with an option to buy with Walter </w:t>
      </w:r>
      <w:proofErr w:type="spellStart"/>
      <w:r w:rsidRPr="00443F62">
        <w:rPr>
          <w:rFonts w:cs="Times New Roman"/>
          <w:sz w:val="24"/>
          <w:szCs w:val="24"/>
        </w:rPr>
        <w:t>Stefanovicz</w:t>
      </w:r>
      <w:proofErr w:type="spellEnd"/>
      <w:r w:rsidRPr="00443F62">
        <w:rPr>
          <w:rFonts w:cs="Times New Roman"/>
          <w:sz w:val="24"/>
          <w:szCs w:val="24"/>
        </w:rPr>
        <w:t xml:space="preserve"> (D). Plaintiff was unaware that Walter only had an undivided half interest in the real estate, while Mary </w:t>
      </w:r>
      <w:proofErr w:type="spellStart"/>
      <w:r w:rsidRPr="00443F62">
        <w:rPr>
          <w:rFonts w:cs="Times New Roman"/>
          <w:sz w:val="24"/>
          <w:szCs w:val="24"/>
        </w:rPr>
        <w:t>Stefanovicz</w:t>
      </w:r>
      <w:proofErr w:type="spellEnd"/>
      <w:r w:rsidRPr="00443F62">
        <w:rPr>
          <w:rFonts w:cs="Times New Roman"/>
          <w:sz w:val="24"/>
          <w:szCs w:val="24"/>
        </w:rPr>
        <w:t xml:space="preserve"> (D) owned the other half and refused to accept the terms of the agreement. Walter was not acting as an agent on behalf of Mary, because Mary did not agree to sell property and Walter had never signed as her agent before. </w:t>
      </w:r>
      <w:r w:rsidRPr="007E4C54">
        <w:rPr>
          <w:rFonts w:cs="Times New Roman"/>
          <w:sz w:val="24"/>
          <w:szCs w:val="24"/>
          <w:u w:val="single"/>
        </w:rPr>
        <w:t>A marriage cannot in itself prove an agency relationship, and no agency relationship is established by a joint ownership.</w:t>
      </w:r>
      <w:r w:rsidRPr="00443F62">
        <w:rPr>
          <w:rFonts w:cs="Times New Roman"/>
          <w:sz w:val="24"/>
          <w:szCs w:val="24"/>
        </w:rPr>
        <w:t xml:space="preserve"> </w:t>
      </w:r>
      <w:r w:rsidRPr="007E4C54">
        <w:rPr>
          <w:rFonts w:cs="Times New Roman"/>
          <w:sz w:val="24"/>
          <w:szCs w:val="24"/>
          <w:u w:val="single"/>
        </w:rPr>
        <w:t>One owner cannot bind the other owner through an agency relationship simply because they are joint owners. Just because Mary observed P occupying and improving the land doesn’t mean she ratified sale of the property. There was no ratification by Mary because she was unaware that the benefits she received from the agreement stemmed from a lease with an option to buy.</w:t>
      </w:r>
    </w:p>
    <w:p w14:paraId="3B533D9C" w14:textId="77777777" w:rsidR="009C19B6" w:rsidRPr="00443F62" w:rsidRDefault="009C19B6" w:rsidP="00C22E4C">
      <w:pPr>
        <w:pStyle w:val="ListParagraph"/>
        <w:numPr>
          <w:ilvl w:val="3"/>
          <w:numId w:val="5"/>
        </w:numPr>
        <w:rPr>
          <w:rFonts w:cs="Times New Roman"/>
          <w:sz w:val="24"/>
          <w:szCs w:val="24"/>
        </w:rPr>
      </w:pPr>
      <w:r w:rsidRPr="00443F62">
        <w:rPr>
          <w:rFonts w:cs="Times New Roman"/>
          <w:sz w:val="24"/>
          <w:szCs w:val="24"/>
        </w:rPr>
        <w:t>Tool:</w:t>
      </w:r>
    </w:p>
    <w:p w14:paraId="036F5F8B" w14:textId="77777777" w:rsidR="009C19B6" w:rsidRPr="00443F62" w:rsidRDefault="009C19B6" w:rsidP="00C22E4C">
      <w:pPr>
        <w:pStyle w:val="ListParagraph"/>
        <w:numPr>
          <w:ilvl w:val="4"/>
          <w:numId w:val="5"/>
        </w:numPr>
        <w:rPr>
          <w:rFonts w:cs="Times New Roman"/>
          <w:sz w:val="24"/>
          <w:szCs w:val="24"/>
        </w:rPr>
      </w:pPr>
      <w:r w:rsidRPr="00443F62">
        <w:rPr>
          <w:rFonts w:cs="Times New Roman"/>
          <w:sz w:val="24"/>
          <w:szCs w:val="24"/>
        </w:rPr>
        <w:t xml:space="preserve">R2 Agency § 82. </w:t>
      </w:r>
    </w:p>
    <w:p w14:paraId="62B1111D" w14:textId="77777777" w:rsidR="009C19B6" w:rsidRPr="00443F62" w:rsidRDefault="009C19B6" w:rsidP="00C22E4C">
      <w:pPr>
        <w:pStyle w:val="ListParagraph"/>
        <w:numPr>
          <w:ilvl w:val="4"/>
          <w:numId w:val="5"/>
        </w:numPr>
        <w:rPr>
          <w:rFonts w:cs="Times New Roman"/>
          <w:sz w:val="24"/>
          <w:szCs w:val="24"/>
        </w:rPr>
      </w:pPr>
      <w:r w:rsidRPr="00443F62">
        <w:rPr>
          <w:rFonts w:cs="Times New Roman"/>
          <w:sz w:val="24"/>
          <w:szCs w:val="24"/>
        </w:rPr>
        <w:t xml:space="preserve">“Ratification requires ‘acceptance of the results of the act with an intent to ratify, and with </w:t>
      </w:r>
      <w:r w:rsidRPr="00C22E4C">
        <w:rPr>
          <w:rFonts w:cs="Times New Roman"/>
          <w:b/>
          <w:sz w:val="24"/>
          <w:szCs w:val="24"/>
          <w:u w:val="single"/>
        </w:rPr>
        <w:t>full knowledge of all the material circumstances</w:t>
      </w:r>
      <w:r w:rsidRPr="00443F62">
        <w:rPr>
          <w:rFonts w:cs="Times New Roman"/>
          <w:sz w:val="24"/>
          <w:szCs w:val="24"/>
        </w:rPr>
        <w:t>.’”</w:t>
      </w:r>
    </w:p>
    <w:p w14:paraId="3DEA7986" w14:textId="77777777" w:rsidR="009C19B6" w:rsidRPr="00443F62" w:rsidRDefault="009C19B6" w:rsidP="00C22E4C">
      <w:pPr>
        <w:pStyle w:val="ListParagraph"/>
        <w:numPr>
          <w:ilvl w:val="4"/>
          <w:numId w:val="5"/>
        </w:numPr>
        <w:rPr>
          <w:rFonts w:cs="Times New Roman"/>
          <w:sz w:val="24"/>
          <w:szCs w:val="24"/>
        </w:rPr>
      </w:pPr>
      <w:r w:rsidRPr="00443F62">
        <w:rPr>
          <w:rFonts w:cs="Times New Roman"/>
          <w:sz w:val="24"/>
          <w:szCs w:val="24"/>
        </w:rPr>
        <w:t>“If the original transaction was not purported to be done on account of the principal, the fact that the principal receives its proceeds does not make him a party to it.” R2 Agency § 98.</w:t>
      </w:r>
    </w:p>
    <w:p w14:paraId="3409F73A" w14:textId="5E486C2F" w:rsidR="003C0A28" w:rsidRPr="00443F62" w:rsidRDefault="003C0A28" w:rsidP="00400AD6">
      <w:pPr>
        <w:pStyle w:val="Heading3"/>
        <w:numPr>
          <w:ilvl w:val="1"/>
          <w:numId w:val="5"/>
        </w:numPr>
      </w:pPr>
      <w:r w:rsidRPr="00443F62">
        <w:t>Estoppel</w:t>
      </w:r>
    </w:p>
    <w:p w14:paraId="5B5C1087" w14:textId="3FE4AE10" w:rsidR="00B613E6" w:rsidRPr="00442404" w:rsidRDefault="0032331E" w:rsidP="00442404">
      <w:pPr>
        <w:pStyle w:val="ListParagraph"/>
        <w:numPr>
          <w:ilvl w:val="2"/>
          <w:numId w:val="5"/>
        </w:numPr>
        <w:rPr>
          <w:rFonts w:cs="Times New Roman"/>
          <w:sz w:val="24"/>
          <w:szCs w:val="24"/>
        </w:rPr>
      </w:pPr>
      <w:r>
        <w:rPr>
          <w:rFonts w:cs="Times New Roman"/>
          <w:szCs w:val="24"/>
        </w:rPr>
        <w:t>Rule</w:t>
      </w:r>
      <w:r w:rsidR="00442404">
        <w:rPr>
          <w:rFonts w:cs="Times New Roman"/>
          <w:sz w:val="24"/>
          <w:szCs w:val="24"/>
        </w:rPr>
        <w:t xml:space="preserve"> – T</w:t>
      </w:r>
      <w:r w:rsidR="007A428F" w:rsidRPr="00442404">
        <w:rPr>
          <w:rFonts w:cs="Times New Roman"/>
          <w:sz w:val="24"/>
          <w:szCs w:val="24"/>
        </w:rPr>
        <w:t xml:space="preserve">he defendants either are estopped from denying liability or owe a legal duty they cannot avoid by contract (i.e. a duty they cannot “delegate”). </w:t>
      </w:r>
      <w:r w:rsidR="00B613E6" w:rsidRPr="00442404">
        <w:rPr>
          <w:rFonts w:cs="Times New Roman"/>
          <w:sz w:val="24"/>
          <w:szCs w:val="24"/>
        </w:rPr>
        <w:t>Can call it non-delegable duty/negligence/apparent authority in different cases – puts liability on party that seems on a gut level to be a sensible move.</w:t>
      </w:r>
    </w:p>
    <w:p w14:paraId="75F88856" w14:textId="7C8D32FE" w:rsidR="007A428F" w:rsidRPr="00443F62" w:rsidRDefault="00601AF0" w:rsidP="00442404">
      <w:pPr>
        <w:pStyle w:val="ListParagraph"/>
        <w:numPr>
          <w:ilvl w:val="2"/>
          <w:numId w:val="5"/>
        </w:numPr>
        <w:rPr>
          <w:rFonts w:cs="Times New Roman"/>
          <w:i/>
          <w:sz w:val="24"/>
          <w:szCs w:val="24"/>
        </w:rPr>
      </w:pPr>
      <w:r w:rsidRPr="000E116E">
        <w:rPr>
          <w:rFonts w:cs="Times New Roman"/>
          <w:b/>
          <w:sz w:val="24"/>
          <w:szCs w:val="24"/>
          <w:u w:val="single"/>
        </w:rPr>
        <w:t>Fraud</w:t>
      </w:r>
      <w:r w:rsidR="00080BD7">
        <w:rPr>
          <w:rFonts w:cs="Times New Roman"/>
          <w:sz w:val="24"/>
          <w:szCs w:val="24"/>
        </w:rPr>
        <w:t xml:space="preserve"> </w:t>
      </w:r>
      <w:r>
        <w:rPr>
          <w:rFonts w:cs="Times New Roman"/>
          <w:sz w:val="24"/>
          <w:szCs w:val="24"/>
        </w:rPr>
        <w:t xml:space="preserve">– </w:t>
      </w:r>
      <w:proofErr w:type="spellStart"/>
      <w:r w:rsidR="005A4E92" w:rsidRPr="00C22E4C">
        <w:rPr>
          <w:rFonts w:cs="Times New Roman"/>
          <w:b/>
          <w:i/>
          <w:sz w:val="24"/>
          <w:szCs w:val="24"/>
        </w:rPr>
        <w:t>Hoddeson</w:t>
      </w:r>
      <w:proofErr w:type="spellEnd"/>
      <w:r w:rsidR="005A4E92" w:rsidRPr="00C22E4C">
        <w:rPr>
          <w:rFonts w:cs="Times New Roman"/>
          <w:b/>
          <w:i/>
          <w:sz w:val="24"/>
          <w:szCs w:val="24"/>
        </w:rPr>
        <w:t xml:space="preserve"> v. </w:t>
      </w:r>
      <w:proofErr w:type="spellStart"/>
      <w:r w:rsidR="005A4E92" w:rsidRPr="00C22E4C">
        <w:rPr>
          <w:rFonts w:cs="Times New Roman"/>
          <w:b/>
          <w:i/>
          <w:sz w:val="24"/>
          <w:szCs w:val="24"/>
        </w:rPr>
        <w:t>Koos</w:t>
      </w:r>
      <w:proofErr w:type="spellEnd"/>
      <w:r w:rsidR="005A4E92" w:rsidRPr="00C22E4C">
        <w:rPr>
          <w:rFonts w:cs="Times New Roman"/>
          <w:b/>
          <w:i/>
          <w:sz w:val="24"/>
          <w:szCs w:val="24"/>
        </w:rPr>
        <w:t xml:space="preserve"> Bros. (NJ App. Div. 1957)</w:t>
      </w:r>
    </w:p>
    <w:p w14:paraId="5A934A3F" w14:textId="77777777" w:rsidR="005A4E92" w:rsidRPr="00443F62" w:rsidRDefault="005A4E92" w:rsidP="00442404">
      <w:pPr>
        <w:pStyle w:val="ListParagraph"/>
        <w:numPr>
          <w:ilvl w:val="3"/>
          <w:numId w:val="5"/>
        </w:numPr>
        <w:rPr>
          <w:rFonts w:cs="Times New Roman"/>
          <w:sz w:val="24"/>
          <w:szCs w:val="24"/>
        </w:rPr>
      </w:pPr>
      <w:r w:rsidRPr="00443F62">
        <w:rPr>
          <w:rFonts w:cs="Times New Roman"/>
          <w:sz w:val="24"/>
          <w:szCs w:val="24"/>
        </w:rPr>
        <w:t xml:space="preserve">Synopsis: </w:t>
      </w:r>
      <w:r w:rsidR="00E35E9F" w:rsidRPr="00443F62">
        <w:rPr>
          <w:rFonts w:cs="Times New Roman"/>
          <w:sz w:val="24"/>
          <w:szCs w:val="24"/>
        </w:rPr>
        <w:t xml:space="preserve">Joan </w:t>
      </w:r>
      <w:proofErr w:type="spellStart"/>
      <w:r w:rsidR="00E35E9F" w:rsidRPr="00443F62">
        <w:rPr>
          <w:rFonts w:cs="Times New Roman"/>
          <w:sz w:val="24"/>
          <w:szCs w:val="24"/>
        </w:rPr>
        <w:t>Hoddeson</w:t>
      </w:r>
      <w:proofErr w:type="spellEnd"/>
      <w:r w:rsidR="00E35E9F" w:rsidRPr="00443F62">
        <w:rPr>
          <w:rFonts w:cs="Times New Roman"/>
          <w:sz w:val="24"/>
          <w:szCs w:val="24"/>
        </w:rPr>
        <w:t xml:space="preserve"> (P) brought an action against </w:t>
      </w:r>
      <w:proofErr w:type="spellStart"/>
      <w:r w:rsidR="00E35E9F" w:rsidRPr="00443F62">
        <w:rPr>
          <w:rFonts w:cs="Times New Roman"/>
          <w:sz w:val="24"/>
          <w:szCs w:val="24"/>
        </w:rPr>
        <w:t>Koos</w:t>
      </w:r>
      <w:proofErr w:type="spellEnd"/>
      <w:r w:rsidR="00E35E9F" w:rsidRPr="00443F62">
        <w:rPr>
          <w:rFonts w:cs="Times New Roman"/>
          <w:sz w:val="24"/>
          <w:szCs w:val="24"/>
        </w:rPr>
        <w:t xml:space="preserve"> Bros. (D) when D refused to reimburse P for money she gave (no receipt) an alleged salesman imposter at D’s furniture store. Court reversed lower court decision and found that D can be estopped from asserting that no claim existed when there was no agency relationship established. D, as a furniture store, still owed a duty of care to P when she enters the store and has an expectation that she will be tended to by an actual salesperson rather than an impostor. Therefore, a new trial was ordered in order to allow P to establish a duty of care. It’s A TORT!</w:t>
      </w:r>
    </w:p>
    <w:p w14:paraId="5F94283A" w14:textId="77777777" w:rsidR="005A4E92" w:rsidRPr="00443F62" w:rsidRDefault="005A4E92" w:rsidP="00442404">
      <w:pPr>
        <w:pStyle w:val="ListParagraph"/>
        <w:numPr>
          <w:ilvl w:val="3"/>
          <w:numId w:val="5"/>
        </w:numPr>
        <w:rPr>
          <w:rFonts w:cs="Times New Roman"/>
          <w:sz w:val="24"/>
          <w:szCs w:val="24"/>
        </w:rPr>
      </w:pPr>
      <w:r w:rsidRPr="00443F62">
        <w:rPr>
          <w:rFonts w:cs="Times New Roman"/>
          <w:sz w:val="24"/>
          <w:szCs w:val="24"/>
        </w:rPr>
        <w:t xml:space="preserve">Tool: </w:t>
      </w:r>
    </w:p>
    <w:p w14:paraId="51D83500" w14:textId="77777777" w:rsidR="00E35E9F" w:rsidRPr="00443F62" w:rsidRDefault="00E35E9F" w:rsidP="00442404">
      <w:pPr>
        <w:pStyle w:val="ListParagraph"/>
        <w:numPr>
          <w:ilvl w:val="4"/>
          <w:numId w:val="5"/>
        </w:numPr>
        <w:rPr>
          <w:rFonts w:cs="Times New Roman"/>
          <w:sz w:val="24"/>
          <w:szCs w:val="24"/>
        </w:rPr>
      </w:pPr>
      <w:r w:rsidRPr="00443F62">
        <w:rPr>
          <w:rFonts w:cs="Times New Roman"/>
          <w:sz w:val="24"/>
          <w:szCs w:val="24"/>
        </w:rPr>
        <w:lastRenderedPageBreak/>
        <w:t>Absent proof of an agency relationship, a party may still have a duty of care for the other party to ensure that the other party is not disadvantaged in dealing with the party.</w:t>
      </w:r>
    </w:p>
    <w:p w14:paraId="4C441477" w14:textId="77777777" w:rsidR="00442404" w:rsidRDefault="00442404" w:rsidP="00442404">
      <w:pPr>
        <w:pStyle w:val="ListParagraph"/>
        <w:numPr>
          <w:ilvl w:val="4"/>
          <w:numId w:val="5"/>
        </w:numPr>
        <w:rPr>
          <w:rFonts w:cs="Times New Roman"/>
          <w:sz w:val="24"/>
          <w:szCs w:val="24"/>
        </w:rPr>
      </w:pPr>
      <w:r>
        <w:rPr>
          <w:rFonts w:cs="Times New Roman"/>
          <w:sz w:val="24"/>
          <w:szCs w:val="24"/>
        </w:rPr>
        <w:t xml:space="preserve">Duty of care for stores includes minimizing risk of fraud on premises (like minimizing risk of slipping on banana peel even if independent contractor paid to clean). </w:t>
      </w:r>
    </w:p>
    <w:p w14:paraId="1CD92E6A" w14:textId="410AD328" w:rsidR="00E35E9F" w:rsidRPr="00443F62" w:rsidRDefault="00B928E9" w:rsidP="00442404">
      <w:pPr>
        <w:pStyle w:val="ListParagraph"/>
        <w:numPr>
          <w:ilvl w:val="2"/>
          <w:numId w:val="5"/>
        </w:numPr>
        <w:rPr>
          <w:rFonts w:cs="Times New Roman"/>
          <w:i/>
          <w:sz w:val="24"/>
          <w:szCs w:val="24"/>
        </w:rPr>
      </w:pPr>
      <w:r>
        <w:rPr>
          <w:rFonts w:cs="Times New Roman"/>
          <w:sz w:val="24"/>
          <w:szCs w:val="24"/>
        </w:rPr>
        <w:t>Inherently Dangerous</w:t>
      </w:r>
      <w:r w:rsidR="00C22E4C">
        <w:rPr>
          <w:rFonts w:cs="Times New Roman"/>
          <w:sz w:val="24"/>
          <w:szCs w:val="24"/>
        </w:rPr>
        <w:t xml:space="preserve"> </w:t>
      </w:r>
      <w:r>
        <w:rPr>
          <w:rFonts w:cs="Times New Roman"/>
          <w:sz w:val="24"/>
          <w:szCs w:val="24"/>
        </w:rPr>
        <w:t xml:space="preserve">and More </w:t>
      </w:r>
      <w:r w:rsidR="00601AF0">
        <w:rPr>
          <w:rFonts w:cs="Times New Roman"/>
          <w:sz w:val="24"/>
          <w:szCs w:val="24"/>
        </w:rPr>
        <w:t xml:space="preserve">– </w:t>
      </w:r>
      <w:r>
        <w:rPr>
          <w:rFonts w:cs="Times New Roman"/>
          <w:b/>
          <w:i/>
          <w:sz w:val="24"/>
          <w:szCs w:val="24"/>
        </w:rPr>
        <w:t xml:space="preserve">Majestic Realty Associates v. </w:t>
      </w:r>
      <w:proofErr w:type="spellStart"/>
      <w:r>
        <w:rPr>
          <w:rFonts w:cs="Times New Roman"/>
          <w:b/>
          <w:i/>
          <w:sz w:val="24"/>
          <w:szCs w:val="24"/>
        </w:rPr>
        <w:t>Toti</w:t>
      </w:r>
      <w:proofErr w:type="spellEnd"/>
      <w:r>
        <w:rPr>
          <w:rFonts w:cs="Times New Roman"/>
          <w:b/>
          <w:i/>
          <w:sz w:val="24"/>
          <w:szCs w:val="24"/>
        </w:rPr>
        <w:t xml:space="preserve"> Contracting</w:t>
      </w:r>
      <w:r w:rsidR="00E35E9F" w:rsidRPr="00C22E4C">
        <w:rPr>
          <w:rFonts w:cs="Times New Roman"/>
          <w:b/>
          <w:i/>
          <w:sz w:val="24"/>
          <w:szCs w:val="24"/>
        </w:rPr>
        <w:t xml:space="preserve"> (NJ 1959)</w:t>
      </w:r>
    </w:p>
    <w:p w14:paraId="52D646D0" w14:textId="77777777" w:rsidR="00E35E9F" w:rsidRPr="00442404" w:rsidRDefault="00E35E9F" w:rsidP="00442404">
      <w:pPr>
        <w:pStyle w:val="ListParagraph"/>
        <w:numPr>
          <w:ilvl w:val="3"/>
          <w:numId w:val="5"/>
        </w:numPr>
        <w:rPr>
          <w:rFonts w:cs="Times New Roman"/>
          <w:sz w:val="24"/>
          <w:szCs w:val="24"/>
          <w:u w:val="single"/>
        </w:rPr>
      </w:pPr>
      <w:r w:rsidRPr="00443F62">
        <w:rPr>
          <w:rFonts w:cs="Times New Roman"/>
          <w:sz w:val="24"/>
          <w:szCs w:val="24"/>
        </w:rPr>
        <w:t xml:space="preserve">Synopsis: Building owner Majestic Realty and tenant </w:t>
      </w:r>
      <w:proofErr w:type="spellStart"/>
      <w:r w:rsidRPr="00443F62">
        <w:rPr>
          <w:rFonts w:cs="Times New Roman"/>
          <w:sz w:val="24"/>
          <w:szCs w:val="24"/>
        </w:rPr>
        <w:t>Bohen’s</w:t>
      </w:r>
      <w:proofErr w:type="spellEnd"/>
      <w:r w:rsidRPr="00443F62">
        <w:rPr>
          <w:rFonts w:cs="Times New Roman"/>
          <w:sz w:val="24"/>
          <w:szCs w:val="24"/>
        </w:rPr>
        <w:t xml:space="preserve"> Inc. (Ps) brought an action against independent-contractor </w:t>
      </w:r>
      <w:proofErr w:type="spellStart"/>
      <w:r w:rsidRPr="00443F62">
        <w:rPr>
          <w:rFonts w:cs="Times New Roman"/>
          <w:sz w:val="24"/>
          <w:szCs w:val="24"/>
        </w:rPr>
        <w:t>Toti</w:t>
      </w:r>
      <w:proofErr w:type="spellEnd"/>
      <w:r w:rsidRPr="00443F62">
        <w:rPr>
          <w:rFonts w:cs="Times New Roman"/>
          <w:sz w:val="24"/>
          <w:szCs w:val="24"/>
        </w:rPr>
        <w:t xml:space="preserve"> Contracting and the Parking Authority of the City of Patterson, New Jersey (D’s) for the damage done to the property while Ds demolished an adjoining building. Court found Parking Authority is liable for </w:t>
      </w:r>
      <w:proofErr w:type="spellStart"/>
      <w:r w:rsidRPr="00443F62">
        <w:rPr>
          <w:rFonts w:cs="Times New Roman"/>
          <w:sz w:val="24"/>
          <w:szCs w:val="24"/>
        </w:rPr>
        <w:t>Toti’s</w:t>
      </w:r>
      <w:proofErr w:type="spellEnd"/>
      <w:r w:rsidRPr="00443F62">
        <w:rPr>
          <w:rFonts w:cs="Times New Roman"/>
          <w:sz w:val="24"/>
          <w:szCs w:val="24"/>
        </w:rPr>
        <w:t xml:space="preserve"> negligence because the </w:t>
      </w:r>
      <w:r w:rsidRPr="00442404">
        <w:rPr>
          <w:rFonts w:cs="Times New Roman"/>
          <w:sz w:val="24"/>
          <w:szCs w:val="24"/>
          <w:u w:val="single"/>
        </w:rPr>
        <w:t>demolition work was so inherently dangerous that a party cannot delegate the liability. Public policy dictates that the party hiring the contractor, although innocent of any direct negligence, should bear the burden of damages over a party that is completely innocent.</w:t>
      </w:r>
    </w:p>
    <w:p w14:paraId="01677D25" w14:textId="77777777" w:rsidR="00E35E9F" w:rsidRPr="00443F62" w:rsidRDefault="00E35E9F" w:rsidP="00442404">
      <w:pPr>
        <w:pStyle w:val="ListParagraph"/>
        <w:numPr>
          <w:ilvl w:val="3"/>
          <w:numId w:val="5"/>
        </w:numPr>
        <w:rPr>
          <w:rFonts w:cs="Times New Roman"/>
          <w:sz w:val="24"/>
          <w:szCs w:val="24"/>
        </w:rPr>
      </w:pPr>
      <w:r w:rsidRPr="00443F62">
        <w:rPr>
          <w:rFonts w:cs="Times New Roman"/>
          <w:sz w:val="24"/>
          <w:szCs w:val="24"/>
        </w:rPr>
        <w:t>Tool:</w:t>
      </w:r>
    </w:p>
    <w:p w14:paraId="7A38B746" w14:textId="77777777" w:rsidR="00E35E9F" w:rsidRPr="00443F62" w:rsidRDefault="00E35E9F" w:rsidP="00442404">
      <w:pPr>
        <w:pStyle w:val="ListParagraph"/>
        <w:numPr>
          <w:ilvl w:val="4"/>
          <w:numId w:val="5"/>
        </w:numPr>
        <w:rPr>
          <w:rFonts w:cs="Times New Roman"/>
          <w:sz w:val="24"/>
          <w:szCs w:val="24"/>
        </w:rPr>
      </w:pPr>
      <w:r w:rsidRPr="00443F62">
        <w:rPr>
          <w:rFonts w:cs="Times New Roman"/>
          <w:sz w:val="24"/>
          <w:szCs w:val="24"/>
        </w:rPr>
        <w:t xml:space="preserve">Some actions are so </w:t>
      </w:r>
      <w:r w:rsidRPr="00BA250C">
        <w:rPr>
          <w:rFonts w:cs="Times New Roman"/>
          <w:sz w:val="24"/>
          <w:szCs w:val="24"/>
          <w:u w:val="single"/>
        </w:rPr>
        <w:t>inherently dangerous</w:t>
      </w:r>
      <w:r w:rsidRPr="00443F62">
        <w:rPr>
          <w:rFonts w:cs="Times New Roman"/>
          <w:sz w:val="24"/>
          <w:szCs w:val="24"/>
        </w:rPr>
        <w:t xml:space="preserve"> that a party cannot delegate their liability for the duty of care to another party.</w:t>
      </w:r>
    </w:p>
    <w:p w14:paraId="6CDBF988" w14:textId="77777777" w:rsidR="00E35E9F" w:rsidRPr="00443F62" w:rsidRDefault="00E35E9F" w:rsidP="00442404">
      <w:pPr>
        <w:pStyle w:val="ListParagraph"/>
        <w:numPr>
          <w:ilvl w:val="4"/>
          <w:numId w:val="5"/>
        </w:numPr>
        <w:rPr>
          <w:rFonts w:cs="Times New Roman"/>
          <w:sz w:val="24"/>
          <w:szCs w:val="24"/>
        </w:rPr>
      </w:pPr>
      <w:r w:rsidRPr="00443F62">
        <w:rPr>
          <w:rFonts w:cs="Times New Roman"/>
          <w:sz w:val="24"/>
          <w:szCs w:val="24"/>
        </w:rPr>
        <w:t>“Ordinarily where a person engages a contractor, who conducts an independent business by means of his own employees, to do work not in itself a nuisance (as our cases put it), he is not liable for the negligent acts of the contractor in the performance of the contract…Certain exceptions have come to be accepted, i.e., (a) where the landowner retains control of the manner and means of the doing of the work which is the subject of the contract; (b) where he engages an incompetent contractor, or (c) where, as noted in the statement of the general rule, the activity contracted for constitutes a nuisance per se…”</w:t>
      </w:r>
    </w:p>
    <w:p w14:paraId="4E00BA96" w14:textId="614D5D72" w:rsidR="003C0A28" w:rsidRPr="00443F62" w:rsidRDefault="003C0A28" w:rsidP="00400AD6">
      <w:pPr>
        <w:pStyle w:val="Heading2"/>
        <w:numPr>
          <w:ilvl w:val="0"/>
          <w:numId w:val="5"/>
        </w:numPr>
      </w:pPr>
      <w:r w:rsidRPr="00443F62">
        <w:t>Tort Liability</w:t>
      </w:r>
    </w:p>
    <w:p w14:paraId="224D3A2B" w14:textId="44EA2B43" w:rsidR="007F01C2" w:rsidRPr="00601AF0" w:rsidRDefault="007F01C2" w:rsidP="00601AF0">
      <w:pPr>
        <w:pStyle w:val="Heading3"/>
        <w:numPr>
          <w:ilvl w:val="1"/>
          <w:numId w:val="5"/>
        </w:numPr>
      </w:pPr>
      <w:proofErr w:type="spellStart"/>
      <w:r w:rsidRPr="00601AF0">
        <w:rPr>
          <w:rStyle w:val="Heading3Char"/>
          <w:b/>
        </w:rPr>
        <w:t>Respondeat</w:t>
      </w:r>
      <w:proofErr w:type="spellEnd"/>
      <w:r w:rsidRPr="00601AF0">
        <w:rPr>
          <w:rStyle w:val="Heading3Char"/>
          <w:b/>
        </w:rPr>
        <w:t xml:space="preserve"> Superior</w:t>
      </w:r>
    </w:p>
    <w:p w14:paraId="5EEE601C" w14:textId="0F3559DF" w:rsidR="00BA3D79" w:rsidRDefault="00BA3D79" w:rsidP="00BA3D79">
      <w:pPr>
        <w:pStyle w:val="ListParagraph"/>
        <w:numPr>
          <w:ilvl w:val="2"/>
          <w:numId w:val="5"/>
        </w:numPr>
      </w:pPr>
      <w:r w:rsidRPr="00BA3D79">
        <w:t xml:space="preserve">“A master is subject to liability for the torts of his </w:t>
      </w:r>
      <w:r w:rsidRPr="001C65D9">
        <w:rPr>
          <w:u w:val="single"/>
        </w:rPr>
        <w:t>servants</w:t>
      </w:r>
      <w:r w:rsidRPr="00BA3D79">
        <w:t xml:space="preserve"> committed while acting in the </w:t>
      </w:r>
      <w:r w:rsidRPr="001C65D9">
        <w:rPr>
          <w:u w:val="single"/>
        </w:rPr>
        <w:t>scope of their employment</w:t>
      </w:r>
      <w:r>
        <w:t>…”</w:t>
      </w:r>
      <w:r w:rsidRPr="00BA3D79">
        <w:t xml:space="preserve"> R2 Agency § 219</w:t>
      </w:r>
      <w:r w:rsidR="001C65D9">
        <w:t xml:space="preserve">; </w:t>
      </w:r>
      <w:proofErr w:type="spellStart"/>
      <w:r w:rsidR="001C65D9" w:rsidRPr="001C65D9">
        <w:rPr>
          <w:b/>
          <w:i/>
        </w:rPr>
        <w:t>Arguello</w:t>
      </w:r>
      <w:proofErr w:type="spellEnd"/>
      <w:r w:rsidR="001C65D9">
        <w:t>.</w:t>
      </w:r>
    </w:p>
    <w:p w14:paraId="658B9E5B" w14:textId="109D61E4" w:rsidR="00BA3D79" w:rsidRDefault="00BA3D79" w:rsidP="00BA3D79">
      <w:pPr>
        <w:pStyle w:val="Heading3"/>
        <w:numPr>
          <w:ilvl w:val="1"/>
          <w:numId w:val="5"/>
        </w:numPr>
      </w:pPr>
      <w:r>
        <w:t>Servant</w:t>
      </w:r>
    </w:p>
    <w:p w14:paraId="4276661F" w14:textId="3FA16FC5" w:rsidR="0012001B" w:rsidRPr="00443F62" w:rsidRDefault="0032331E" w:rsidP="00BA3D79">
      <w:pPr>
        <w:pStyle w:val="ListParagraph"/>
        <w:numPr>
          <w:ilvl w:val="2"/>
          <w:numId w:val="5"/>
        </w:numPr>
      </w:pPr>
      <w:r>
        <w:t>Rule</w:t>
      </w:r>
      <w:r w:rsidR="00BA3D79">
        <w:t xml:space="preserve"> – </w:t>
      </w:r>
      <w:r w:rsidR="007F01C2" w:rsidRPr="00443F62">
        <w:t>R</w:t>
      </w:r>
      <w:r w:rsidR="007F01C2">
        <w:t>2 Agency § 220</w:t>
      </w:r>
    </w:p>
    <w:p w14:paraId="53388AB4" w14:textId="47D8D2F8" w:rsidR="0012001B" w:rsidRPr="001C65D9" w:rsidRDefault="0012001B" w:rsidP="007F01C2">
      <w:pPr>
        <w:pStyle w:val="ListParagraph"/>
        <w:ind w:left="1080"/>
        <w:rPr>
          <w:rFonts w:cs="Times New Roman"/>
          <w:b/>
          <w:i/>
          <w:sz w:val="24"/>
          <w:szCs w:val="24"/>
          <w:u w:val="single"/>
        </w:rPr>
      </w:pPr>
      <w:r w:rsidRPr="000D09F9">
        <w:rPr>
          <w:rFonts w:cs="Times New Roman"/>
          <w:i/>
          <w:sz w:val="24"/>
          <w:szCs w:val="24"/>
        </w:rPr>
        <w:t xml:space="preserve">(1) A servant is a person employed to perform services in the affairs of another and who with respect to the physical conduct in the performance of the services is </w:t>
      </w:r>
      <w:r w:rsidRPr="001C65D9">
        <w:rPr>
          <w:rFonts w:cs="Times New Roman"/>
          <w:b/>
          <w:i/>
          <w:sz w:val="24"/>
          <w:szCs w:val="24"/>
          <w:u w:val="single"/>
        </w:rPr>
        <w:t>subject to the other's control or right to control.</w:t>
      </w:r>
    </w:p>
    <w:p w14:paraId="3B2DF442" w14:textId="28E95EBA" w:rsidR="0012001B" w:rsidRPr="000D09F9" w:rsidRDefault="0012001B" w:rsidP="007F01C2">
      <w:pPr>
        <w:pStyle w:val="ListParagraph"/>
        <w:ind w:left="1080"/>
        <w:rPr>
          <w:rFonts w:cs="Times New Roman"/>
          <w:i/>
          <w:sz w:val="24"/>
          <w:szCs w:val="24"/>
        </w:rPr>
      </w:pPr>
      <w:r w:rsidRPr="000D09F9">
        <w:rPr>
          <w:rFonts w:cs="Times New Roman"/>
          <w:i/>
          <w:sz w:val="24"/>
          <w:szCs w:val="24"/>
        </w:rPr>
        <w:t xml:space="preserve">(2) </w:t>
      </w:r>
      <w:r w:rsidR="001C65D9">
        <w:rPr>
          <w:rFonts w:cs="Times New Roman"/>
          <w:i/>
          <w:sz w:val="24"/>
          <w:szCs w:val="24"/>
        </w:rPr>
        <w:t>[Factors:]</w:t>
      </w:r>
    </w:p>
    <w:p w14:paraId="6D004BC9" w14:textId="77777777" w:rsidR="0012001B" w:rsidRPr="000D09F9" w:rsidRDefault="0012001B" w:rsidP="007F01C2">
      <w:pPr>
        <w:pStyle w:val="ListParagraph"/>
        <w:ind w:left="1440"/>
        <w:rPr>
          <w:rFonts w:cs="Times New Roman"/>
          <w:i/>
          <w:sz w:val="24"/>
          <w:szCs w:val="24"/>
        </w:rPr>
      </w:pPr>
      <w:r w:rsidRPr="000D09F9">
        <w:rPr>
          <w:rFonts w:cs="Times New Roman"/>
          <w:i/>
          <w:sz w:val="24"/>
          <w:szCs w:val="24"/>
        </w:rPr>
        <w:t xml:space="preserve">(a) </w:t>
      </w:r>
      <w:proofErr w:type="gramStart"/>
      <w:r w:rsidRPr="001C65D9">
        <w:rPr>
          <w:rFonts w:cs="Times New Roman"/>
          <w:b/>
          <w:i/>
          <w:sz w:val="24"/>
          <w:szCs w:val="24"/>
          <w:u w:val="single"/>
        </w:rPr>
        <w:t>the</w:t>
      </w:r>
      <w:proofErr w:type="gramEnd"/>
      <w:r w:rsidRPr="001C65D9">
        <w:rPr>
          <w:rFonts w:cs="Times New Roman"/>
          <w:b/>
          <w:i/>
          <w:sz w:val="24"/>
          <w:szCs w:val="24"/>
          <w:u w:val="single"/>
        </w:rPr>
        <w:t xml:space="preserve"> extent of control </w:t>
      </w:r>
      <w:r w:rsidRPr="000D09F9">
        <w:rPr>
          <w:rFonts w:cs="Times New Roman"/>
          <w:i/>
          <w:sz w:val="24"/>
          <w:szCs w:val="24"/>
        </w:rPr>
        <w:t>which, by the agreement, the master may exercise over the details of the work;</w:t>
      </w:r>
    </w:p>
    <w:p w14:paraId="3F68469F" w14:textId="77777777" w:rsidR="0012001B" w:rsidRPr="000D09F9" w:rsidRDefault="0012001B" w:rsidP="007F01C2">
      <w:pPr>
        <w:pStyle w:val="ListParagraph"/>
        <w:ind w:left="1440"/>
        <w:rPr>
          <w:rFonts w:cs="Times New Roman"/>
          <w:i/>
          <w:sz w:val="24"/>
          <w:szCs w:val="24"/>
        </w:rPr>
      </w:pPr>
      <w:r w:rsidRPr="000D09F9">
        <w:rPr>
          <w:rFonts w:cs="Times New Roman"/>
          <w:i/>
          <w:sz w:val="24"/>
          <w:szCs w:val="24"/>
        </w:rPr>
        <w:t xml:space="preserve">(b) </w:t>
      </w:r>
      <w:proofErr w:type="gramStart"/>
      <w:r w:rsidRPr="000D09F9">
        <w:rPr>
          <w:rFonts w:cs="Times New Roman"/>
          <w:i/>
          <w:sz w:val="24"/>
          <w:szCs w:val="24"/>
        </w:rPr>
        <w:t>whether</w:t>
      </w:r>
      <w:proofErr w:type="gramEnd"/>
      <w:r w:rsidRPr="000D09F9">
        <w:rPr>
          <w:rFonts w:cs="Times New Roman"/>
          <w:i/>
          <w:sz w:val="24"/>
          <w:szCs w:val="24"/>
        </w:rPr>
        <w:t xml:space="preserve"> or not the one employed is engaged in a distinct occupation or business;</w:t>
      </w:r>
    </w:p>
    <w:p w14:paraId="1E6A0B1E" w14:textId="77777777" w:rsidR="0012001B" w:rsidRPr="000D09F9" w:rsidRDefault="0012001B" w:rsidP="007F01C2">
      <w:pPr>
        <w:pStyle w:val="ListParagraph"/>
        <w:ind w:left="1440"/>
        <w:rPr>
          <w:rFonts w:cs="Times New Roman"/>
          <w:i/>
          <w:sz w:val="24"/>
          <w:szCs w:val="24"/>
        </w:rPr>
      </w:pPr>
      <w:r w:rsidRPr="000D09F9">
        <w:rPr>
          <w:rFonts w:cs="Times New Roman"/>
          <w:i/>
          <w:sz w:val="24"/>
          <w:szCs w:val="24"/>
        </w:rPr>
        <w:t xml:space="preserve">(c) </w:t>
      </w:r>
      <w:proofErr w:type="gramStart"/>
      <w:r w:rsidRPr="000D09F9">
        <w:rPr>
          <w:rFonts w:cs="Times New Roman"/>
          <w:i/>
          <w:sz w:val="24"/>
          <w:szCs w:val="24"/>
        </w:rPr>
        <w:t>the</w:t>
      </w:r>
      <w:proofErr w:type="gramEnd"/>
      <w:r w:rsidRPr="000D09F9">
        <w:rPr>
          <w:rFonts w:cs="Times New Roman"/>
          <w:i/>
          <w:sz w:val="24"/>
          <w:szCs w:val="24"/>
        </w:rPr>
        <w:t xml:space="preserve"> kind of occupation, with reference to whether, in the locality, the work is usually done under the direction of the employer or by a specialist without supervision;</w:t>
      </w:r>
    </w:p>
    <w:p w14:paraId="65395111" w14:textId="77777777" w:rsidR="0012001B" w:rsidRPr="000D09F9" w:rsidRDefault="0012001B" w:rsidP="007F01C2">
      <w:pPr>
        <w:pStyle w:val="ListParagraph"/>
        <w:ind w:left="1440"/>
        <w:rPr>
          <w:rFonts w:cs="Times New Roman"/>
          <w:i/>
          <w:sz w:val="24"/>
          <w:szCs w:val="24"/>
        </w:rPr>
      </w:pPr>
      <w:r w:rsidRPr="000D09F9">
        <w:rPr>
          <w:rFonts w:cs="Times New Roman"/>
          <w:i/>
          <w:sz w:val="24"/>
          <w:szCs w:val="24"/>
        </w:rPr>
        <w:t xml:space="preserve">(d) </w:t>
      </w:r>
      <w:proofErr w:type="gramStart"/>
      <w:r w:rsidRPr="000D09F9">
        <w:rPr>
          <w:rFonts w:cs="Times New Roman"/>
          <w:i/>
          <w:sz w:val="24"/>
          <w:szCs w:val="24"/>
        </w:rPr>
        <w:t>the</w:t>
      </w:r>
      <w:proofErr w:type="gramEnd"/>
      <w:r w:rsidRPr="000D09F9">
        <w:rPr>
          <w:rFonts w:cs="Times New Roman"/>
          <w:i/>
          <w:sz w:val="24"/>
          <w:szCs w:val="24"/>
        </w:rPr>
        <w:t xml:space="preserve"> skill required in the particular occupation;</w:t>
      </w:r>
    </w:p>
    <w:p w14:paraId="62E7EAD7" w14:textId="77777777" w:rsidR="0012001B" w:rsidRPr="000D09F9" w:rsidRDefault="0012001B" w:rsidP="007F01C2">
      <w:pPr>
        <w:pStyle w:val="ListParagraph"/>
        <w:ind w:left="1440"/>
        <w:rPr>
          <w:rFonts w:cs="Times New Roman"/>
          <w:i/>
          <w:sz w:val="24"/>
          <w:szCs w:val="24"/>
        </w:rPr>
      </w:pPr>
      <w:r w:rsidRPr="000D09F9">
        <w:rPr>
          <w:rFonts w:cs="Times New Roman"/>
          <w:i/>
          <w:sz w:val="24"/>
          <w:szCs w:val="24"/>
        </w:rPr>
        <w:t xml:space="preserve">(e) </w:t>
      </w:r>
      <w:proofErr w:type="gramStart"/>
      <w:r w:rsidRPr="000D09F9">
        <w:rPr>
          <w:rFonts w:cs="Times New Roman"/>
          <w:i/>
          <w:sz w:val="24"/>
          <w:szCs w:val="24"/>
        </w:rPr>
        <w:t>whether</w:t>
      </w:r>
      <w:proofErr w:type="gramEnd"/>
      <w:r w:rsidRPr="000D09F9">
        <w:rPr>
          <w:rFonts w:cs="Times New Roman"/>
          <w:i/>
          <w:sz w:val="24"/>
          <w:szCs w:val="24"/>
        </w:rPr>
        <w:t xml:space="preserve"> the employer or the workman supplies the instrumentalities, tools, and the place of work for the person doing the work;</w:t>
      </w:r>
    </w:p>
    <w:p w14:paraId="762928FF" w14:textId="77777777" w:rsidR="0012001B" w:rsidRPr="000D09F9" w:rsidRDefault="0012001B" w:rsidP="007F01C2">
      <w:pPr>
        <w:pStyle w:val="ListParagraph"/>
        <w:ind w:left="1440"/>
        <w:rPr>
          <w:rFonts w:cs="Times New Roman"/>
          <w:i/>
          <w:sz w:val="24"/>
          <w:szCs w:val="24"/>
        </w:rPr>
      </w:pPr>
      <w:r w:rsidRPr="000D09F9">
        <w:rPr>
          <w:rFonts w:cs="Times New Roman"/>
          <w:i/>
          <w:sz w:val="24"/>
          <w:szCs w:val="24"/>
        </w:rPr>
        <w:t xml:space="preserve">(f) </w:t>
      </w:r>
      <w:proofErr w:type="gramStart"/>
      <w:r w:rsidRPr="000D09F9">
        <w:rPr>
          <w:rFonts w:cs="Times New Roman"/>
          <w:i/>
          <w:sz w:val="24"/>
          <w:szCs w:val="24"/>
        </w:rPr>
        <w:t>the</w:t>
      </w:r>
      <w:proofErr w:type="gramEnd"/>
      <w:r w:rsidRPr="000D09F9">
        <w:rPr>
          <w:rFonts w:cs="Times New Roman"/>
          <w:i/>
          <w:sz w:val="24"/>
          <w:szCs w:val="24"/>
        </w:rPr>
        <w:t xml:space="preserve"> length of time for which the person is employed;</w:t>
      </w:r>
    </w:p>
    <w:p w14:paraId="2416B83F" w14:textId="77777777" w:rsidR="0012001B" w:rsidRPr="000D09F9" w:rsidRDefault="0012001B" w:rsidP="007F01C2">
      <w:pPr>
        <w:pStyle w:val="ListParagraph"/>
        <w:ind w:left="1440"/>
        <w:rPr>
          <w:rFonts w:cs="Times New Roman"/>
          <w:i/>
          <w:sz w:val="24"/>
          <w:szCs w:val="24"/>
        </w:rPr>
      </w:pPr>
      <w:r w:rsidRPr="000D09F9">
        <w:rPr>
          <w:rFonts w:cs="Times New Roman"/>
          <w:i/>
          <w:sz w:val="24"/>
          <w:szCs w:val="24"/>
        </w:rPr>
        <w:t xml:space="preserve">(g) </w:t>
      </w:r>
      <w:proofErr w:type="gramStart"/>
      <w:r w:rsidRPr="000D09F9">
        <w:rPr>
          <w:rFonts w:cs="Times New Roman"/>
          <w:i/>
          <w:sz w:val="24"/>
          <w:szCs w:val="24"/>
        </w:rPr>
        <w:t>the</w:t>
      </w:r>
      <w:proofErr w:type="gramEnd"/>
      <w:r w:rsidRPr="000D09F9">
        <w:rPr>
          <w:rFonts w:cs="Times New Roman"/>
          <w:i/>
          <w:sz w:val="24"/>
          <w:szCs w:val="24"/>
        </w:rPr>
        <w:t xml:space="preserve"> method of payment, whether by the time or by the job;</w:t>
      </w:r>
    </w:p>
    <w:p w14:paraId="16A71B3C" w14:textId="77777777" w:rsidR="0012001B" w:rsidRPr="000D09F9" w:rsidRDefault="0012001B" w:rsidP="007F01C2">
      <w:pPr>
        <w:pStyle w:val="ListParagraph"/>
        <w:ind w:left="1440"/>
        <w:rPr>
          <w:rFonts w:cs="Times New Roman"/>
          <w:i/>
          <w:sz w:val="24"/>
          <w:szCs w:val="24"/>
        </w:rPr>
      </w:pPr>
      <w:r w:rsidRPr="000D09F9">
        <w:rPr>
          <w:rFonts w:cs="Times New Roman"/>
          <w:i/>
          <w:sz w:val="24"/>
          <w:szCs w:val="24"/>
        </w:rPr>
        <w:t xml:space="preserve">(h) </w:t>
      </w:r>
      <w:proofErr w:type="gramStart"/>
      <w:r w:rsidRPr="000D09F9">
        <w:rPr>
          <w:rFonts w:cs="Times New Roman"/>
          <w:i/>
          <w:sz w:val="24"/>
          <w:szCs w:val="24"/>
        </w:rPr>
        <w:t>whether</w:t>
      </w:r>
      <w:proofErr w:type="gramEnd"/>
      <w:r w:rsidRPr="000D09F9">
        <w:rPr>
          <w:rFonts w:cs="Times New Roman"/>
          <w:i/>
          <w:sz w:val="24"/>
          <w:szCs w:val="24"/>
        </w:rPr>
        <w:t xml:space="preserve"> or not the work is a part of the regular business of the employer;</w:t>
      </w:r>
    </w:p>
    <w:p w14:paraId="23CC982D" w14:textId="77777777" w:rsidR="0012001B" w:rsidRPr="000D09F9" w:rsidRDefault="0012001B" w:rsidP="007F01C2">
      <w:pPr>
        <w:pStyle w:val="ListParagraph"/>
        <w:ind w:left="1440"/>
        <w:rPr>
          <w:rFonts w:cs="Times New Roman"/>
          <w:i/>
          <w:sz w:val="24"/>
          <w:szCs w:val="24"/>
        </w:rPr>
      </w:pPr>
      <w:r w:rsidRPr="000D09F9">
        <w:rPr>
          <w:rFonts w:cs="Times New Roman"/>
          <w:i/>
          <w:sz w:val="24"/>
          <w:szCs w:val="24"/>
        </w:rPr>
        <w:t>(</w:t>
      </w:r>
      <w:proofErr w:type="spellStart"/>
      <w:r w:rsidRPr="000D09F9">
        <w:rPr>
          <w:rFonts w:cs="Times New Roman"/>
          <w:i/>
          <w:sz w:val="24"/>
          <w:szCs w:val="24"/>
        </w:rPr>
        <w:t>i</w:t>
      </w:r>
      <w:proofErr w:type="spellEnd"/>
      <w:r w:rsidRPr="000D09F9">
        <w:rPr>
          <w:rFonts w:cs="Times New Roman"/>
          <w:i/>
          <w:sz w:val="24"/>
          <w:szCs w:val="24"/>
        </w:rPr>
        <w:t xml:space="preserve">) </w:t>
      </w:r>
      <w:proofErr w:type="gramStart"/>
      <w:r w:rsidRPr="000D09F9">
        <w:rPr>
          <w:rFonts w:cs="Times New Roman"/>
          <w:i/>
          <w:sz w:val="24"/>
          <w:szCs w:val="24"/>
        </w:rPr>
        <w:t>whether</w:t>
      </w:r>
      <w:proofErr w:type="gramEnd"/>
      <w:r w:rsidRPr="000D09F9">
        <w:rPr>
          <w:rFonts w:cs="Times New Roman"/>
          <w:i/>
          <w:sz w:val="24"/>
          <w:szCs w:val="24"/>
        </w:rPr>
        <w:t xml:space="preserve"> or not the parties believe they are creating the relation of master and servant; and</w:t>
      </w:r>
    </w:p>
    <w:p w14:paraId="5CE37D1D" w14:textId="08837ECE" w:rsidR="003C0A28" w:rsidRPr="006B169D" w:rsidRDefault="0012001B" w:rsidP="006B169D">
      <w:pPr>
        <w:pStyle w:val="ListParagraph"/>
        <w:ind w:left="1440"/>
        <w:rPr>
          <w:rFonts w:cs="Times New Roman"/>
          <w:i/>
          <w:sz w:val="24"/>
          <w:szCs w:val="24"/>
        </w:rPr>
      </w:pPr>
      <w:r w:rsidRPr="000D09F9">
        <w:rPr>
          <w:rFonts w:cs="Times New Roman"/>
          <w:i/>
          <w:sz w:val="24"/>
          <w:szCs w:val="24"/>
        </w:rPr>
        <w:t xml:space="preserve">(j) </w:t>
      </w:r>
      <w:proofErr w:type="gramStart"/>
      <w:r w:rsidRPr="000D09F9">
        <w:rPr>
          <w:rFonts w:cs="Times New Roman"/>
          <w:i/>
          <w:sz w:val="24"/>
          <w:szCs w:val="24"/>
        </w:rPr>
        <w:t>whether</w:t>
      </w:r>
      <w:proofErr w:type="gramEnd"/>
      <w:r w:rsidRPr="000D09F9">
        <w:rPr>
          <w:rFonts w:cs="Times New Roman"/>
          <w:i/>
          <w:sz w:val="24"/>
          <w:szCs w:val="24"/>
        </w:rPr>
        <w:t xml:space="preserve"> the prin</w:t>
      </w:r>
      <w:r w:rsidR="000D09F9" w:rsidRPr="000D09F9">
        <w:rPr>
          <w:rFonts w:cs="Times New Roman"/>
          <w:i/>
          <w:sz w:val="24"/>
          <w:szCs w:val="24"/>
        </w:rPr>
        <w:t>cipal is or is not in business.</w:t>
      </w:r>
    </w:p>
    <w:p w14:paraId="1E43A019" w14:textId="77777777" w:rsidR="003B1860" w:rsidRPr="001C65D9" w:rsidRDefault="003B1860" w:rsidP="006B169D">
      <w:pPr>
        <w:pStyle w:val="ListParagraph"/>
        <w:numPr>
          <w:ilvl w:val="2"/>
          <w:numId w:val="5"/>
        </w:numPr>
        <w:rPr>
          <w:rFonts w:cs="Times New Roman"/>
          <w:b/>
          <w:i/>
          <w:sz w:val="24"/>
          <w:szCs w:val="24"/>
        </w:rPr>
      </w:pPr>
      <w:proofErr w:type="spellStart"/>
      <w:r w:rsidRPr="001C65D9">
        <w:rPr>
          <w:rFonts w:cs="Times New Roman"/>
          <w:b/>
          <w:i/>
          <w:sz w:val="24"/>
          <w:szCs w:val="24"/>
        </w:rPr>
        <w:t>Arguello</w:t>
      </w:r>
      <w:proofErr w:type="spellEnd"/>
      <w:r w:rsidRPr="001C65D9">
        <w:rPr>
          <w:rFonts w:cs="Times New Roman"/>
          <w:b/>
          <w:i/>
          <w:sz w:val="24"/>
          <w:szCs w:val="24"/>
        </w:rPr>
        <w:t xml:space="preserve"> v. Conoco, Inc. (5th Cir. 2000)</w:t>
      </w:r>
    </w:p>
    <w:p w14:paraId="23619B67" w14:textId="77777777" w:rsidR="003B1860" w:rsidRPr="00443F62" w:rsidRDefault="003B1860" w:rsidP="006B169D">
      <w:pPr>
        <w:pStyle w:val="ListParagraph"/>
        <w:numPr>
          <w:ilvl w:val="3"/>
          <w:numId w:val="5"/>
        </w:numPr>
        <w:rPr>
          <w:rFonts w:cs="Times New Roman"/>
          <w:sz w:val="24"/>
          <w:szCs w:val="24"/>
        </w:rPr>
      </w:pPr>
      <w:r w:rsidRPr="00443F62">
        <w:rPr>
          <w:rFonts w:cs="Times New Roman"/>
          <w:sz w:val="24"/>
          <w:szCs w:val="24"/>
        </w:rPr>
        <w:t xml:space="preserve">Synopsis: Plaintiffs, Denise </w:t>
      </w:r>
      <w:proofErr w:type="spellStart"/>
      <w:r w:rsidRPr="00443F62">
        <w:rPr>
          <w:rFonts w:cs="Times New Roman"/>
          <w:sz w:val="24"/>
          <w:szCs w:val="24"/>
        </w:rPr>
        <w:t>Arguello</w:t>
      </w:r>
      <w:proofErr w:type="spellEnd"/>
      <w:r w:rsidRPr="00443F62">
        <w:rPr>
          <w:rFonts w:cs="Times New Roman"/>
          <w:sz w:val="24"/>
          <w:szCs w:val="24"/>
        </w:rPr>
        <w:t xml:space="preserve"> et al., are a group of minorities that were discriminated against by employees of gas stations affiliated with Defendant, Conoco, Inc. Ps asserted that D was not only liable over its employees in the stores it owned, but also a master over the Conoco-</w:t>
      </w:r>
      <w:r w:rsidRPr="00443F62">
        <w:rPr>
          <w:rFonts w:cs="Times New Roman"/>
          <w:sz w:val="24"/>
          <w:szCs w:val="24"/>
        </w:rPr>
        <w:lastRenderedPageBreak/>
        <w:t>branded stores through an ambiguous “Petroleum Marketing Agreement” (“PMA”) between D and the other stores. The PMA references the treatment of customers (should be treated fairly, honestly and courteously) and a provision allowed D to terminate the agreement if the franchisees did not follow the agreement.</w:t>
      </w:r>
    </w:p>
    <w:p w14:paraId="72937A5C" w14:textId="77777777" w:rsidR="003B1860" w:rsidRPr="00443F62" w:rsidRDefault="003B1860" w:rsidP="006B169D">
      <w:pPr>
        <w:pStyle w:val="ListParagraph"/>
        <w:numPr>
          <w:ilvl w:val="3"/>
          <w:numId w:val="5"/>
        </w:numPr>
        <w:rPr>
          <w:rFonts w:cs="Times New Roman"/>
          <w:sz w:val="24"/>
          <w:szCs w:val="24"/>
        </w:rPr>
      </w:pPr>
      <w:r w:rsidRPr="00443F62">
        <w:rPr>
          <w:rFonts w:cs="Times New Roman"/>
          <w:sz w:val="24"/>
          <w:szCs w:val="24"/>
        </w:rPr>
        <w:t>Tool:</w:t>
      </w:r>
    </w:p>
    <w:p w14:paraId="1ECA0140" w14:textId="77777777" w:rsidR="003B1860" w:rsidRPr="00443F62" w:rsidRDefault="003B1860" w:rsidP="006B169D">
      <w:pPr>
        <w:pStyle w:val="ListParagraph"/>
        <w:numPr>
          <w:ilvl w:val="4"/>
          <w:numId w:val="5"/>
        </w:numPr>
        <w:rPr>
          <w:rFonts w:cs="Times New Roman"/>
          <w:sz w:val="24"/>
          <w:szCs w:val="24"/>
        </w:rPr>
      </w:pPr>
      <w:r w:rsidRPr="00443F62">
        <w:rPr>
          <w:rFonts w:cs="Times New Roman"/>
          <w:sz w:val="24"/>
          <w:szCs w:val="24"/>
        </w:rPr>
        <w:t>Once a master-servant relationship is established, a master is subject to liability for the torts of the servant when the servant is acting within the scope of their employment.</w:t>
      </w:r>
    </w:p>
    <w:p w14:paraId="469EC865" w14:textId="77777777" w:rsidR="003B1860" w:rsidRDefault="003B1860" w:rsidP="006B169D">
      <w:pPr>
        <w:pStyle w:val="ListParagraph"/>
        <w:numPr>
          <w:ilvl w:val="4"/>
          <w:numId w:val="5"/>
        </w:numPr>
        <w:rPr>
          <w:rFonts w:cs="Times New Roman"/>
          <w:sz w:val="24"/>
          <w:szCs w:val="24"/>
        </w:rPr>
      </w:pPr>
      <w:r w:rsidRPr="00443F62">
        <w:rPr>
          <w:rFonts w:cs="Times New Roman"/>
          <w:sz w:val="24"/>
          <w:szCs w:val="24"/>
        </w:rPr>
        <w:t>“…factors used when considering whether an employee’s acts are within the scope of employment are: 1) the time, place and purpose of the act; 2) its similarity to acts which the servant is authorized to perform; 3) whether the act is commonly performed by servants; 4) the extent of departure from normal methods; and 5) whether the master would reasonably expect such act would be performed.”</w:t>
      </w:r>
    </w:p>
    <w:p w14:paraId="7FD4C409" w14:textId="27F1D912" w:rsidR="001B4CDE" w:rsidRPr="006B169D" w:rsidRDefault="001B4CDE" w:rsidP="006B169D">
      <w:pPr>
        <w:pStyle w:val="ListParagraph"/>
        <w:numPr>
          <w:ilvl w:val="4"/>
          <w:numId w:val="5"/>
        </w:numPr>
        <w:rPr>
          <w:rFonts w:cs="Times New Roman"/>
          <w:sz w:val="24"/>
          <w:szCs w:val="24"/>
          <w:u w:val="single"/>
        </w:rPr>
      </w:pPr>
      <w:r w:rsidRPr="006B169D">
        <w:rPr>
          <w:rFonts w:cs="Times New Roman"/>
          <w:sz w:val="24"/>
          <w:szCs w:val="24"/>
          <w:u w:val="single"/>
        </w:rPr>
        <w:t xml:space="preserve">Doing something you are not supposed to do </w:t>
      </w:r>
      <w:r w:rsidR="006B169D">
        <w:rPr>
          <w:rFonts w:cs="Times New Roman"/>
          <w:szCs w:val="24"/>
          <w:u w:val="single"/>
        </w:rPr>
        <w:t>may</w:t>
      </w:r>
      <w:r w:rsidRPr="006B169D">
        <w:rPr>
          <w:rFonts w:cs="Times New Roman"/>
          <w:sz w:val="24"/>
          <w:szCs w:val="24"/>
          <w:u w:val="single"/>
        </w:rPr>
        <w:t xml:space="preserve"> still be within scope of employment.</w:t>
      </w:r>
    </w:p>
    <w:p w14:paraId="547AA3DB" w14:textId="36E20B05" w:rsidR="003B1860" w:rsidRPr="00443F62" w:rsidRDefault="003B1860" w:rsidP="006B169D">
      <w:pPr>
        <w:pStyle w:val="ListParagraph"/>
        <w:numPr>
          <w:ilvl w:val="3"/>
          <w:numId w:val="5"/>
        </w:numPr>
        <w:rPr>
          <w:rFonts w:cs="Times New Roman"/>
          <w:sz w:val="24"/>
          <w:szCs w:val="24"/>
        </w:rPr>
      </w:pPr>
      <w:r w:rsidRPr="00443F62">
        <w:rPr>
          <w:rFonts w:cs="Times New Roman"/>
          <w:sz w:val="24"/>
          <w:szCs w:val="24"/>
        </w:rPr>
        <w:t xml:space="preserve">Holding: Court held that D did not establish a master-servant relationship with the Conoco-branded, </w:t>
      </w:r>
      <w:r w:rsidRPr="001B4CDE">
        <w:rPr>
          <w:rFonts w:cs="Times New Roman"/>
          <w:sz w:val="24"/>
          <w:szCs w:val="24"/>
          <w:u w:val="single"/>
        </w:rPr>
        <w:t>independently-owned stations</w:t>
      </w:r>
      <w:r w:rsidRPr="00443F62">
        <w:rPr>
          <w:rFonts w:cs="Times New Roman"/>
          <w:sz w:val="24"/>
          <w:szCs w:val="24"/>
        </w:rPr>
        <w:t>. The PMA was not ambiguous; there was plain language that described the relationship between Defendant and franchisees as separate and outs</w:t>
      </w:r>
      <w:r w:rsidR="001B4CDE">
        <w:rPr>
          <w:rFonts w:cs="Times New Roman"/>
          <w:sz w:val="24"/>
          <w:szCs w:val="24"/>
        </w:rPr>
        <w:t>ide of any agency relationship (not</w:t>
      </w:r>
      <w:r w:rsidR="006B169D">
        <w:rPr>
          <w:rFonts w:cs="Times New Roman"/>
          <w:szCs w:val="24"/>
        </w:rPr>
        <w:t>e</w:t>
      </w:r>
      <w:r w:rsidR="001B4CDE">
        <w:rPr>
          <w:rFonts w:cs="Times New Roman"/>
          <w:sz w:val="24"/>
          <w:szCs w:val="24"/>
        </w:rPr>
        <w:t xml:space="preserve"> that courts in other cases completely ignore agreement unlike this court). </w:t>
      </w:r>
      <w:r w:rsidRPr="00443F62">
        <w:rPr>
          <w:rFonts w:cs="Times New Roman"/>
          <w:sz w:val="24"/>
          <w:szCs w:val="24"/>
        </w:rPr>
        <w:t xml:space="preserve">Court also held that D never controlled day-to-day operations of the stores. Employees at the </w:t>
      </w:r>
      <w:r w:rsidRPr="001B4CDE">
        <w:rPr>
          <w:rFonts w:cs="Times New Roman"/>
          <w:sz w:val="24"/>
          <w:szCs w:val="24"/>
          <w:u w:val="single"/>
        </w:rPr>
        <w:t>Defendant-owned</w:t>
      </w:r>
      <w:r w:rsidRPr="00443F62">
        <w:rPr>
          <w:rFonts w:cs="Times New Roman"/>
          <w:sz w:val="24"/>
          <w:szCs w:val="24"/>
        </w:rPr>
        <w:t xml:space="preserve"> stores could have been working within the scope of their employment when they discriminated against the customers. There was evidence that the employees were on the job performing transactions they normally handle, and </w:t>
      </w:r>
      <w:r w:rsidRPr="006B169D">
        <w:rPr>
          <w:rFonts w:cs="Times New Roman"/>
          <w:sz w:val="24"/>
          <w:szCs w:val="24"/>
          <w:u w:val="single"/>
        </w:rPr>
        <w:t>the extent of the departure from their normal methods is a question of fact that should be presented to the jury.</w:t>
      </w:r>
    </w:p>
    <w:p w14:paraId="7491CCC0" w14:textId="77777777" w:rsidR="00351F79" w:rsidRPr="001C65D9" w:rsidRDefault="00351F79" w:rsidP="006B169D">
      <w:pPr>
        <w:pStyle w:val="ListParagraph"/>
        <w:numPr>
          <w:ilvl w:val="2"/>
          <w:numId w:val="5"/>
        </w:numPr>
        <w:rPr>
          <w:rFonts w:cs="Times New Roman"/>
          <w:b/>
          <w:i/>
          <w:sz w:val="24"/>
          <w:szCs w:val="24"/>
        </w:rPr>
      </w:pPr>
      <w:r w:rsidRPr="001C65D9">
        <w:rPr>
          <w:rFonts w:cs="Times New Roman"/>
          <w:b/>
          <w:i/>
          <w:sz w:val="24"/>
          <w:szCs w:val="24"/>
        </w:rPr>
        <w:t>Humble Oil &amp; Refining Co. v. Martin (Tex. 1949)</w:t>
      </w:r>
    </w:p>
    <w:p w14:paraId="1868D824" w14:textId="316CB6DF" w:rsidR="00351F79" w:rsidRPr="00443F62" w:rsidRDefault="001B3D9E" w:rsidP="006B169D">
      <w:pPr>
        <w:pStyle w:val="ListParagraph"/>
        <w:numPr>
          <w:ilvl w:val="3"/>
          <w:numId w:val="5"/>
        </w:numPr>
        <w:rPr>
          <w:rFonts w:cs="Times New Roman"/>
          <w:sz w:val="24"/>
          <w:szCs w:val="24"/>
        </w:rPr>
      </w:pPr>
      <w:r w:rsidRPr="00443F62">
        <w:rPr>
          <w:rFonts w:cs="Times New Roman"/>
          <w:sz w:val="24"/>
          <w:szCs w:val="24"/>
        </w:rPr>
        <w:t xml:space="preserve">Synopsis: George Martin (P) brought an action against Humble Oil &amp; Refining Co. and A.C. Love (D) when P and his children were hit from behind by Love’s car after she left it for Humble Oil to service and it rolled downhill. Humble was a franchisor gas company and this station was operated by Schneider. Court found that a master-servant relationship exists between Humble and Schneider. </w:t>
      </w:r>
      <w:r w:rsidRPr="00B613E6">
        <w:rPr>
          <w:rFonts w:cs="Times New Roman"/>
          <w:sz w:val="24"/>
          <w:szCs w:val="24"/>
          <w:u w:val="single"/>
        </w:rPr>
        <w:t xml:space="preserve">Humble maintained considerable control over W.T. </w:t>
      </w:r>
      <w:r w:rsidR="00B613E6" w:rsidRPr="00B613E6">
        <w:rPr>
          <w:rFonts w:cs="Times New Roman"/>
          <w:sz w:val="24"/>
          <w:szCs w:val="24"/>
          <w:u w:val="single"/>
        </w:rPr>
        <w:t>Schneider: Humble set station’s hours; Humble</w:t>
      </w:r>
      <w:r w:rsidR="00216FC8" w:rsidRPr="00B613E6">
        <w:rPr>
          <w:rFonts w:cs="Times New Roman"/>
          <w:sz w:val="24"/>
          <w:szCs w:val="24"/>
          <w:u w:val="single"/>
        </w:rPr>
        <w:t xml:space="preserve"> owned the goods that the </w:t>
      </w:r>
      <w:r w:rsidR="00B613E6" w:rsidRPr="00B613E6">
        <w:rPr>
          <w:rFonts w:cs="Times New Roman"/>
          <w:sz w:val="24"/>
          <w:szCs w:val="24"/>
          <w:u w:val="single"/>
        </w:rPr>
        <w:t xml:space="preserve">operator sold on consignment; </w:t>
      </w:r>
      <w:r w:rsidR="00B613E6" w:rsidRPr="005B5BB9">
        <w:rPr>
          <w:rFonts w:cs="Times New Roman"/>
          <w:b/>
          <w:i/>
          <w:sz w:val="24"/>
          <w:szCs w:val="24"/>
          <w:u w:val="single"/>
        </w:rPr>
        <w:t>Humble</w:t>
      </w:r>
      <w:r w:rsidR="00216FC8" w:rsidRPr="005B5BB9">
        <w:rPr>
          <w:rFonts w:cs="Times New Roman"/>
          <w:b/>
          <w:i/>
          <w:sz w:val="24"/>
          <w:szCs w:val="24"/>
          <w:u w:val="single"/>
        </w:rPr>
        <w:t xml:space="preserve"> paid a large fraction o</w:t>
      </w:r>
      <w:r w:rsidR="00B613E6" w:rsidRPr="005B5BB9">
        <w:rPr>
          <w:rFonts w:cs="Times New Roman"/>
          <w:b/>
          <w:i/>
          <w:sz w:val="24"/>
          <w:szCs w:val="24"/>
          <w:u w:val="single"/>
        </w:rPr>
        <w:t>f the station’s operating costs</w:t>
      </w:r>
      <w:r w:rsidR="00B613E6" w:rsidRPr="00B613E6">
        <w:rPr>
          <w:rFonts w:cs="Times New Roman"/>
          <w:sz w:val="24"/>
          <w:szCs w:val="24"/>
          <w:u w:val="single"/>
        </w:rPr>
        <w:t>; and</w:t>
      </w:r>
      <w:r w:rsidR="00216FC8" w:rsidRPr="00B613E6">
        <w:rPr>
          <w:rFonts w:cs="Times New Roman"/>
          <w:sz w:val="24"/>
          <w:szCs w:val="24"/>
          <w:u w:val="single"/>
        </w:rPr>
        <w:t xml:space="preserve"> </w:t>
      </w:r>
      <w:r w:rsidR="00B613E6" w:rsidRPr="00B613E6">
        <w:rPr>
          <w:rFonts w:cs="Times New Roman"/>
          <w:sz w:val="24"/>
          <w:szCs w:val="24"/>
          <w:u w:val="single"/>
        </w:rPr>
        <w:t xml:space="preserve">Schneider had to file reports. </w:t>
      </w:r>
      <w:r w:rsidR="00216FC8" w:rsidRPr="00B613E6">
        <w:rPr>
          <w:rFonts w:cs="Times New Roman"/>
          <w:sz w:val="24"/>
          <w:szCs w:val="24"/>
          <w:u w:val="single"/>
        </w:rPr>
        <w:t xml:space="preserve">The only discretion left the operator was to hire and fire workers. </w:t>
      </w:r>
    </w:p>
    <w:p w14:paraId="09389042" w14:textId="77777777" w:rsidR="001B3D9E" w:rsidRPr="00443F62" w:rsidRDefault="001B3D9E" w:rsidP="006B169D">
      <w:pPr>
        <w:pStyle w:val="ListParagraph"/>
        <w:numPr>
          <w:ilvl w:val="3"/>
          <w:numId w:val="5"/>
        </w:numPr>
        <w:rPr>
          <w:rFonts w:cs="Times New Roman"/>
          <w:sz w:val="24"/>
          <w:szCs w:val="24"/>
        </w:rPr>
      </w:pPr>
      <w:r w:rsidRPr="00443F62">
        <w:rPr>
          <w:rFonts w:cs="Times New Roman"/>
          <w:sz w:val="24"/>
          <w:szCs w:val="24"/>
        </w:rPr>
        <w:t>Tool: Determining whether a master-servant relationship exists, rather than an independent contractor relationship, is a question of fact that will be answered in the affirmative when the master exerts a considerable amount of control over the responsibilities of the servant.</w:t>
      </w:r>
    </w:p>
    <w:p w14:paraId="5A02E9C6" w14:textId="77777777" w:rsidR="001B3D9E" w:rsidRPr="001C65D9" w:rsidRDefault="001B3D9E" w:rsidP="006B169D">
      <w:pPr>
        <w:pStyle w:val="ListParagraph"/>
        <w:numPr>
          <w:ilvl w:val="2"/>
          <w:numId w:val="5"/>
        </w:numPr>
        <w:rPr>
          <w:rFonts w:cs="Times New Roman"/>
          <w:b/>
          <w:i/>
          <w:sz w:val="24"/>
          <w:szCs w:val="24"/>
        </w:rPr>
      </w:pPr>
      <w:r w:rsidRPr="001C65D9">
        <w:rPr>
          <w:rFonts w:cs="Times New Roman"/>
          <w:b/>
          <w:i/>
          <w:sz w:val="24"/>
          <w:szCs w:val="24"/>
        </w:rPr>
        <w:t>Hoover v. Sun Oil Company (Del. 1965)</w:t>
      </w:r>
    </w:p>
    <w:p w14:paraId="3CCF3ACE" w14:textId="1BA34F52" w:rsidR="001B3D9E" w:rsidRPr="00443F62" w:rsidRDefault="001B3D9E" w:rsidP="006B169D">
      <w:pPr>
        <w:pStyle w:val="ListParagraph"/>
        <w:numPr>
          <w:ilvl w:val="3"/>
          <w:numId w:val="5"/>
        </w:numPr>
        <w:rPr>
          <w:rFonts w:cs="Times New Roman"/>
          <w:sz w:val="24"/>
          <w:szCs w:val="24"/>
        </w:rPr>
      </w:pPr>
      <w:r w:rsidRPr="00443F62">
        <w:rPr>
          <w:rFonts w:cs="Times New Roman"/>
          <w:sz w:val="24"/>
          <w:szCs w:val="24"/>
        </w:rPr>
        <w:t xml:space="preserve">Synopsis: Gerald and Julie Hoover (P) brought an action against owner Sun Oil Co., station operator James Barone and employee John </w:t>
      </w:r>
      <w:proofErr w:type="spellStart"/>
      <w:r w:rsidRPr="00443F62">
        <w:rPr>
          <w:rFonts w:cs="Times New Roman"/>
          <w:sz w:val="24"/>
          <w:szCs w:val="24"/>
        </w:rPr>
        <w:t>Smilyk</w:t>
      </w:r>
      <w:proofErr w:type="spellEnd"/>
      <w:r w:rsidRPr="00443F62">
        <w:rPr>
          <w:rFonts w:cs="Times New Roman"/>
          <w:sz w:val="24"/>
          <w:szCs w:val="24"/>
        </w:rPr>
        <w:t xml:space="preserve"> (D), after </w:t>
      </w:r>
      <w:proofErr w:type="spellStart"/>
      <w:r w:rsidRPr="00443F62">
        <w:rPr>
          <w:rFonts w:cs="Times New Roman"/>
          <w:sz w:val="24"/>
          <w:szCs w:val="24"/>
        </w:rPr>
        <w:t>Smilyk’s</w:t>
      </w:r>
      <w:proofErr w:type="spellEnd"/>
      <w:r w:rsidRPr="00443F62">
        <w:rPr>
          <w:rFonts w:cs="Times New Roman"/>
          <w:sz w:val="24"/>
          <w:szCs w:val="24"/>
        </w:rPr>
        <w:t xml:space="preserve"> negligence caused Ps’ car to catch fire. Sun Oil</w:t>
      </w:r>
      <w:r w:rsidR="00216FC8" w:rsidRPr="00443F62">
        <w:rPr>
          <w:rFonts w:cs="Times New Roman"/>
          <w:sz w:val="24"/>
          <w:szCs w:val="24"/>
        </w:rPr>
        <w:t xml:space="preserve"> </w:t>
      </w:r>
      <w:r w:rsidRPr="00443F62">
        <w:rPr>
          <w:rFonts w:cs="Times New Roman"/>
          <w:sz w:val="24"/>
          <w:szCs w:val="24"/>
        </w:rPr>
        <w:t xml:space="preserve">is franchisor </w:t>
      </w:r>
      <w:proofErr w:type="gramStart"/>
      <w:r w:rsidRPr="00443F62">
        <w:rPr>
          <w:rFonts w:cs="Times New Roman"/>
          <w:sz w:val="24"/>
          <w:szCs w:val="24"/>
        </w:rPr>
        <w:t>gas company</w:t>
      </w:r>
      <w:proofErr w:type="gramEnd"/>
      <w:r w:rsidRPr="00443F62">
        <w:rPr>
          <w:rFonts w:cs="Times New Roman"/>
          <w:sz w:val="24"/>
          <w:szCs w:val="24"/>
        </w:rPr>
        <w:t xml:space="preserve"> and Barone operated the station. Court held that Sun Oil is not responsible for the negligence of </w:t>
      </w:r>
      <w:proofErr w:type="spellStart"/>
      <w:r w:rsidRPr="00443F62">
        <w:rPr>
          <w:rFonts w:cs="Times New Roman"/>
          <w:sz w:val="24"/>
          <w:szCs w:val="24"/>
        </w:rPr>
        <w:t>Smilyk</w:t>
      </w:r>
      <w:proofErr w:type="spellEnd"/>
      <w:r w:rsidRPr="00443F62">
        <w:rPr>
          <w:rFonts w:cs="Times New Roman"/>
          <w:sz w:val="24"/>
          <w:szCs w:val="24"/>
        </w:rPr>
        <w:t xml:space="preserve"> because he is an employee of Barone, who in turn is an independent contractor. The court did not find any evidence to support a master-servant relationship and therefore allowed Sun Oil’s summary judgment. </w:t>
      </w:r>
      <w:r w:rsidRPr="005B5BB9">
        <w:rPr>
          <w:rFonts w:cs="Times New Roman"/>
          <w:sz w:val="24"/>
          <w:szCs w:val="24"/>
          <w:u w:val="single"/>
        </w:rPr>
        <w:t xml:space="preserve">Barone </w:t>
      </w:r>
      <w:r w:rsidR="00216FC8" w:rsidRPr="005B5BB9">
        <w:rPr>
          <w:rFonts w:cs="Times New Roman"/>
          <w:sz w:val="24"/>
          <w:szCs w:val="24"/>
          <w:u w:val="single"/>
        </w:rPr>
        <w:t xml:space="preserve">set station’s hours; took title to what he sold; sold </w:t>
      </w:r>
      <w:proofErr w:type="spellStart"/>
      <w:r w:rsidR="00216FC8" w:rsidRPr="005B5BB9">
        <w:rPr>
          <w:rFonts w:cs="Times New Roman"/>
          <w:sz w:val="24"/>
          <w:szCs w:val="24"/>
          <w:u w:val="single"/>
        </w:rPr>
        <w:t>nonfranchised</w:t>
      </w:r>
      <w:proofErr w:type="spellEnd"/>
      <w:r w:rsidR="00216FC8" w:rsidRPr="005B5BB9">
        <w:rPr>
          <w:rFonts w:cs="Times New Roman"/>
          <w:sz w:val="24"/>
          <w:szCs w:val="24"/>
          <w:u w:val="single"/>
        </w:rPr>
        <w:t xml:space="preserve"> products as well as franchised products</w:t>
      </w:r>
      <w:r w:rsidR="00216FC8" w:rsidRPr="005B5BB9">
        <w:rPr>
          <w:rFonts w:cs="Times New Roman"/>
          <w:b/>
          <w:i/>
          <w:sz w:val="24"/>
          <w:szCs w:val="24"/>
          <w:u w:val="single"/>
        </w:rPr>
        <w:t xml:space="preserve">; retained the </w:t>
      </w:r>
      <w:r w:rsidR="005B5BB9" w:rsidRPr="005B5BB9">
        <w:rPr>
          <w:rFonts w:cs="Times New Roman"/>
          <w:b/>
          <w:i/>
          <w:sz w:val="24"/>
          <w:szCs w:val="24"/>
          <w:u w:val="single"/>
        </w:rPr>
        <w:t xml:space="preserve">overall risk of profit </w:t>
      </w:r>
      <w:r w:rsidR="005B5BB9">
        <w:rPr>
          <w:rFonts w:cs="Times New Roman"/>
          <w:b/>
          <w:i/>
          <w:sz w:val="24"/>
          <w:szCs w:val="24"/>
          <w:u w:val="single"/>
        </w:rPr>
        <w:t>and loss by paying minimal rental</w:t>
      </w:r>
      <w:r w:rsidR="005B5BB9">
        <w:rPr>
          <w:rFonts w:cs="Times New Roman"/>
          <w:sz w:val="24"/>
          <w:szCs w:val="24"/>
          <w:u w:val="single"/>
        </w:rPr>
        <w:t>.</w:t>
      </w:r>
    </w:p>
    <w:p w14:paraId="750FBD8F" w14:textId="77777777" w:rsidR="001B3D9E" w:rsidRPr="00443F62" w:rsidRDefault="001B3D9E" w:rsidP="006B169D">
      <w:pPr>
        <w:pStyle w:val="ListParagraph"/>
        <w:numPr>
          <w:ilvl w:val="3"/>
          <w:numId w:val="5"/>
        </w:numPr>
        <w:rPr>
          <w:rFonts w:cs="Times New Roman"/>
          <w:sz w:val="24"/>
          <w:szCs w:val="24"/>
        </w:rPr>
      </w:pPr>
      <w:r w:rsidRPr="00443F62">
        <w:rPr>
          <w:rFonts w:cs="Times New Roman"/>
          <w:sz w:val="24"/>
          <w:szCs w:val="24"/>
        </w:rPr>
        <w:t>Tool: A master-servant relationship v. independent contractor – “the test to be applied is that of whether the oil company has retained the right to control the details of the day-to-day operation of the service station; control or influence over results alone being viewed as insufficient…”</w:t>
      </w:r>
    </w:p>
    <w:p w14:paraId="00C111CB" w14:textId="09D44170" w:rsidR="00BA3D79" w:rsidRDefault="00BA3D79" w:rsidP="00BA3D79">
      <w:pPr>
        <w:pStyle w:val="ListParagraph"/>
        <w:numPr>
          <w:ilvl w:val="2"/>
          <w:numId w:val="5"/>
        </w:numPr>
        <w:rPr>
          <w:rFonts w:cs="Times New Roman"/>
          <w:i/>
          <w:szCs w:val="24"/>
        </w:rPr>
      </w:pPr>
      <w:r>
        <w:rPr>
          <w:rFonts w:cs="Times New Roman"/>
          <w:szCs w:val="24"/>
        </w:rPr>
        <w:t>Franchises</w:t>
      </w:r>
    </w:p>
    <w:p w14:paraId="573A711F" w14:textId="77777777" w:rsidR="007C7C7E" w:rsidRPr="001C65D9" w:rsidRDefault="007C7C7E" w:rsidP="00BA3D79">
      <w:pPr>
        <w:pStyle w:val="ListParagraph"/>
        <w:numPr>
          <w:ilvl w:val="3"/>
          <w:numId w:val="5"/>
        </w:numPr>
        <w:rPr>
          <w:rFonts w:cs="Times New Roman"/>
          <w:b/>
          <w:i/>
          <w:sz w:val="24"/>
          <w:szCs w:val="24"/>
        </w:rPr>
      </w:pPr>
      <w:r w:rsidRPr="001C65D9">
        <w:rPr>
          <w:rFonts w:cs="Times New Roman"/>
          <w:b/>
          <w:i/>
          <w:sz w:val="24"/>
          <w:szCs w:val="24"/>
        </w:rPr>
        <w:t>Murphy v. Holiday Inns, Inc. (</w:t>
      </w:r>
      <w:proofErr w:type="spellStart"/>
      <w:r w:rsidRPr="001C65D9">
        <w:rPr>
          <w:rFonts w:cs="Times New Roman"/>
          <w:b/>
          <w:i/>
          <w:sz w:val="24"/>
          <w:szCs w:val="24"/>
        </w:rPr>
        <w:t>Va</w:t>
      </w:r>
      <w:proofErr w:type="spellEnd"/>
      <w:r w:rsidRPr="001C65D9">
        <w:rPr>
          <w:rFonts w:cs="Times New Roman"/>
          <w:b/>
          <w:i/>
          <w:sz w:val="24"/>
          <w:szCs w:val="24"/>
        </w:rPr>
        <w:t xml:space="preserve"> 1975)</w:t>
      </w:r>
    </w:p>
    <w:p w14:paraId="7812A0A1" w14:textId="77A1CE6D" w:rsidR="007C7C7E" w:rsidRPr="00443F62" w:rsidRDefault="007C7C7E" w:rsidP="00BA3D79">
      <w:pPr>
        <w:pStyle w:val="ListParagraph"/>
        <w:numPr>
          <w:ilvl w:val="4"/>
          <w:numId w:val="5"/>
        </w:numPr>
        <w:rPr>
          <w:rFonts w:cs="Times New Roman"/>
          <w:sz w:val="24"/>
          <w:szCs w:val="24"/>
        </w:rPr>
      </w:pPr>
      <w:r w:rsidRPr="00443F62">
        <w:rPr>
          <w:rFonts w:cs="Times New Roman"/>
          <w:sz w:val="24"/>
          <w:szCs w:val="24"/>
        </w:rPr>
        <w:t xml:space="preserve">Synopsis: </w:t>
      </w:r>
      <w:proofErr w:type="spellStart"/>
      <w:r w:rsidRPr="00443F62">
        <w:rPr>
          <w:rFonts w:cs="Times New Roman"/>
          <w:sz w:val="24"/>
          <w:szCs w:val="24"/>
        </w:rPr>
        <w:t>Kyran</w:t>
      </w:r>
      <w:proofErr w:type="spellEnd"/>
      <w:r w:rsidRPr="00443F62">
        <w:rPr>
          <w:rFonts w:cs="Times New Roman"/>
          <w:sz w:val="24"/>
          <w:szCs w:val="24"/>
        </w:rPr>
        <w:t xml:space="preserve"> Murphy (P) slipped and injured herself at a hotel operated by a third party that was franchised by Holiday Inns, Inc. (D) to a third party. Third party agreed to a license </w:t>
      </w:r>
      <w:r w:rsidRPr="00443F62">
        <w:rPr>
          <w:rFonts w:cs="Times New Roman"/>
          <w:sz w:val="24"/>
          <w:szCs w:val="24"/>
        </w:rPr>
        <w:lastRenderedPageBreak/>
        <w:t xml:space="preserve">agreement/franchise contract with D that </w:t>
      </w:r>
      <w:r w:rsidR="00FF4542">
        <w:rPr>
          <w:rFonts w:cs="Times New Roman"/>
          <w:sz w:val="24"/>
          <w:szCs w:val="24"/>
        </w:rPr>
        <w:t xml:space="preserve">declared that they were “not partners, joint adventurers, or agents of the other in any sense.” Yet the court did not stop there. It closely reviewed the terms of the franchise agreement. The agreement </w:t>
      </w:r>
      <w:r w:rsidRPr="00443F62">
        <w:rPr>
          <w:rFonts w:cs="Times New Roman"/>
          <w:sz w:val="24"/>
          <w:szCs w:val="24"/>
        </w:rPr>
        <w:t>dictated the name (Holiday Inn) and look of the building and fixtures. The agreement also required the third party to submit reports and pay D a certain amount per room per day.</w:t>
      </w:r>
      <w:r w:rsidR="00D2005A" w:rsidRPr="00443F62">
        <w:rPr>
          <w:rFonts w:cs="Times New Roman"/>
          <w:sz w:val="24"/>
          <w:szCs w:val="24"/>
        </w:rPr>
        <w:t xml:space="preserve"> Court found that Holiday Inn did not have “control over the day-to-day operation” of the hotel. </w:t>
      </w:r>
    </w:p>
    <w:p w14:paraId="7DA92FAE" w14:textId="15791852" w:rsidR="00D2005A" w:rsidRPr="00443F62" w:rsidRDefault="00D2005A" w:rsidP="00BA3D79">
      <w:pPr>
        <w:pStyle w:val="ListParagraph"/>
        <w:numPr>
          <w:ilvl w:val="4"/>
          <w:numId w:val="5"/>
        </w:numPr>
        <w:rPr>
          <w:rFonts w:cs="Times New Roman"/>
          <w:sz w:val="24"/>
          <w:szCs w:val="24"/>
        </w:rPr>
      </w:pPr>
      <w:r w:rsidRPr="00443F62">
        <w:rPr>
          <w:rFonts w:cs="Times New Roman"/>
          <w:sz w:val="24"/>
          <w:szCs w:val="24"/>
        </w:rPr>
        <w:t>Tool: The court noted that franchise agreements can still establish a master-servant relationship</w:t>
      </w:r>
      <w:r w:rsidR="00FF4542">
        <w:rPr>
          <w:rFonts w:cs="Times New Roman"/>
          <w:sz w:val="24"/>
          <w:szCs w:val="24"/>
        </w:rPr>
        <w:t xml:space="preserve"> even though it explicitly stated that there was no agency relationship</w:t>
      </w:r>
      <w:r w:rsidRPr="00443F62">
        <w:rPr>
          <w:rFonts w:cs="Times New Roman"/>
          <w:sz w:val="24"/>
          <w:szCs w:val="24"/>
        </w:rPr>
        <w:t>, but the agreement here did not meet the burden. However, the court seems to raise the bar for proving an agency relationship when the master-principal is obligated to exert further control to protect a trademark.</w:t>
      </w:r>
    </w:p>
    <w:p w14:paraId="651A1FBD" w14:textId="77777777" w:rsidR="0012001B" w:rsidRPr="001C65D9" w:rsidRDefault="0012001B" w:rsidP="00BA3D79">
      <w:pPr>
        <w:pStyle w:val="ListParagraph"/>
        <w:numPr>
          <w:ilvl w:val="3"/>
          <w:numId w:val="5"/>
        </w:numPr>
        <w:rPr>
          <w:rFonts w:cs="Times New Roman"/>
          <w:b/>
          <w:i/>
          <w:sz w:val="24"/>
          <w:szCs w:val="24"/>
        </w:rPr>
      </w:pPr>
      <w:proofErr w:type="spellStart"/>
      <w:r w:rsidRPr="001C65D9">
        <w:rPr>
          <w:rFonts w:cs="Times New Roman"/>
          <w:b/>
          <w:i/>
          <w:sz w:val="24"/>
          <w:szCs w:val="24"/>
        </w:rPr>
        <w:t>Vandemark</w:t>
      </w:r>
      <w:proofErr w:type="spellEnd"/>
      <w:r w:rsidRPr="001C65D9">
        <w:rPr>
          <w:rFonts w:cs="Times New Roman"/>
          <w:b/>
          <w:i/>
          <w:sz w:val="24"/>
          <w:szCs w:val="24"/>
        </w:rPr>
        <w:t xml:space="preserve"> v. McDonald’s Corp. (NH 2006)</w:t>
      </w:r>
    </w:p>
    <w:p w14:paraId="364088E7" w14:textId="77777777" w:rsidR="0012001B" w:rsidRPr="00443F62" w:rsidRDefault="0012001B" w:rsidP="00BA3D79">
      <w:pPr>
        <w:pStyle w:val="ListParagraph"/>
        <w:numPr>
          <w:ilvl w:val="4"/>
          <w:numId w:val="5"/>
        </w:numPr>
        <w:rPr>
          <w:rFonts w:cs="Times New Roman"/>
          <w:sz w:val="24"/>
          <w:szCs w:val="24"/>
        </w:rPr>
      </w:pPr>
      <w:r w:rsidRPr="00443F62">
        <w:rPr>
          <w:rFonts w:cs="Times New Roman"/>
          <w:sz w:val="24"/>
          <w:szCs w:val="24"/>
        </w:rPr>
        <w:t xml:space="preserve">Synopsis: Employee sued McDonald’s, claiming that the franchisee was an agent of the franchisor. </w:t>
      </w:r>
    </w:p>
    <w:p w14:paraId="64D0C754" w14:textId="77777777" w:rsidR="0012001B" w:rsidRPr="00443F62" w:rsidRDefault="0012001B" w:rsidP="00BA3D79">
      <w:pPr>
        <w:pStyle w:val="ListParagraph"/>
        <w:numPr>
          <w:ilvl w:val="4"/>
          <w:numId w:val="5"/>
        </w:numPr>
        <w:rPr>
          <w:rFonts w:cs="Times New Roman"/>
          <w:sz w:val="24"/>
          <w:szCs w:val="24"/>
        </w:rPr>
      </w:pPr>
      <w:r w:rsidRPr="00443F62">
        <w:rPr>
          <w:rFonts w:cs="Times New Roman"/>
          <w:sz w:val="24"/>
          <w:szCs w:val="24"/>
        </w:rPr>
        <w:t>Tool: “The weight of authority construes franchiser liability narrowly, finding that absent a showing of control over security measures employed by the franchisee, the franchiser cannot be vicariously liable for the security breach…”</w:t>
      </w:r>
    </w:p>
    <w:p w14:paraId="387BD14F" w14:textId="77777777" w:rsidR="0012001B" w:rsidRPr="001C65D9" w:rsidRDefault="0012001B" w:rsidP="00BA3D79">
      <w:pPr>
        <w:pStyle w:val="ListParagraph"/>
        <w:numPr>
          <w:ilvl w:val="3"/>
          <w:numId w:val="5"/>
        </w:numPr>
        <w:rPr>
          <w:rFonts w:cs="Times New Roman"/>
          <w:b/>
          <w:i/>
          <w:sz w:val="24"/>
          <w:szCs w:val="24"/>
        </w:rPr>
      </w:pPr>
      <w:r w:rsidRPr="001C65D9">
        <w:rPr>
          <w:rFonts w:cs="Times New Roman"/>
          <w:b/>
          <w:i/>
          <w:sz w:val="24"/>
          <w:szCs w:val="24"/>
        </w:rPr>
        <w:t>Wendy Hong Wu v. Dunkin Donuts (EDNY 2000)</w:t>
      </w:r>
    </w:p>
    <w:p w14:paraId="01199DD8" w14:textId="77777777" w:rsidR="0012001B" w:rsidRPr="00443F62" w:rsidRDefault="0012001B" w:rsidP="00BA3D79">
      <w:pPr>
        <w:pStyle w:val="ListParagraph"/>
        <w:numPr>
          <w:ilvl w:val="4"/>
          <w:numId w:val="5"/>
        </w:numPr>
        <w:rPr>
          <w:rFonts w:cs="Times New Roman"/>
          <w:sz w:val="24"/>
          <w:szCs w:val="24"/>
        </w:rPr>
      </w:pPr>
      <w:r w:rsidRPr="00443F62">
        <w:rPr>
          <w:rFonts w:cs="Times New Roman"/>
          <w:sz w:val="24"/>
          <w:szCs w:val="24"/>
        </w:rPr>
        <w:t>Synopsis: Dunkin Donuts franchisee brought a vicarious liability claim against Dunkin Donuts after she was raped and assaulted while working the night shift.</w:t>
      </w:r>
    </w:p>
    <w:p w14:paraId="4EC90849" w14:textId="77777777" w:rsidR="0012001B" w:rsidRPr="00443F62" w:rsidRDefault="0012001B" w:rsidP="00BA3D79">
      <w:pPr>
        <w:pStyle w:val="ListParagraph"/>
        <w:numPr>
          <w:ilvl w:val="4"/>
          <w:numId w:val="5"/>
        </w:numPr>
        <w:rPr>
          <w:rFonts w:cs="Times New Roman"/>
          <w:sz w:val="24"/>
          <w:szCs w:val="24"/>
        </w:rPr>
      </w:pPr>
      <w:r w:rsidRPr="00443F62">
        <w:rPr>
          <w:rFonts w:cs="Times New Roman"/>
          <w:sz w:val="24"/>
          <w:szCs w:val="24"/>
        </w:rPr>
        <w:t xml:space="preserve">Tool: Court examined whether Dunkin Donuts had control over the alleged “instrumentality” that caused the harm. Found Dunkin Donuts not liable since DD did not control how franchisee protected employees. </w:t>
      </w:r>
    </w:p>
    <w:p w14:paraId="114FC7CB" w14:textId="77777777" w:rsidR="0012001B" w:rsidRPr="001C65D9" w:rsidRDefault="0012001B" w:rsidP="00BA3D79">
      <w:pPr>
        <w:pStyle w:val="ListParagraph"/>
        <w:numPr>
          <w:ilvl w:val="3"/>
          <w:numId w:val="5"/>
        </w:numPr>
        <w:rPr>
          <w:rFonts w:cs="Times New Roman"/>
          <w:b/>
          <w:i/>
          <w:sz w:val="24"/>
          <w:szCs w:val="24"/>
        </w:rPr>
      </w:pPr>
      <w:r w:rsidRPr="001C65D9">
        <w:rPr>
          <w:rFonts w:cs="Times New Roman"/>
          <w:b/>
          <w:i/>
          <w:sz w:val="24"/>
          <w:szCs w:val="24"/>
        </w:rPr>
        <w:t>Miller v. McDonald’s Corp. (Ore. App. 1997)</w:t>
      </w:r>
    </w:p>
    <w:p w14:paraId="3CB06B92" w14:textId="370D2C9B" w:rsidR="0012001B" w:rsidRPr="00443F62" w:rsidRDefault="0012001B" w:rsidP="00BA3D79">
      <w:pPr>
        <w:pStyle w:val="ListParagraph"/>
        <w:numPr>
          <w:ilvl w:val="4"/>
          <w:numId w:val="5"/>
        </w:numPr>
        <w:rPr>
          <w:rFonts w:cs="Times New Roman"/>
          <w:sz w:val="24"/>
          <w:szCs w:val="24"/>
        </w:rPr>
      </w:pPr>
      <w:r w:rsidRPr="00443F62">
        <w:rPr>
          <w:rFonts w:cs="Times New Roman"/>
          <w:sz w:val="24"/>
          <w:szCs w:val="24"/>
        </w:rPr>
        <w:t xml:space="preserve">Synopsis: P sought damages from McDonald’s Corporation (D) franchisee, 3K, for injuries suffered when she bit into a burger with a sapphire in it. </w:t>
      </w:r>
      <w:r w:rsidR="00601645">
        <w:rPr>
          <w:rFonts w:cs="Times New Roman"/>
          <w:sz w:val="24"/>
          <w:szCs w:val="24"/>
        </w:rPr>
        <w:t>Contract</w:t>
      </w:r>
      <w:r w:rsidR="007D7D91" w:rsidRPr="00443F62">
        <w:rPr>
          <w:rFonts w:cs="Times New Roman"/>
          <w:sz w:val="24"/>
          <w:szCs w:val="24"/>
        </w:rPr>
        <w:t xml:space="preserve"> explicitly said 3K was not McDonald’s agent. </w:t>
      </w:r>
      <w:r w:rsidRPr="00443F62">
        <w:rPr>
          <w:rFonts w:cs="Times New Roman"/>
          <w:sz w:val="24"/>
          <w:szCs w:val="24"/>
        </w:rPr>
        <w:t xml:space="preserve">D controlled specifications for equipment and layout of restaurant; </w:t>
      </w:r>
      <w:r w:rsidR="007D7D91" w:rsidRPr="00443F62">
        <w:rPr>
          <w:rFonts w:cs="Times New Roman"/>
          <w:sz w:val="24"/>
          <w:szCs w:val="24"/>
        </w:rPr>
        <w:t xml:space="preserve">D periodically sent consultants to inspect operations; D prescribed hours; and failure to comply could result in a loss of the franchise. </w:t>
      </w:r>
      <w:r w:rsidRPr="00443F62">
        <w:rPr>
          <w:rFonts w:cs="Times New Roman"/>
          <w:sz w:val="24"/>
          <w:szCs w:val="24"/>
        </w:rPr>
        <w:t xml:space="preserve">Court found that evidence supports a finding that D had the right to control the way in which 3K performed at least food handling and preparation, thus D had right to control the precise part of its business that allegedly </w:t>
      </w:r>
      <w:r w:rsidR="007D7D91" w:rsidRPr="00443F62">
        <w:rPr>
          <w:rFonts w:cs="Times New Roman"/>
          <w:sz w:val="24"/>
          <w:szCs w:val="24"/>
        </w:rPr>
        <w:t>resulted</w:t>
      </w:r>
      <w:r w:rsidRPr="00443F62">
        <w:rPr>
          <w:rFonts w:cs="Times New Roman"/>
          <w:sz w:val="24"/>
          <w:szCs w:val="24"/>
        </w:rPr>
        <w:t xml:space="preserve"> in P’s injuries.</w:t>
      </w:r>
      <w:r w:rsidR="007D7D91" w:rsidRPr="00443F62">
        <w:rPr>
          <w:rFonts w:cs="Times New Roman"/>
          <w:sz w:val="24"/>
          <w:szCs w:val="24"/>
        </w:rPr>
        <w:t xml:space="preserve"> Also, court argued that local franchisees may have been “apparent agents.” Jury could find that P believed that all McDonald’s restaurants were the same and owned by same entity. Franchise agreement required the franchisee to act in way that identified it with the franchisor. Purpose was to attract the patronage of the public to that entire system. (P argues insufficient evidence that P justifiably relied on D holding 3K out as an agent.)</w:t>
      </w:r>
    </w:p>
    <w:p w14:paraId="571B9C0D" w14:textId="77777777" w:rsidR="0012001B" w:rsidRPr="00443F62" w:rsidRDefault="0012001B" w:rsidP="00BA3D79">
      <w:pPr>
        <w:pStyle w:val="ListParagraph"/>
        <w:numPr>
          <w:ilvl w:val="4"/>
          <w:numId w:val="5"/>
        </w:numPr>
        <w:rPr>
          <w:rFonts w:cs="Times New Roman"/>
          <w:sz w:val="24"/>
          <w:szCs w:val="24"/>
        </w:rPr>
      </w:pPr>
      <w:r w:rsidRPr="00443F62">
        <w:rPr>
          <w:rFonts w:cs="Times New Roman"/>
          <w:sz w:val="24"/>
          <w:szCs w:val="24"/>
        </w:rPr>
        <w:t>Tool:</w:t>
      </w:r>
    </w:p>
    <w:p w14:paraId="593E7AA9" w14:textId="0F750DFA" w:rsidR="0012001B" w:rsidRPr="00443F62" w:rsidRDefault="0012001B" w:rsidP="00BA3D79">
      <w:pPr>
        <w:pStyle w:val="ListParagraph"/>
        <w:numPr>
          <w:ilvl w:val="5"/>
          <w:numId w:val="5"/>
        </w:numPr>
        <w:rPr>
          <w:rFonts w:cs="Times New Roman"/>
          <w:sz w:val="24"/>
          <w:szCs w:val="24"/>
        </w:rPr>
      </w:pPr>
      <w:r w:rsidRPr="00443F62">
        <w:rPr>
          <w:rFonts w:cs="Times New Roman"/>
          <w:sz w:val="24"/>
          <w:szCs w:val="24"/>
        </w:rPr>
        <w:t>Right to control test for agent relationship: “If, in practical effect, the franchise agreement goes beyond the stage of setting standards, and allocates to the franchisor the right to exercise control over the daily operations of the franchise, an agency relationship exists.”</w:t>
      </w:r>
      <w:r w:rsidR="00601645">
        <w:rPr>
          <w:rFonts w:cs="Times New Roman"/>
          <w:sz w:val="24"/>
          <w:szCs w:val="24"/>
        </w:rPr>
        <w:t xml:space="preserve"> (note that contract specifically said no agency relationship)</w:t>
      </w:r>
    </w:p>
    <w:p w14:paraId="4CF47A5D" w14:textId="77777777" w:rsidR="0012001B" w:rsidRDefault="0012001B" w:rsidP="00BA3D79">
      <w:pPr>
        <w:pStyle w:val="ListParagraph"/>
        <w:numPr>
          <w:ilvl w:val="5"/>
          <w:numId w:val="5"/>
        </w:numPr>
        <w:rPr>
          <w:rFonts w:cs="Times New Roman"/>
          <w:sz w:val="24"/>
          <w:szCs w:val="24"/>
        </w:rPr>
      </w:pPr>
      <w:r w:rsidRPr="00443F62">
        <w:rPr>
          <w:rFonts w:cs="Times New Roman"/>
          <w:sz w:val="24"/>
          <w:szCs w:val="24"/>
        </w:rPr>
        <w:t xml:space="preserve">Vicarious Liability – “One who represents that another is his servant or other agent and thereby causes a third person justifiably to rely upon the care or skill of such </w:t>
      </w:r>
      <w:r w:rsidRPr="001630B1">
        <w:rPr>
          <w:rFonts w:cs="Times New Roman"/>
          <w:sz w:val="24"/>
          <w:szCs w:val="24"/>
          <w:u w:val="single"/>
        </w:rPr>
        <w:t xml:space="preserve">apparent agent </w:t>
      </w:r>
      <w:r w:rsidRPr="00443F62">
        <w:rPr>
          <w:rFonts w:cs="Times New Roman"/>
          <w:sz w:val="24"/>
          <w:szCs w:val="24"/>
        </w:rPr>
        <w:t>is subject to liability to the third person for harm caused by the lack of care or skill of the one appearing to be a servant or other agent as if he were such.” R2 Agency § 267.</w:t>
      </w:r>
    </w:p>
    <w:p w14:paraId="18A5F73B" w14:textId="7BACC035" w:rsidR="00601645" w:rsidRPr="0014447E" w:rsidRDefault="00601645" w:rsidP="00BA3D79">
      <w:pPr>
        <w:pStyle w:val="ListParagraph"/>
        <w:numPr>
          <w:ilvl w:val="5"/>
          <w:numId w:val="5"/>
        </w:numPr>
        <w:rPr>
          <w:rFonts w:cs="Times New Roman"/>
          <w:sz w:val="24"/>
          <w:szCs w:val="24"/>
        </w:rPr>
      </w:pPr>
      <w:r w:rsidRPr="0014447E">
        <w:rPr>
          <w:rFonts w:cs="Times New Roman"/>
          <w:sz w:val="24"/>
          <w:szCs w:val="24"/>
        </w:rPr>
        <w:t>“</w:t>
      </w:r>
      <w:r w:rsidRPr="0014447E">
        <w:rPr>
          <w:rFonts w:cs="Times New Roman"/>
          <w:b/>
          <w:sz w:val="24"/>
          <w:szCs w:val="24"/>
          <w:u w:val="single"/>
        </w:rPr>
        <w:t>Apparent agent</w:t>
      </w:r>
      <w:r w:rsidRPr="0014447E">
        <w:rPr>
          <w:rFonts w:cs="Times New Roman"/>
          <w:sz w:val="24"/>
          <w:szCs w:val="24"/>
        </w:rPr>
        <w:t>” (</w:t>
      </w:r>
      <w:r w:rsidRPr="0014447E">
        <w:rPr>
          <w:rFonts w:cs="Times New Roman"/>
          <w:b/>
          <w:sz w:val="24"/>
          <w:szCs w:val="24"/>
          <w:u w:val="single"/>
        </w:rPr>
        <w:t>servant</w:t>
      </w:r>
      <w:r w:rsidRPr="0014447E">
        <w:rPr>
          <w:rFonts w:cs="Times New Roman"/>
          <w:sz w:val="24"/>
          <w:szCs w:val="24"/>
        </w:rPr>
        <w:t>) is about whether someone will be treated at though they were your agent at all (different from apparent authority)…?</w:t>
      </w:r>
    </w:p>
    <w:p w14:paraId="5A071AE0" w14:textId="4E609040" w:rsidR="007D7D91" w:rsidRDefault="007D7D91" w:rsidP="00BA3D79">
      <w:pPr>
        <w:pStyle w:val="ListParagraph"/>
        <w:numPr>
          <w:ilvl w:val="3"/>
          <w:numId w:val="5"/>
        </w:numPr>
        <w:rPr>
          <w:rFonts w:cs="Times New Roman"/>
          <w:szCs w:val="24"/>
        </w:rPr>
      </w:pPr>
      <w:r w:rsidRPr="00443F62">
        <w:rPr>
          <w:rFonts w:cs="Times New Roman"/>
          <w:sz w:val="24"/>
          <w:szCs w:val="24"/>
        </w:rPr>
        <w:lastRenderedPageBreak/>
        <w:t xml:space="preserve">Note: IN THESE FRANCHISE CASES, courts ignore requirement to form agency relationship in first place. CLOSE CONTROL DOES NOT PROVE AGENCY ON ITS OWN. </w:t>
      </w:r>
      <w:r w:rsidR="00FF4542">
        <w:rPr>
          <w:rFonts w:cs="Times New Roman"/>
          <w:sz w:val="24"/>
          <w:szCs w:val="24"/>
        </w:rPr>
        <w:t>NEED AGREEMENT.</w:t>
      </w:r>
      <w:r w:rsidR="00BA3D79">
        <w:rPr>
          <w:rFonts w:cs="Times New Roman"/>
          <w:szCs w:val="24"/>
        </w:rPr>
        <w:t xml:space="preserve"> BUT COURTS DON’T CARE</w:t>
      </w:r>
    </w:p>
    <w:p w14:paraId="3DB5F5E0" w14:textId="41D0D997" w:rsidR="00BA3D79" w:rsidRPr="00BA3D79" w:rsidRDefault="00BA3D79" w:rsidP="00BA3D79">
      <w:pPr>
        <w:pStyle w:val="ListParagraph"/>
        <w:numPr>
          <w:ilvl w:val="2"/>
          <w:numId w:val="5"/>
        </w:numPr>
        <w:rPr>
          <w:rFonts w:cs="Times New Roman"/>
          <w:sz w:val="24"/>
          <w:szCs w:val="24"/>
        </w:rPr>
      </w:pPr>
      <w:r>
        <w:rPr>
          <w:rFonts w:cs="Times New Roman"/>
          <w:szCs w:val="24"/>
        </w:rPr>
        <w:t>L</w:t>
      </w:r>
      <w:r w:rsidRPr="00443F62">
        <w:rPr>
          <w:rFonts w:cs="Times New Roman"/>
          <w:sz w:val="24"/>
          <w:szCs w:val="24"/>
        </w:rPr>
        <w:t xml:space="preserve">aundry list of control factors seems easily </w:t>
      </w:r>
      <w:r>
        <w:rPr>
          <w:rFonts w:cs="Times New Roman"/>
          <w:sz w:val="24"/>
          <w:szCs w:val="24"/>
        </w:rPr>
        <w:t>manipulated</w:t>
      </w:r>
      <w:r w:rsidRPr="00443F62">
        <w:rPr>
          <w:rFonts w:cs="Times New Roman"/>
          <w:sz w:val="24"/>
          <w:szCs w:val="24"/>
        </w:rPr>
        <w:t xml:space="preserve">. Less cynically read, the laundry lists conceal different patterns of financial exposure. Terms like hours, consignment arrangements, and rental clauses tend to correlate with the parties’ relative financial </w:t>
      </w:r>
      <w:r>
        <w:rPr>
          <w:rFonts w:cs="Times New Roman"/>
          <w:sz w:val="24"/>
          <w:szCs w:val="24"/>
        </w:rPr>
        <w:t>liability</w:t>
      </w:r>
      <w:r w:rsidRPr="00443F62">
        <w:rPr>
          <w:rFonts w:cs="Times New Roman"/>
          <w:sz w:val="24"/>
          <w:szCs w:val="24"/>
        </w:rPr>
        <w:t xml:space="preserve">. In turn, </w:t>
      </w:r>
      <w:r w:rsidRPr="005B5BB9">
        <w:rPr>
          <w:rFonts w:cs="Times New Roman"/>
          <w:b/>
          <w:i/>
          <w:sz w:val="24"/>
          <w:szCs w:val="24"/>
          <w:u w:val="single"/>
        </w:rPr>
        <w:t>that financial risk tends to correlate with real-substantive-control</w:t>
      </w:r>
      <w:r>
        <w:rPr>
          <w:rFonts w:cs="Times New Roman"/>
          <w:szCs w:val="24"/>
        </w:rPr>
        <w:t xml:space="preserve">. </w:t>
      </w:r>
    </w:p>
    <w:p w14:paraId="7DF6D2A1" w14:textId="62D1BC1B" w:rsidR="003C0A28" w:rsidRPr="00443F62" w:rsidRDefault="003C0A28" w:rsidP="00400AD6">
      <w:pPr>
        <w:pStyle w:val="Heading3"/>
        <w:numPr>
          <w:ilvl w:val="1"/>
          <w:numId w:val="5"/>
        </w:numPr>
      </w:pPr>
      <w:r w:rsidRPr="00443F62">
        <w:t>Scope of the Employment</w:t>
      </w:r>
    </w:p>
    <w:p w14:paraId="6F6F104C" w14:textId="34972EB6" w:rsidR="00B91F88" w:rsidRPr="00443F62" w:rsidRDefault="0032331E" w:rsidP="00351D80">
      <w:pPr>
        <w:pStyle w:val="ListParagraph"/>
        <w:numPr>
          <w:ilvl w:val="2"/>
          <w:numId w:val="5"/>
        </w:numPr>
        <w:rPr>
          <w:rFonts w:cs="Times New Roman"/>
          <w:sz w:val="24"/>
          <w:szCs w:val="24"/>
        </w:rPr>
      </w:pPr>
      <w:r>
        <w:rPr>
          <w:rFonts w:cs="Times New Roman"/>
          <w:szCs w:val="24"/>
        </w:rPr>
        <w:t>Rule</w:t>
      </w:r>
      <w:r w:rsidR="00351D80">
        <w:rPr>
          <w:rFonts w:cs="Times New Roman"/>
          <w:szCs w:val="24"/>
        </w:rPr>
        <w:t xml:space="preserve"> – </w:t>
      </w:r>
      <w:r w:rsidR="00B91F88" w:rsidRPr="00443F62">
        <w:rPr>
          <w:rFonts w:cs="Times New Roman"/>
          <w:sz w:val="24"/>
          <w:szCs w:val="24"/>
        </w:rPr>
        <w:t>R2 Agency § 228(1): conduct is with the “scope of employment” only if:</w:t>
      </w:r>
    </w:p>
    <w:p w14:paraId="12D1358A" w14:textId="416BAFCB" w:rsidR="00B91F88" w:rsidRPr="00351D80" w:rsidRDefault="00B91F88" w:rsidP="00351D80">
      <w:pPr>
        <w:pStyle w:val="ListParagraph"/>
        <w:ind w:left="1080"/>
        <w:rPr>
          <w:rFonts w:cs="Times New Roman"/>
          <w:i/>
          <w:sz w:val="24"/>
          <w:szCs w:val="24"/>
        </w:rPr>
      </w:pPr>
      <w:r w:rsidRPr="00351D80">
        <w:rPr>
          <w:rFonts w:cs="Times New Roman"/>
          <w:i/>
          <w:sz w:val="24"/>
          <w:szCs w:val="24"/>
        </w:rPr>
        <w:t xml:space="preserve">(a) </w:t>
      </w:r>
      <w:proofErr w:type="gramStart"/>
      <w:r w:rsidRPr="00351D80">
        <w:rPr>
          <w:rFonts w:cs="Times New Roman"/>
          <w:i/>
          <w:sz w:val="24"/>
          <w:szCs w:val="24"/>
        </w:rPr>
        <w:t>it</w:t>
      </w:r>
      <w:proofErr w:type="gramEnd"/>
      <w:r w:rsidRPr="00351D80">
        <w:rPr>
          <w:rFonts w:cs="Times New Roman"/>
          <w:i/>
          <w:sz w:val="24"/>
          <w:szCs w:val="24"/>
        </w:rPr>
        <w:t xml:space="preserve"> is of the kind [the servant] is employed to perform;</w:t>
      </w:r>
    </w:p>
    <w:p w14:paraId="7EFFA168" w14:textId="77777777" w:rsidR="00B91F88" w:rsidRPr="00351D80" w:rsidRDefault="00B91F88" w:rsidP="00351D80">
      <w:pPr>
        <w:pStyle w:val="ListParagraph"/>
        <w:ind w:left="1080"/>
        <w:rPr>
          <w:rFonts w:cs="Times New Roman"/>
          <w:i/>
          <w:sz w:val="24"/>
          <w:szCs w:val="24"/>
        </w:rPr>
      </w:pPr>
      <w:r w:rsidRPr="00351D80">
        <w:rPr>
          <w:rFonts w:cs="Times New Roman"/>
          <w:i/>
          <w:sz w:val="24"/>
          <w:szCs w:val="24"/>
        </w:rPr>
        <w:t xml:space="preserve">(b) </w:t>
      </w:r>
      <w:proofErr w:type="gramStart"/>
      <w:r w:rsidRPr="00351D80">
        <w:rPr>
          <w:rFonts w:cs="Times New Roman"/>
          <w:i/>
          <w:sz w:val="24"/>
          <w:szCs w:val="24"/>
        </w:rPr>
        <w:t>it</w:t>
      </w:r>
      <w:proofErr w:type="gramEnd"/>
      <w:r w:rsidRPr="00351D80">
        <w:rPr>
          <w:rFonts w:cs="Times New Roman"/>
          <w:i/>
          <w:sz w:val="24"/>
          <w:szCs w:val="24"/>
        </w:rPr>
        <w:t xml:space="preserve"> occurs substantially within the authorized time and space limits;</w:t>
      </w:r>
    </w:p>
    <w:p w14:paraId="2FE00E6A" w14:textId="5EBA721B" w:rsidR="00B91F88" w:rsidRPr="00351D80" w:rsidRDefault="00B91F88" w:rsidP="00351D80">
      <w:pPr>
        <w:pStyle w:val="ListParagraph"/>
        <w:ind w:left="1080"/>
        <w:rPr>
          <w:rFonts w:cs="Times New Roman"/>
          <w:i/>
          <w:sz w:val="24"/>
          <w:szCs w:val="24"/>
        </w:rPr>
      </w:pPr>
      <w:r w:rsidRPr="00351D80">
        <w:rPr>
          <w:rFonts w:cs="Times New Roman"/>
          <w:i/>
          <w:sz w:val="24"/>
          <w:szCs w:val="24"/>
        </w:rPr>
        <w:t>(c)</w:t>
      </w:r>
      <w:r w:rsidR="00351D80">
        <w:rPr>
          <w:rFonts w:cs="Times New Roman"/>
          <w:i/>
          <w:szCs w:val="24"/>
        </w:rPr>
        <w:t xml:space="preserve"> </w:t>
      </w:r>
      <w:proofErr w:type="gramStart"/>
      <w:r w:rsidR="00756888" w:rsidRPr="00351D80">
        <w:rPr>
          <w:rFonts w:cs="Times New Roman"/>
          <w:i/>
          <w:sz w:val="24"/>
          <w:szCs w:val="24"/>
        </w:rPr>
        <w:t>it</w:t>
      </w:r>
      <w:proofErr w:type="gramEnd"/>
      <w:r w:rsidR="00756888" w:rsidRPr="00351D80">
        <w:rPr>
          <w:rFonts w:cs="Times New Roman"/>
          <w:i/>
          <w:sz w:val="24"/>
          <w:szCs w:val="24"/>
        </w:rPr>
        <w:t xml:space="preserve"> is actuated, at least in part, by a purpose to serve the master; and</w:t>
      </w:r>
    </w:p>
    <w:p w14:paraId="4195C742" w14:textId="54D0248D" w:rsidR="00756888" w:rsidRPr="00351D80" w:rsidRDefault="00756888" w:rsidP="00351D80">
      <w:pPr>
        <w:pStyle w:val="ListParagraph"/>
        <w:ind w:left="1080"/>
        <w:rPr>
          <w:rFonts w:cs="Times New Roman"/>
          <w:i/>
          <w:sz w:val="24"/>
          <w:szCs w:val="24"/>
        </w:rPr>
      </w:pPr>
      <w:r w:rsidRPr="00351D80">
        <w:rPr>
          <w:rFonts w:cs="Times New Roman"/>
          <w:i/>
          <w:sz w:val="24"/>
          <w:szCs w:val="24"/>
        </w:rPr>
        <w:t xml:space="preserve">(d) </w:t>
      </w:r>
      <w:proofErr w:type="gramStart"/>
      <w:r w:rsidRPr="00351D80">
        <w:rPr>
          <w:rFonts w:cs="Times New Roman"/>
          <w:i/>
          <w:sz w:val="24"/>
          <w:szCs w:val="24"/>
        </w:rPr>
        <w:t>if</w:t>
      </w:r>
      <w:proofErr w:type="gramEnd"/>
      <w:r w:rsidRPr="00351D80">
        <w:rPr>
          <w:rFonts w:cs="Times New Roman"/>
          <w:i/>
          <w:sz w:val="24"/>
          <w:szCs w:val="24"/>
        </w:rPr>
        <w:t xml:space="preserve"> force is intentionally used by the servant against another, the use of force is </w:t>
      </w:r>
      <w:r w:rsidR="00351D80" w:rsidRPr="00351D80">
        <w:rPr>
          <w:rFonts w:cs="Times New Roman"/>
          <w:i/>
          <w:szCs w:val="24"/>
        </w:rPr>
        <w:t xml:space="preserve">not </w:t>
      </w:r>
      <w:proofErr w:type="spellStart"/>
      <w:r w:rsidR="00351D80" w:rsidRPr="00351D80">
        <w:rPr>
          <w:rFonts w:cs="Times New Roman"/>
          <w:i/>
          <w:szCs w:val="24"/>
        </w:rPr>
        <w:t>unexpectable</w:t>
      </w:r>
      <w:proofErr w:type="spellEnd"/>
      <w:r w:rsidR="00351D80" w:rsidRPr="00351D80">
        <w:rPr>
          <w:rFonts w:cs="Times New Roman"/>
          <w:i/>
          <w:szCs w:val="24"/>
        </w:rPr>
        <w:t xml:space="preserve"> by the master.</w:t>
      </w:r>
    </w:p>
    <w:p w14:paraId="48B9F50D" w14:textId="20FAD728" w:rsidR="00351D80" w:rsidRDefault="00351D80" w:rsidP="00351D80">
      <w:pPr>
        <w:pStyle w:val="ListParagraph"/>
        <w:numPr>
          <w:ilvl w:val="2"/>
          <w:numId w:val="5"/>
        </w:numPr>
        <w:rPr>
          <w:rFonts w:cs="Times New Roman"/>
          <w:i/>
          <w:szCs w:val="24"/>
        </w:rPr>
      </w:pPr>
      <w:r>
        <w:rPr>
          <w:rFonts w:cs="Times New Roman"/>
          <w:szCs w:val="24"/>
        </w:rPr>
        <w:t>Criminal or Tortious Behavior</w:t>
      </w:r>
    </w:p>
    <w:p w14:paraId="4036C07E" w14:textId="77777777" w:rsidR="00351D80" w:rsidRPr="00443F62" w:rsidRDefault="00351D80" w:rsidP="00351D80">
      <w:pPr>
        <w:pStyle w:val="ListParagraph"/>
        <w:numPr>
          <w:ilvl w:val="3"/>
          <w:numId w:val="5"/>
        </w:numPr>
        <w:rPr>
          <w:rFonts w:cs="Times New Roman"/>
          <w:sz w:val="24"/>
          <w:szCs w:val="24"/>
        </w:rPr>
      </w:pPr>
      <w:r w:rsidRPr="00443F62">
        <w:rPr>
          <w:rFonts w:cs="Times New Roman"/>
          <w:sz w:val="24"/>
          <w:szCs w:val="24"/>
        </w:rPr>
        <w:t xml:space="preserve">R2 Agency § 231 – servant’s acts “may be within the scope of employment although consciously criminal or tortious.” </w:t>
      </w:r>
    </w:p>
    <w:p w14:paraId="0F837758" w14:textId="77777777" w:rsidR="00351D80" w:rsidRPr="00443F62" w:rsidRDefault="00351D80" w:rsidP="00351D80">
      <w:pPr>
        <w:pStyle w:val="ListParagraph"/>
        <w:numPr>
          <w:ilvl w:val="3"/>
          <w:numId w:val="5"/>
        </w:numPr>
        <w:rPr>
          <w:rFonts w:cs="Times New Roman"/>
          <w:sz w:val="24"/>
          <w:szCs w:val="24"/>
        </w:rPr>
      </w:pPr>
      <w:r w:rsidRPr="00443F62">
        <w:rPr>
          <w:rFonts w:cs="Times New Roman"/>
          <w:sz w:val="24"/>
          <w:szCs w:val="24"/>
        </w:rPr>
        <w:t xml:space="preserve">R2 Agency § 222(2) – “a servant’s use of force against another is within the scope of employment if “the use of force is not </w:t>
      </w:r>
      <w:proofErr w:type="spellStart"/>
      <w:r w:rsidRPr="00443F62">
        <w:rPr>
          <w:rFonts w:cs="Times New Roman"/>
          <w:sz w:val="24"/>
          <w:szCs w:val="24"/>
        </w:rPr>
        <w:t>unexpectable</w:t>
      </w:r>
      <w:proofErr w:type="spellEnd"/>
      <w:r w:rsidRPr="00443F62">
        <w:rPr>
          <w:rFonts w:cs="Times New Roman"/>
          <w:sz w:val="24"/>
          <w:szCs w:val="24"/>
        </w:rPr>
        <w:t xml:space="preserve"> by the master.”</w:t>
      </w:r>
    </w:p>
    <w:p w14:paraId="5D7431EF" w14:textId="77777777" w:rsidR="00756888" w:rsidRPr="001C65D9" w:rsidRDefault="00756888" w:rsidP="00351D80">
      <w:pPr>
        <w:pStyle w:val="ListParagraph"/>
        <w:numPr>
          <w:ilvl w:val="3"/>
          <w:numId w:val="5"/>
        </w:numPr>
        <w:rPr>
          <w:rFonts w:cs="Times New Roman"/>
          <w:b/>
          <w:i/>
          <w:sz w:val="24"/>
          <w:szCs w:val="24"/>
        </w:rPr>
      </w:pPr>
      <w:r w:rsidRPr="001C65D9">
        <w:rPr>
          <w:rFonts w:cs="Times New Roman"/>
          <w:b/>
          <w:i/>
          <w:sz w:val="24"/>
          <w:szCs w:val="24"/>
        </w:rPr>
        <w:t xml:space="preserve">Manning v. </w:t>
      </w:r>
      <w:proofErr w:type="spellStart"/>
      <w:r w:rsidRPr="001C65D9">
        <w:rPr>
          <w:rFonts w:cs="Times New Roman"/>
          <w:b/>
          <w:i/>
          <w:sz w:val="24"/>
          <w:szCs w:val="24"/>
        </w:rPr>
        <w:t>Grimsley</w:t>
      </w:r>
      <w:proofErr w:type="spellEnd"/>
      <w:r w:rsidRPr="001C65D9">
        <w:rPr>
          <w:rFonts w:cs="Times New Roman"/>
          <w:b/>
          <w:i/>
          <w:sz w:val="24"/>
          <w:szCs w:val="24"/>
        </w:rPr>
        <w:t xml:space="preserve"> (1st Cir. 1981)</w:t>
      </w:r>
    </w:p>
    <w:p w14:paraId="4DAC8154" w14:textId="77777777" w:rsidR="00756888" w:rsidRPr="00443F62" w:rsidRDefault="00756888" w:rsidP="00351D80">
      <w:pPr>
        <w:pStyle w:val="ListParagraph"/>
        <w:numPr>
          <w:ilvl w:val="4"/>
          <w:numId w:val="5"/>
        </w:numPr>
        <w:rPr>
          <w:rFonts w:cs="Times New Roman"/>
          <w:sz w:val="24"/>
          <w:szCs w:val="24"/>
        </w:rPr>
      </w:pPr>
      <w:r w:rsidRPr="00443F62">
        <w:rPr>
          <w:rFonts w:cs="Times New Roman"/>
          <w:sz w:val="24"/>
          <w:szCs w:val="24"/>
        </w:rPr>
        <w:t xml:space="preserve">Synopsis: David Manning (P) was heckling at D Defendant-employee, Ross </w:t>
      </w:r>
      <w:proofErr w:type="spellStart"/>
      <w:r w:rsidRPr="00443F62">
        <w:rPr>
          <w:rFonts w:cs="Times New Roman"/>
          <w:sz w:val="24"/>
          <w:szCs w:val="24"/>
        </w:rPr>
        <w:t>Grimsley</w:t>
      </w:r>
      <w:proofErr w:type="spellEnd"/>
      <w:r w:rsidRPr="00443F62">
        <w:rPr>
          <w:rFonts w:cs="Times New Roman"/>
          <w:sz w:val="24"/>
          <w:szCs w:val="24"/>
        </w:rPr>
        <w:t xml:space="preserve">, while playing for Defendant-employer, Baltimore Baseball Club, Inc. </w:t>
      </w:r>
      <w:proofErr w:type="spellStart"/>
      <w:r w:rsidRPr="00443F62">
        <w:rPr>
          <w:rFonts w:cs="Times New Roman"/>
          <w:sz w:val="24"/>
          <w:szCs w:val="24"/>
        </w:rPr>
        <w:t>Grimsley</w:t>
      </w:r>
      <w:proofErr w:type="spellEnd"/>
      <w:r w:rsidRPr="00443F62">
        <w:rPr>
          <w:rFonts w:cs="Times New Roman"/>
          <w:sz w:val="24"/>
          <w:szCs w:val="24"/>
        </w:rPr>
        <w:t xml:space="preserve"> aimed ball directly at P and hit him. Court found </w:t>
      </w:r>
      <w:proofErr w:type="spellStart"/>
      <w:r w:rsidRPr="00443F62">
        <w:rPr>
          <w:rFonts w:cs="Times New Roman"/>
          <w:sz w:val="24"/>
          <w:szCs w:val="24"/>
        </w:rPr>
        <w:t>Grimsley</w:t>
      </w:r>
      <w:proofErr w:type="spellEnd"/>
      <w:r w:rsidRPr="00443F62">
        <w:rPr>
          <w:rFonts w:cs="Times New Roman"/>
          <w:sz w:val="24"/>
          <w:szCs w:val="24"/>
        </w:rPr>
        <w:t xml:space="preserve"> threw the ball to stop heckling which was “affecting his ability to warm up and, if the opportunity came, to play in the game itself.” Court vacated and remanded because jury could have inferred that </w:t>
      </w:r>
      <w:proofErr w:type="spellStart"/>
      <w:r w:rsidRPr="00443F62">
        <w:rPr>
          <w:rFonts w:cs="Times New Roman"/>
          <w:sz w:val="24"/>
          <w:szCs w:val="24"/>
        </w:rPr>
        <w:t>Grimsley</w:t>
      </w:r>
      <w:proofErr w:type="spellEnd"/>
      <w:r w:rsidRPr="00443F62">
        <w:rPr>
          <w:rFonts w:cs="Times New Roman"/>
          <w:sz w:val="24"/>
          <w:szCs w:val="24"/>
        </w:rPr>
        <w:t xml:space="preserve"> committed battery. </w:t>
      </w:r>
    </w:p>
    <w:p w14:paraId="6DEA55BE" w14:textId="77777777" w:rsidR="00756888" w:rsidRPr="00443F62" w:rsidRDefault="00756888" w:rsidP="00351D80">
      <w:pPr>
        <w:pStyle w:val="ListParagraph"/>
        <w:numPr>
          <w:ilvl w:val="4"/>
          <w:numId w:val="5"/>
        </w:numPr>
        <w:rPr>
          <w:rFonts w:cs="Times New Roman"/>
          <w:sz w:val="24"/>
          <w:szCs w:val="24"/>
        </w:rPr>
      </w:pPr>
      <w:r w:rsidRPr="00443F62">
        <w:rPr>
          <w:rFonts w:cs="Times New Roman"/>
          <w:sz w:val="24"/>
          <w:szCs w:val="24"/>
        </w:rPr>
        <w:t xml:space="preserve">Tool: “Where a plaintiff seeks to recover damages from an employer for injuries resulting from an employee’s assault…what must be shown is that the employee’s assault was in response to the plaintiff’s </w:t>
      </w:r>
      <w:r w:rsidRPr="00443F62">
        <w:rPr>
          <w:rFonts w:cs="Times New Roman"/>
          <w:sz w:val="24"/>
          <w:szCs w:val="24"/>
          <w:u w:val="single"/>
        </w:rPr>
        <w:t>conduct</w:t>
      </w:r>
      <w:r w:rsidRPr="00443F62">
        <w:rPr>
          <w:rFonts w:cs="Times New Roman"/>
          <w:sz w:val="24"/>
          <w:szCs w:val="24"/>
        </w:rPr>
        <w:t xml:space="preserve"> which was presently interfering with the employee’s ability to perform his duties successfully. This interference may be in the form of an affirmative attempt to prevent an employee from carrying out his assignments.”</w:t>
      </w:r>
    </w:p>
    <w:p w14:paraId="12444C41" w14:textId="5F3DBE2F" w:rsidR="00FE3FFB" w:rsidRPr="001C65D9" w:rsidRDefault="00351D80" w:rsidP="00351D80">
      <w:pPr>
        <w:pStyle w:val="ListParagraph"/>
        <w:numPr>
          <w:ilvl w:val="2"/>
          <w:numId w:val="5"/>
        </w:numPr>
        <w:rPr>
          <w:rFonts w:cs="Times New Roman"/>
          <w:b/>
          <w:i/>
          <w:sz w:val="24"/>
          <w:szCs w:val="24"/>
        </w:rPr>
      </w:pPr>
      <w:r>
        <w:rPr>
          <w:rFonts w:cs="Times New Roman"/>
          <w:szCs w:val="24"/>
        </w:rPr>
        <w:t xml:space="preserve">Motivation – </w:t>
      </w:r>
      <w:r w:rsidR="00FE3FFB" w:rsidRPr="001C65D9">
        <w:rPr>
          <w:rFonts w:cs="Times New Roman"/>
          <w:b/>
          <w:i/>
          <w:sz w:val="24"/>
          <w:szCs w:val="24"/>
        </w:rPr>
        <w:t xml:space="preserve">Ira S. </w:t>
      </w:r>
      <w:proofErr w:type="spellStart"/>
      <w:r w:rsidR="00FE3FFB" w:rsidRPr="001C65D9">
        <w:rPr>
          <w:rFonts w:cs="Times New Roman"/>
          <w:b/>
          <w:i/>
          <w:sz w:val="24"/>
          <w:szCs w:val="24"/>
        </w:rPr>
        <w:t>Bushey</w:t>
      </w:r>
      <w:proofErr w:type="spellEnd"/>
      <w:r w:rsidR="00FE3FFB" w:rsidRPr="001C65D9">
        <w:rPr>
          <w:rFonts w:cs="Times New Roman"/>
          <w:b/>
          <w:i/>
          <w:sz w:val="24"/>
          <w:szCs w:val="24"/>
        </w:rPr>
        <w:t xml:space="preserve"> &amp; Sons, Inc. v. United States (2d Cir. 1968)</w:t>
      </w:r>
    </w:p>
    <w:p w14:paraId="612E260A" w14:textId="77777777" w:rsidR="00FE3FFB" w:rsidRPr="00443F62" w:rsidRDefault="00FE3FFB" w:rsidP="00351D80">
      <w:pPr>
        <w:pStyle w:val="ListParagraph"/>
        <w:numPr>
          <w:ilvl w:val="3"/>
          <w:numId w:val="5"/>
        </w:numPr>
        <w:rPr>
          <w:rFonts w:cs="Times New Roman"/>
          <w:sz w:val="24"/>
          <w:szCs w:val="24"/>
        </w:rPr>
      </w:pPr>
      <w:r w:rsidRPr="00443F62">
        <w:rPr>
          <w:rFonts w:cs="Times New Roman"/>
          <w:sz w:val="24"/>
          <w:szCs w:val="24"/>
        </w:rPr>
        <w:t xml:space="preserve">Synopsis: Ira S. </w:t>
      </w:r>
      <w:proofErr w:type="spellStart"/>
      <w:r w:rsidRPr="00443F62">
        <w:rPr>
          <w:rFonts w:cs="Times New Roman"/>
          <w:sz w:val="24"/>
          <w:szCs w:val="24"/>
        </w:rPr>
        <w:t>Bushey’s</w:t>
      </w:r>
      <w:proofErr w:type="spellEnd"/>
      <w:r w:rsidRPr="00443F62">
        <w:rPr>
          <w:rFonts w:cs="Times New Roman"/>
          <w:sz w:val="24"/>
          <w:szCs w:val="24"/>
        </w:rPr>
        <w:t xml:space="preserve"> (P’s) </w:t>
      </w:r>
      <w:proofErr w:type="spellStart"/>
      <w:r w:rsidRPr="00443F62">
        <w:rPr>
          <w:rFonts w:cs="Times New Roman"/>
          <w:sz w:val="24"/>
          <w:szCs w:val="24"/>
        </w:rPr>
        <w:t>drydock</w:t>
      </w:r>
      <w:proofErr w:type="spellEnd"/>
      <w:r w:rsidRPr="00443F62">
        <w:rPr>
          <w:rFonts w:cs="Times New Roman"/>
          <w:sz w:val="24"/>
          <w:szCs w:val="24"/>
        </w:rPr>
        <w:t xml:space="preserve"> sustained damage when United States Coast Guard’s (D’s) drunken employee, Lane, opened a valve. D argues that it should not be liable because his employee acted outside the scope of employment.</w:t>
      </w:r>
      <w:r w:rsidR="006241AD" w:rsidRPr="00443F62">
        <w:rPr>
          <w:rFonts w:cs="Times New Roman"/>
          <w:sz w:val="24"/>
          <w:szCs w:val="24"/>
        </w:rPr>
        <w:t xml:space="preserve"> The court ruled in favor of P finding that employee’s conduct was not so “</w:t>
      </w:r>
      <w:r w:rsidR="006241AD" w:rsidRPr="00443F62">
        <w:rPr>
          <w:rFonts w:cs="Times New Roman"/>
          <w:sz w:val="24"/>
          <w:szCs w:val="24"/>
          <w:u w:val="single"/>
        </w:rPr>
        <w:t>unforeseeable</w:t>
      </w:r>
      <w:r w:rsidR="006241AD" w:rsidRPr="00443F62">
        <w:rPr>
          <w:rFonts w:cs="Times New Roman"/>
          <w:sz w:val="24"/>
          <w:szCs w:val="24"/>
        </w:rPr>
        <w:t xml:space="preserve">” as to make it unfair to impose liability on the D. Employee was drunk and on his way back to the ship when caused damage to the ship. It is reasonably foreseeable that a drunk sailor might do damage to P’s </w:t>
      </w:r>
      <w:proofErr w:type="spellStart"/>
      <w:r w:rsidR="006241AD" w:rsidRPr="00443F62">
        <w:rPr>
          <w:rFonts w:cs="Times New Roman"/>
          <w:sz w:val="24"/>
          <w:szCs w:val="24"/>
        </w:rPr>
        <w:t>drydock</w:t>
      </w:r>
      <w:proofErr w:type="spellEnd"/>
      <w:r w:rsidR="006241AD" w:rsidRPr="00443F62">
        <w:rPr>
          <w:rFonts w:cs="Times New Roman"/>
          <w:sz w:val="24"/>
          <w:szCs w:val="24"/>
        </w:rPr>
        <w:t xml:space="preserve"> while leaving and exiting the ship. The outcome of the case would have been different had employee set fire to the bar where he had been drinking or caused an accident on the street. The liability of an employer does not reach into areas when the employee creates risks different from those attendant to the actives pursued by the employer.</w:t>
      </w:r>
    </w:p>
    <w:p w14:paraId="427631F6" w14:textId="77777777" w:rsidR="00FE3FFB" w:rsidRPr="00443F62" w:rsidRDefault="00FE3FFB" w:rsidP="00351D80">
      <w:pPr>
        <w:pStyle w:val="ListParagraph"/>
        <w:numPr>
          <w:ilvl w:val="3"/>
          <w:numId w:val="5"/>
        </w:numPr>
        <w:rPr>
          <w:rFonts w:cs="Times New Roman"/>
          <w:sz w:val="24"/>
          <w:szCs w:val="24"/>
        </w:rPr>
      </w:pPr>
      <w:r w:rsidRPr="00443F62">
        <w:rPr>
          <w:rFonts w:cs="Times New Roman"/>
          <w:sz w:val="24"/>
          <w:szCs w:val="24"/>
        </w:rPr>
        <w:t xml:space="preserve">Tool: </w:t>
      </w:r>
    </w:p>
    <w:p w14:paraId="4B678C86" w14:textId="77777777" w:rsidR="00FE3FFB" w:rsidRPr="00443F62" w:rsidRDefault="00FE3FFB" w:rsidP="00351D80">
      <w:pPr>
        <w:pStyle w:val="ListParagraph"/>
        <w:numPr>
          <w:ilvl w:val="4"/>
          <w:numId w:val="5"/>
        </w:numPr>
        <w:rPr>
          <w:rFonts w:cs="Times New Roman"/>
          <w:sz w:val="24"/>
          <w:szCs w:val="24"/>
        </w:rPr>
      </w:pPr>
      <w:r w:rsidRPr="00443F62">
        <w:rPr>
          <w:rFonts w:cs="Times New Roman"/>
          <w:sz w:val="24"/>
          <w:szCs w:val="24"/>
        </w:rPr>
        <w:t>Plaintiffs do not need to show that the agent was motivated by a purpose to serve the master. Instead, it would suffice to show that the conduct arose out of and in the course of the employment.</w:t>
      </w:r>
    </w:p>
    <w:p w14:paraId="0D55E70E" w14:textId="77777777" w:rsidR="00351D80" w:rsidRDefault="00FE3FFB" w:rsidP="00351D80">
      <w:pPr>
        <w:pStyle w:val="ListParagraph"/>
        <w:numPr>
          <w:ilvl w:val="4"/>
          <w:numId w:val="5"/>
        </w:numPr>
        <w:rPr>
          <w:rFonts w:cs="Times New Roman"/>
          <w:szCs w:val="24"/>
        </w:rPr>
      </w:pPr>
      <w:r w:rsidRPr="00443F62">
        <w:rPr>
          <w:rFonts w:cs="Times New Roman"/>
          <w:sz w:val="24"/>
          <w:szCs w:val="24"/>
        </w:rPr>
        <w:t xml:space="preserve">Thus, rejects R2 Agency § 228(1). Even if an employee’s conduct is not motivated by his employer’s interests, an employer is still vicariously liable for an employee’s negligent acts if the employee’s conduct was </w:t>
      </w:r>
      <w:r w:rsidRPr="00443F62">
        <w:rPr>
          <w:rFonts w:cs="Times New Roman"/>
          <w:sz w:val="24"/>
          <w:szCs w:val="24"/>
          <w:u w:val="single"/>
        </w:rPr>
        <w:t>reasonably foreseeable</w:t>
      </w:r>
      <w:r w:rsidRPr="00443F62">
        <w:rPr>
          <w:rFonts w:cs="Times New Roman"/>
          <w:sz w:val="24"/>
          <w:szCs w:val="24"/>
        </w:rPr>
        <w:t xml:space="preserve"> and within the scope of his employment.</w:t>
      </w:r>
    </w:p>
    <w:p w14:paraId="73C96559" w14:textId="5F6BB99C" w:rsidR="006241AD" w:rsidRPr="00351D80" w:rsidRDefault="006241AD" w:rsidP="00351D80">
      <w:pPr>
        <w:pStyle w:val="ListParagraph"/>
        <w:numPr>
          <w:ilvl w:val="4"/>
          <w:numId w:val="5"/>
        </w:numPr>
        <w:rPr>
          <w:rFonts w:cs="Times New Roman"/>
          <w:sz w:val="24"/>
          <w:szCs w:val="24"/>
        </w:rPr>
      </w:pPr>
      <w:r w:rsidRPr="00351D80">
        <w:rPr>
          <w:rFonts w:cs="Times New Roman"/>
          <w:sz w:val="24"/>
          <w:szCs w:val="24"/>
        </w:rPr>
        <w:t>JUDGE FRIENDLY SIMPLY THREW OUT THE LAW</w:t>
      </w:r>
      <w:r w:rsidR="001B4CDE" w:rsidRPr="00351D80">
        <w:rPr>
          <w:rFonts w:cs="Times New Roman"/>
          <w:sz w:val="24"/>
          <w:szCs w:val="24"/>
        </w:rPr>
        <w:t xml:space="preserve">. </w:t>
      </w:r>
    </w:p>
    <w:p w14:paraId="1041FF25" w14:textId="7B6DC9E0" w:rsidR="003C0A28" w:rsidRPr="00443F62" w:rsidRDefault="003C0A28" w:rsidP="00400AD6">
      <w:pPr>
        <w:pStyle w:val="Heading2"/>
        <w:numPr>
          <w:ilvl w:val="0"/>
          <w:numId w:val="5"/>
        </w:numPr>
      </w:pPr>
      <w:r w:rsidRPr="00443F62">
        <w:lastRenderedPageBreak/>
        <w:t>Fiduciary Duties</w:t>
      </w:r>
    </w:p>
    <w:p w14:paraId="66A8288E" w14:textId="7F249153" w:rsidR="003C0A28" w:rsidRPr="00443F62" w:rsidRDefault="0032331E" w:rsidP="00400AD6">
      <w:pPr>
        <w:pStyle w:val="Heading3"/>
        <w:numPr>
          <w:ilvl w:val="1"/>
          <w:numId w:val="5"/>
        </w:numPr>
      </w:pPr>
      <w:r>
        <w:t>Rule</w:t>
      </w:r>
    </w:p>
    <w:p w14:paraId="5C28BC75" w14:textId="6567A75E" w:rsidR="00693B0B" w:rsidRPr="00443F62" w:rsidRDefault="00693B0B" w:rsidP="00693B0B">
      <w:pPr>
        <w:pStyle w:val="ListParagraph"/>
        <w:numPr>
          <w:ilvl w:val="2"/>
          <w:numId w:val="5"/>
        </w:numPr>
        <w:rPr>
          <w:rFonts w:cs="Times New Roman"/>
          <w:sz w:val="24"/>
          <w:szCs w:val="24"/>
        </w:rPr>
      </w:pPr>
      <w:r w:rsidRPr="00443F62">
        <w:rPr>
          <w:rFonts w:cs="Times New Roman"/>
          <w:sz w:val="24"/>
          <w:szCs w:val="24"/>
        </w:rPr>
        <w:t>Agents owe their principals a duty of loyalty and a duty of care.</w:t>
      </w:r>
      <w:r w:rsidR="0032331E">
        <w:rPr>
          <w:rFonts w:cs="Times New Roman"/>
          <w:szCs w:val="24"/>
        </w:rPr>
        <w:t xml:space="preserve"> </w:t>
      </w:r>
    </w:p>
    <w:p w14:paraId="22E6E331" w14:textId="7A47B3CB" w:rsidR="0032331E" w:rsidRPr="0032331E" w:rsidRDefault="00693B0B" w:rsidP="0032331E">
      <w:pPr>
        <w:pStyle w:val="Heading3"/>
        <w:numPr>
          <w:ilvl w:val="1"/>
          <w:numId w:val="5"/>
        </w:numPr>
      </w:pPr>
      <w:r w:rsidRPr="0032331E">
        <w:t xml:space="preserve">Duty </w:t>
      </w:r>
      <w:r w:rsidR="0032331E" w:rsidRPr="0032331E">
        <w:t>of Care</w:t>
      </w:r>
    </w:p>
    <w:p w14:paraId="2A071CB0" w14:textId="6354EDCD" w:rsidR="00693B0B" w:rsidRPr="00443F62" w:rsidRDefault="0032331E" w:rsidP="0032331E">
      <w:pPr>
        <w:pStyle w:val="ListParagraph"/>
        <w:numPr>
          <w:ilvl w:val="2"/>
          <w:numId w:val="5"/>
        </w:numPr>
        <w:rPr>
          <w:rFonts w:cs="Times New Roman"/>
          <w:sz w:val="24"/>
          <w:szCs w:val="24"/>
        </w:rPr>
      </w:pPr>
      <w:r>
        <w:rPr>
          <w:rFonts w:cs="Times New Roman"/>
          <w:szCs w:val="24"/>
        </w:rPr>
        <w:t xml:space="preserve">Rule – </w:t>
      </w:r>
      <w:r w:rsidR="00693B0B" w:rsidRPr="00443F62">
        <w:rPr>
          <w:rFonts w:cs="Times New Roman"/>
          <w:sz w:val="24"/>
          <w:szCs w:val="24"/>
        </w:rPr>
        <w:t>“Unless otherwise agreed, a paid agent is subject to a duty to the principal to act with standard care and with the skill which is standard in the locality for the kind of work which he is employed to perform and, in addition, to exercise any special skill that he has.”</w:t>
      </w:r>
      <w:r>
        <w:rPr>
          <w:rFonts w:cs="Times New Roman"/>
          <w:szCs w:val="24"/>
        </w:rPr>
        <w:t xml:space="preserve"> R2d § 379</w:t>
      </w:r>
    </w:p>
    <w:p w14:paraId="35F93D3A" w14:textId="29DAA5F1" w:rsidR="003C0A28" w:rsidRPr="00443F62" w:rsidRDefault="0032331E" w:rsidP="00400AD6">
      <w:pPr>
        <w:pStyle w:val="Heading3"/>
        <w:numPr>
          <w:ilvl w:val="1"/>
          <w:numId w:val="5"/>
        </w:numPr>
      </w:pPr>
      <w:r>
        <w:t>Duty of Loyalty</w:t>
      </w:r>
    </w:p>
    <w:p w14:paraId="27379AB6" w14:textId="1B36FE2D" w:rsidR="0032331E" w:rsidRDefault="0032331E" w:rsidP="0032331E">
      <w:pPr>
        <w:pStyle w:val="ListParagraph"/>
        <w:numPr>
          <w:ilvl w:val="2"/>
          <w:numId w:val="5"/>
        </w:numPr>
        <w:rPr>
          <w:rFonts w:cs="Times New Roman"/>
          <w:szCs w:val="24"/>
        </w:rPr>
      </w:pPr>
      <w:r>
        <w:rPr>
          <w:rFonts w:cs="Times New Roman"/>
          <w:szCs w:val="24"/>
        </w:rPr>
        <w:t>Rule</w:t>
      </w:r>
    </w:p>
    <w:p w14:paraId="27EB96CE" w14:textId="77777777" w:rsidR="0032331E" w:rsidRPr="00443F62" w:rsidRDefault="0032331E" w:rsidP="0032331E">
      <w:pPr>
        <w:pStyle w:val="ListParagraph"/>
        <w:numPr>
          <w:ilvl w:val="3"/>
          <w:numId w:val="5"/>
        </w:numPr>
        <w:rPr>
          <w:rFonts w:cs="Times New Roman"/>
          <w:sz w:val="24"/>
          <w:szCs w:val="24"/>
        </w:rPr>
      </w:pPr>
      <w:r w:rsidRPr="00443F62">
        <w:rPr>
          <w:rFonts w:cs="Times New Roman"/>
          <w:sz w:val="24"/>
          <w:szCs w:val="24"/>
        </w:rPr>
        <w:t>“Unless otherwise agreed, an agent is subject to a duty to his principal to act solely for the benefit of the principal in all matters connected with his agency.</w:t>
      </w:r>
      <w:r>
        <w:rPr>
          <w:rFonts w:cs="Times New Roman"/>
          <w:sz w:val="24"/>
          <w:szCs w:val="24"/>
        </w:rPr>
        <w:t xml:space="preserve">” </w:t>
      </w:r>
      <w:r>
        <w:rPr>
          <w:rFonts w:cs="Times New Roman"/>
          <w:szCs w:val="24"/>
        </w:rPr>
        <w:t>R2d § 387.</w:t>
      </w:r>
    </w:p>
    <w:p w14:paraId="2989D636" w14:textId="35ADB065" w:rsidR="0032331E" w:rsidRPr="0032331E" w:rsidRDefault="0032331E" w:rsidP="0032331E">
      <w:pPr>
        <w:pStyle w:val="ListParagraph"/>
        <w:numPr>
          <w:ilvl w:val="3"/>
          <w:numId w:val="5"/>
        </w:numPr>
        <w:rPr>
          <w:rFonts w:cs="Times New Roman"/>
          <w:szCs w:val="24"/>
        </w:rPr>
      </w:pPr>
      <w:r w:rsidRPr="00443F62">
        <w:rPr>
          <w:rFonts w:cs="Times New Roman"/>
          <w:sz w:val="24"/>
          <w:szCs w:val="24"/>
        </w:rPr>
        <w:t>“An agent has a duty not to acquire a material benefit from a third party in connection with transactions conducted or other actions taken on behalf of the principal or otherwise through the agent’s use of a third party.”</w:t>
      </w:r>
      <w:r>
        <w:rPr>
          <w:rFonts w:cs="Times New Roman"/>
          <w:szCs w:val="24"/>
        </w:rPr>
        <w:t xml:space="preserve"> R3 Agency 8.02.</w:t>
      </w:r>
    </w:p>
    <w:p w14:paraId="35AEAAFE" w14:textId="77777777" w:rsidR="00693B0B" w:rsidRPr="001C65D9" w:rsidRDefault="00693B0B" w:rsidP="00693B0B">
      <w:pPr>
        <w:pStyle w:val="ListParagraph"/>
        <w:numPr>
          <w:ilvl w:val="2"/>
          <w:numId w:val="5"/>
        </w:numPr>
        <w:rPr>
          <w:rFonts w:cs="Times New Roman"/>
          <w:b/>
          <w:i/>
          <w:sz w:val="24"/>
          <w:szCs w:val="24"/>
        </w:rPr>
      </w:pPr>
      <w:r w:rsidRPr="001C65D9">
        <w:rPr>
          <w:rFonts w:cs="Times New Roman"/>
          <w:b/>
          <w:i/>
          <w:sz w:val="24"/>
          <w:szCs w:val="24"/>
        </w:rPr>
        <w:t xml:space="preserve">Reading v. </w:t>
      </w:r>
      <w:proofErr w:type="spellStart"/>
      <w:r w:rsidRPr="001C65D9">
        <w:rPr>
          <w:rFonts w:cs="Times New Roman"/>
          <w:b/>
          <w:i/>
          <w:sz w:val="24"/>
          <w:szCs w:val="24"/>
        </w:rPr>
        <w:t>Regem</w:t>
      </w:r>
      <w:proofErr w:type="spellEnd"/>
      <w:r w:rsidRPr="001C65D9">
        <w:rPr>
          <w:rFonts w:cs="Times New Roman"/>
          <w:b/>
          <w:i/>
          <w:sz w:val="24"/>
          <w:szCs w:val="24"/>
        </w:rPr>
        <w:t xml:space="preserve"> (King’s Bench 1948)</w:t>
      </w:r>
    </w:p>
    <w:p w14:paraId="08E2B2B6" w14:textId="77777777" w:rsidR="00693B0B" w:rsidRPr="00443F62" w:rsidRDefault="00693B0B" w:rsidP="00693B0B">
      <w:pPr>
        <w:pStyle w:val="ListParagraph"/>
        <w:numPr>
          <w:ilvl w:val="3"/>
          <w:numId w:val="5"/>
        </w:numPr>
        <w:rPr>
          <w:rFonts w:cs="Times New Roman"/>
          <w:sz w:val="24"/>
          <w:szCs w:val="24"/>
        </w:rPr>
      </w:pPr>
      <w:r w:rsidRPr="00443F62">
        <w:rPr>
          <w:rFonts w:cs="Times New Roman"/>
          <w:sz w:val="24"/>
          <w:szCs w:val="24"/>
        </w:rPr>
        <w:t xml:space="preserve">Synopsis: Reading (P) is a sergeant in the army who is trying to reclaim money he earned as a smuggler in his army uniform taken from him by his employer, army, </w:t>
      </w:r>
      <w:proofErr w:type="spellStart"/>
      <w:r w:rsidRPr="00443F62">
        <w:rPr>
          <w:rFonts w:cs="Times New Roman"/>
          <w:sz w:val="24"/>
          <w:szCs w:val="24"/>
        </w:rPr>
        <w:t>Regem</w:t>
      </w:r>
      <w:proofErr w:type="spellEnd"/>
      <w:r w:rsidRPr="00443F62">
        <w:rPr>
          <w:rFonts w:cs="Times New Roman"/>
          <w:sz w:val="24"/>
          <w:szCs w:val="24"/>
        </w:rPr>
        <w:t xml:space="preserve"> (D). King’s Bench found that “The uniform of the Crown and the position of the plaintiff as a servant of the Crown were the only reasons why he was able to get this money, and that is sufficient to make him liable to hand it over to the Crown.”</w:t>
      </w:r>
    </w:p>
    <w:p w14:paraId="24AA0560" w14:textId="77777777" w:rsidR="00BA250C" w:rsidRDefault="00693B0B" w:rsidP="00693B0B">
      <w:pPr>
        <w:pStyle w:val="ListParagraph"/>
        <w:numPr>
          <w:ilvl w:val="3"/>
          <w:numId w:val="5"/>
        </w:numPr>
        <w:rPr>
          <w:rFonts w:cs="Times New Roman"/>
          <w:sz w:val="24"/>
          <w:szCs w:val="24"/>
        </w:rPr>
      </w:pPr>
      <w:r w:rsidRPr="00443F62">
        <w:rPr>
          <w:rFonts w:cs="Times New Roman"/>
          <w:sz w:val="24"/>
          <w:szCs w:val="24"/>
        </w:rPr>
        <w:t xml:space="preserve">Tool: </w:t>
      </w:r>
    </w:p>
    <w:p w14:paraId="7FBA291A" w14:textId="77777777" w:rsidR="00BA250C" w:rsidRDefault="00693B0B" w:rsidP="00BA250C">
      <w:pPr>
        <w:pStyle w:val="ListParagraph"/>
        <w:numPr>
          <w:ilvl w:val="4"/>
          <w:numId w:val="5"/>
        </w:numPr>
        <w:rPr>
          <w:rFonts w:cs="Times New Roman"/>
          <w:sz w:val="24"/>
          <w:szCs w:val="24"/>
        </w:rPr>
      </w:pPr>
      <w:r w:rsidRPr="00443F62">
        <w:rPr>
          <w:rFonts w:cs="Times New Roman"/>
          <w:sz w:val="24"/>
          <w:szCs w:val="24"/>
        </w:rPr>
        <w:t>“it is a principle of law that, if a servant takes advantage of his service and violates his duty of honesty and good faith to make a profit for himself, in the sense that the assets of which he has control, the facilities which he enjoys, or the position which he occupies, are the real cause of his obtaining the money as distinct from merely affording the opportunity for getting it, that is to say, if they play the predominant part in his obtaining the money, then he is accountable for it to his master. It matters not that the master has not lost any profit nor suffered any damage, nor does it matter that the master could not have done the act himself.”</w:t>
      </w:r>
    </w:p>
    <w:p w14:paraId="1ECEB26C" w14:textId="77777777" w:rsidR="00BA250C" w:rsidRPr="00BA250C" w:rsidRDefault="00BA250C" w:rsidP="00BA250C">
      <w:pPr>
        <w:pStyle w:val="ListParagraph"/>
        <w:numPr>
          <w:ilvl w:val="5"/>
          <w:numId w:val="5"/>
        </w:numPr>
        <w:rPr>
          <w:rFonts w:cs="Times New Roman"/>
          <w:sz w:val="24"/>
          <w:szCs w:val="24"/>
        </w:rPr>
      </w:pPr>
      <w:r w:rsidRPr="00BA250C">
        <w:rPr>
          <w:rFonts w:cs="Times New Roman"/>
          <w:sz w:val="24"/>
          <w:szCs w:val="24"/>
        </w:rPr>
        <w:t xml:space="preserve">An agent cannot profit from transactions he is able to exploit only through association with principal. </w:t>
      </w:r>
    </w:p>
    <w:p w14:paraId="7A9F903A" w14:textId="77777777" w:rsidR="00BA250C" w:rsidRPr="00BA250C" w:rsidRDefault="00BA250C" w:rsidP="00BA250C">
      <w:pPr>
        <w:pStyle w:val="ListParagraph"/>
        <w:numPr>
          <w:ilvl w:val="5"/>
          <w:numId w:val="5"/>
        </w:numPr>
        <w:rPr>
          <w:rFonts w:cs="Times New Roman"/>
          <w:sz w:val="24"/>
          <w:szCs w:val="24"/>
        </w:rPr>
      </w:pPr>
      <w:r w:rsidRPr="00BA250C">
        <w:rPr>
          <w:rFonts w:cs="Times New Roman"/>
          <w:sz w:val="24"/>
          <w:szCs w:val="24"/>
        </w:rPr>
        <w:t xml:space="preserve">Agent may not keep profit he/she makes if (1) only reason you have profits is because agency you have and (2) this is prohibited by principal. </w:t>
      </w:r>
    </w:p>
    <w:p w14:paraId="566D0DB6" w14:textId="77777777" w:rsidR="00BA250C" w:rsidRPr="002E727A" w:rsidRDefault="00BA250C" w:rsidP="00BA250C">
      <w:pPr>
        <w:pStyle w:val="ListParagraph"/>
        <w:numPr>
          <w:ilvl w:val="5"/>
          <w:numId w:val="5"/>
        </w:numPr>
        <w:rPr>
          <w:rFonts w:cs="Times New Roman"/>
          <w:b/>
          <w:sz w:val="24"/>
          <w:szCs w:val="24"/>
          <w:u w:val="single"/>
        </w:rPr>
      </w:pPr>
      <w:r w:rsidRPr="002E727A">
        <w:rPr>
          <w:rFonts w:cs="Times New Roman"/>
          <w:b/>
          <w:sz w:val="24"/>
          <w:szCs w:val="24"/>
          <w:u w:val="single"/>
        </w:rPr>
        <w:t>Agent owes such profits to principle even if principal has not suffered loss</w:t>
      </w:r>
    </w:p>
    <w:p w14:paraId="0BB67F06" w14:textId="77777777" w:rsidR="00693B0B" w:rsidRPr="001C65D9" w:rsidRDefault="00693B0B" w:rsidP="00693B0B">
      <w:pPr>
        <w:pStyle w:val="ListParagraph"/>
        <w:numPr>
          <w:ilvl w:val="2"/>
          <w:numId w:val="5"/>
        </w:numPr>
        <w:rPr>
          <w:rFonts w:cs="Times New Roman"/>
          <w:b/>
          <w:i/>
          <w:sz w:val="24"/>
          <w:szCs w:val="24"/>
        </w:rPr>
      </w:pPr>
      <w:r w:rsidRPr="001C65D9">
        <w:rPr>
          <w:rFonts w:cs="Times New Roman"/>
          <w:b/>
          <w:i/>
          <w:sz w:val="24"/>
          <w:szCs w:val="24"/>
        </w:rPr>
        <w:t>Town &amp; Country House &amp; Home Service, Inc. v. Newbery (NY 1958)</w:t>
      </w:r>
    </w:p>
    <w:p w14:paraId="7333D215" w14:textId="77777777" w:rsidR="00693B0B" w:rsidRPr="00443F62" w:rsidRDefault="00693B0B" w:rsidP="00693B0B">
      <w:pPr>
        <w:pStyle w:val="ListParagraph"/>
        <w:numPr>
          <w:ilvl w:val="3"/>
          <w:numId w:val="5"/>
        </w:numPr>
        <w:rPr>
          <w:rFonts w:cs="Times New Roman"/>
          <w:sz w:val="24"/>
          <w:szCs w:val="24"/>
        </w:rPr>
      </w:pPr>
      <w:r w:rsidRPr="00443F62">
        <w:rPr>
          <w:rFonts w:cs="Times New Roman"/>
          <w:sz w:val="24"/>
          <w:szCs w:val="24"/>
        </w:rPr>
        <w:t xml:space="preserve">Synopsis: Defendants, Percy Newbery et al., are former employees of Plaintiff, Town &amp; Country House &amp; Home Service, </w:t>
      </w:r>
      <w:proofErr w:type="spellStart"/>
      <w:r w:rsidRPr="00443F62">
        <w:rPr>
          <w:rFonts w:cs="Times New Roman"/>
          <w:sz w:val="24"/>
          <w:szCs w:val="24"/>
        </w:rPr>
        <w:t>Inc</w:t>
      </w:r>
      <w:proofErr w:type="spellEnd"/>
      <w:r w:rsidR="00DE2BAC" w:rsidRPr="00443F62">
        <w:rPr>
          <w:rFonts w:cs="Times New Roman"/>
          <w:sz w:val="24"/>
          <w:szCs w:val="24"/>
        </w:rPr>
        <w:t>, a Long Island cleaning service</w:t>
      </w:r>
      <w:r w:rsidRPr="00443F62">
        <w:rPr>
          <w:rFonts w:cs="Times New Roman"/>
          <w:sz w:val="24"/>
          <w:szCs w:val="24"/>
        </w:rPr>
        <w:t xml:space="preserve">. P brought an action after D started their own competing company soliciting P’s customers. Ps had made hundreds of calls and screened neighborhoods to establish customer base. </w:t>
      </w:r>
      <w:r w:rsidR="00D86A4D" w:rsidRPr="00443F62">
        <w:rPr>
          <w:rFonts w:cs="Times New Roman"/>
          <w:sz w:val="24"/>
          <w:szCs w:val="24"/>
        </w:rPr>
        <w:t>Court found that Ds had a duty to protect P’s trade secrets and are prohibited from profiting from the secrets even after their employment ended. The customer listing was formulated through much effort on behalf of Ps, but their methods of cleaning a house were nothing so secretive as to justify prohibiting Ds from continuing their cleaning services.</w:t>
      </w:r>
    </w:p>
    <w:p w14:paraId="260F65B8" w14:textId="77777777" w:rsidR="00693B0B" w:rsidRPr="00443F62" w:rsidRDefault="00693B0B" w:rsidP="00693B0B">
      <w:pPr>
        <w:pStyle w:val="ListParagraph"/>
        <w:numPr>
          <w:ilvl w:val="3"/>
          <w:numId w:val="5"/>
        </w:numPr>
        <w:rPr>
          <w:rFonts w:cs="Times New Roman"/>
          <w:sz w:val="24"/>
          <w:szCs w:val="24"/>
        </w:rPr>
      </w:pPr>
      <w:r w:rsidRPr="00443F62">
        <w:rPr>
          <w:rFonts w:cs="Times New Roman"/>
          <w:sz w:val="24"/>
          <w:szCs w:val="24"/>
        </w:rPr>
        <w:t>Tool: An employee can owe a fiduciary duty to their employer for the employer’s trade secrets after their service has been terminated.</w:t>
      </w:r>
    </w:p>
    <w:p w14:paraId="0F4CC4E0" w14:textId="77777777" w:rsidR="003C0A28" w:rsidRPr="00443F62" w:rsidRDefault="003C0A28" w:rsidP="003C0A28">
      <w:pPr>
        <w:rPr>
          <w:rFonts w:cs="Times New Roman"/>
          <w:szCs w:val="24"/>
        </w:rPr>
      </w:pPr>
    </w:p>
    <w:p w14:paraId="473BBBC7" w14:textId="2BC96DB4" w:rsidR="003C0A28" w:rsidRPr="0032331E" w:rsidRDefault="003C0A28" w:rsidP="0032331E">
      <w:pPr>
        <w:pStyle w:val="Heading1"/>
      </w:pPr>
      <w:r w:rsidRPr="00B77A5D">
        <w:lastRenderedPageBreak/>
        <w:t>PARTNERSHIP</w:t>
      </w:r>
    </w:p>
    <w:p w14:paraId="599FA0D3" w14:textId="3C9BCE0B" w:rsidR="003C0A28" w:rsidRPr="00443F62" w:rsidRDefault="0032331E" w:rsidP="00D926F0">
      <w:pPr>
        <w:pStyle w:val="Heading2"/>
        <w:numPr>
          <w:ilvl w:val="0"/>
          <w:numId w:val="6"/>
        </w:numPr>
      </w:pPr>
      <w:r>
        <w:t>Partners</w:t>
      </w:r>
    </w:p>
    <w:p w14:paraId="5BE9AF31" w14:textId="1CDD6A13" w:rsidR="003C0A28" w:rsidRPr="00443F62" w:rsidRDefault="0032331E" w:rsidP="00D926F0">
      <w:pPr>
        <w:pStyle w:val="Heading3"/>
        <w:numPr>
          <w:ilvl w:val="1"/>
          <w:numId w:val="6"/>
        </w:numPr>
      </w:pPr>
      <w:r>
        <w:t>Rule</w:t>
      </w:r>
    </w:p>
    <w:p w14:paraId="2EF2E443" w14:textId="50BE43C5" w:rsidR="00357BB9" w:rsidRPr="00443F62" w:rsidRDefault="00357BB9" w:rsidP="00357BB9">
      <w:pPr>
        <w:pStyle w:val="ListParagraph"/>
        <w:numPr>
          <w:ilvl w:val="2"/>
          <w:numId w:val="6"/>
        </w:numPr>
        <w:rPr>
          <w:rFonts w:cs="Times New Roman"/>
          <w:sz w:val="24"/>
          <w:szCs w:val="24"/>
        </w:rPr>
      </w:pPr>
      <w:r w:rsidRPr="00443F62">
        <w:rPr>
          <w:rFonts w:cs="Times New Roman"/>
          <w:sz w:val="24"/>
          <w:szCs w:val="24"/>
        </w:rPr>
        <w:t>“[</w:t>
      </w:r>
      <w:proofErr w:type="gramStart"/>
      <w:r w:rsidRPr="00443F62">
        <w:rPr>
          <w:rFonts w:cs="Times New Roman"/>
          <w:sz w:val="24"/>
          <w:szCs w:val="24"/>
        </w:rPr>
        <w:t>a</w:t>
      </w:r>
      <w:proofErr w:type="gramEnd"/>
      <w:r w:rsidRPr="00443F62">
        <w:rPr>
          <w:rFonts w:cs="Times New Roman"/>
          <w:sz w:val="24"/>
          <w:szCs w:val="24"/>
        </w:rPr>
        <w:t xml:space="preserve">] partnership is an association of two or more persons to carry on as co-owners </w:t>
      </w:r>
      <w:r w:rsidR="00B776BC">
        <w:rPr>
          <w:rFonts w:cs="Times New Roman"/>
          <w:sz w:val="24"/>
          <w:szCs w:val="24"/>
        </w:rPr>
        <w:t xml:space="preserve">of </w:t>
      </w:r>
      <w:r w:rsidRPr="00443F62">
        <w:rPr>
          <w:rFonts w:cs="Times New Roman"/>
          <w:sz w:val="24"/>
          <w:szCs w:val="24"/>
        </w:rPr>
        <w:t>a business for profit.”</w:t>
      </w:r>
      <w:r w:rsidR="00E942FF">
        <w:rPr>
          <w:rFonts w:cs="Times New Roman"/>
          <w:sz w:val="24"/>
          <w:szCs w:val="24"/>
        </w:rPr>
        <w:t xml:space="preserve"> </w:t>
      </w:r>
      <w:r w:rsidR="0032331E">
        <w:rPr>
          <w:rFonts w:cs="Times New Roman"/>
          <w:szCs w:val="24"/>
        </w:rPr>
        <w:t>UPA §6(1).</w:t>
      </w:r>
    </w:p>
    <w:p w14:paraId="200C9380" w14:textId="3DE60E97" w:rsidR="00357BB9" w:rsidRPr="00443F62" w:rsidRDefault="00357BB9" w:rsidP="00357BB9">
      <w:pPr>
        <w:pStyle w:val="ListParagraph"/>
        <w:numPr>
          <w:ilvl w:val="2"/>
          <w:numId w:val="6"/>
        </w:numPr>
        <w:rPr>
          <w:rFonts w:cs="Times New Roman"/>
          <w:sz w:val="24"/>
          <w:szCs w:val="24"/>
        </w:rPr>
      </w:pPr>
      <w:proofErr w:type="gramStart"/>
      <w:r w:rsidRPr="00443F62">
        <w:rPr>
          <w:rFonts w:cs="Times New Roman"/>
          <w:sz w:val="24"/>
          <w:szCs w:val="24"/>
        </w:rPr>
        <w:t>“…(</w:t>
      </w:r>
      <w:proofErr w:type="gramEnd"/>
      <w:r w:rsidRPr="00443F62">
        <w:rPr>
          <w:rFonts w:cs="Times New Roman"/>
          <w:sz w:val="24"/>
          <w:szCs w:val="24"/>
        </w:rPr>
        <w:t>a) Each partner shall…share equality in the profits and surplus remaining after all liabilities…are satisfied…(e) All partners have equal rights to the management and condu</w:t>
      </w:r>
      <w:r w:rsidR="0032331E">
        <w:rPr>
          <w:rFonts w:cs="Times New Roman"/>
          <w:szCs w:val="24"/>
        </w:rPr>
        <w:t xml:space="preserve">ct of the partnership business.” </w:t>
      </w:r>
      <w:r w:rsidR="0032331E" w:rsidRPr="00443F62">
        <w:rPr>
          <w:rFonts w:cs="Times New Roman"/>
          <w:sz w:val="24"/>
          <w:szCs w:val="24"/>
        </w:rPr>
        <w:t>1914 UP</w:t>
      </w:r>
      <w:r w:rsidR="0032331E">
        <w:rPr>
          <w:rFonts w:cs="Times New Roman"/>
          <w:szCs w:val="24"/>
        </w:rPr>
        <w:t>A § 8 (1997 UPA §401 (b), (f)).</w:t>
      </w:r>
    </w:p>
    <w:p w14:paraId="5547DA4E" w14:textId="76038BF1" w:rsidR="00443F62" w:rsidRDefault="0032331E" w:rsidP="0032331E">
      <w:pPr>
        <w:pStyle w:val="ListParagraph"/>
        <w:numPr>
          <w:ilvl w:val="2"/>
          <w:numId w:val="6"/>
        </w:numPr>
        <w:rPr>
          <w:rFonts w:cs="Times New Roman"/>
          <w:szCs w:val="24"/>
        </w:rPr>
      </w:pPr>
      <w:r>
        <w:rPr>
          <w:rFonts w:cs="Times New Roman"/>
          <w:szCs w:val="24"/>
        </w:rPr>
        <w:t>“</w:t>
      </w:r>
      <w:r w:rsidR="00443F62" w:rsidRPr="00443F62">
        <w:rPr>
          <w:rFonts w:cs="Times New Roman"/>
          <w:sz w:val="24"/>
          <w:szCs w:val="24"/>
        </w:rPr>
        <w:t>(2)…common property, or part ownership does not of itself establish a partnership…(3) The sharing of gross returns does not of itself establish a partnership…(4) The receipt by a person of a share of the profits of a business is prima facie evidence that he is a partner in the business, but no such inference shall be drawn if such profits were received in payment:…(b) As wages of an employee…(d) As interest on a loan, though the amount of payment vary with the profits of the business…”</w:t>
      </w:r>
      <w:r>
        <w:rPr>
          <w:rFonts w:cs="Times New Roman"/>
          <w:szCs w:val="24"/>
        </w:rPr>
        <w:t xml:space="preserve"> </w:t>
      </w:r>
      <w:r w:rsidRPr="00443F62">
        <w:rPr>
          <w:rFonts w:cs="Times New Roman"/>
          <w:sz w:val="24"/>
          <w:szCs w:val="24"/>
        </w:rPr>
        <w:t>1914</w:t>
      </w:r>
      <w:r>
        <w:rPr>
          <w:rFonts w:cs="Times New Roman"/>
          <w:szCs w:val="24"/>
        </w:rPr>
        <w:t xml:space="preserve"> UPA  § 7. (very circular)</w:t>
      </w:r>
    </w:p>
    <w:p w14:paraId="63B2A5CB" w14:textId="41E9164B" w:rsidR="00506A0D" w:rsidRPr="00506A0D" w:rsidRDefault="00506A0D" w:rsidP="00506A0D">
      <w:pPr>
        <w:pStyle w:val="ListParagraph"/>
        <w:numPr>
          <w:ilvl w:val="2"/>
          <w:numId w:val="6"/>
        </w:numPr>
        <w:rPr>
          <w:rFonts w:cs="Times New Roman"/>
          <w:sz w:val="24"/>
          <w:szCs w:val="24"/>
        </w:rPr>
      </w:pPr>
      <w:r>
        <w:rPr>
          <w:rFonts w:cs="Times New Roman"/>
          <w:sz w:val="24"/>
          <w:szCs w:val="24"/>
        </w:rPr>
        <w:t>“The law of agency shall apply under this act.”</w:t>
      </w:r>
      <w:r w:rsidRPr="00506A0D">
        <w:rPr>
          <w:rFonts w:cs="Times New Roman"/>
          <w:szCs w:val="24"/>
        </w:rPr>
        <w:t xml:space="preserve"> </w:t>
      </w:r>
      <w:r>
        <w:rPr>
          <w:rFonts w:cs="Times New Roman"/>
          <w:sz w:val="24"/>
          <w:szCs w:val="24"/>
        </w:rPr>
        <w:t xml:space="preserve">1914 UPA </w:t>
      </w:r>
      <w:r w:rsidRPr="00443F62">
        <w:rPr>
          <w:rFonts w:cs="Times New Roman"/>
          <w:sz w:val="24"/>
          <w:szCs w:val="24"/>
        </w:rPr>
        <w:t>§</w:t>
      </w:r>
      <w:r>
        <w:rPr>
          <w:rFonts w:cs="Times New Roman"/>
          <w:sz w:val="24"/>
          <w:szCs w:val="24"/>
        </w:rPr>
        <w:t xml:space="preserve"> 4(3) (1997 UPA </w:t>
      </w:r>
      <w:r w:rsidRPr="00443F62">
        <w:rPr>
          <w:rFonts w:cs="Times New Roman"/>
          <w:sz w:val="24"/>
          <w:szCs w:val="24"/>
        </w:rPr>
        <w:t>§</w:t>
      </w:r>
      <w:r>
        <w:rPr>
          <w:rFonts w:cs="Times New Roman"/>
          <w:szCs w:val="24"/>
        </w:rPr>
        <w:t xml:space="preserve"> 104(a)).</w:t>
      </w:r>
      <w:r w:rsidR="00B776BC">
        <w:rPr>
          <w:rFonts w:cs="Times New Roman"/>
          <w:szCs w:val="24"/>
        </w:rPr>
        <w:t xml:space="preserve"> </w:t>
      </w:r>
      <w:r w:rsidR="00B776BC" w:rsidRPr="00B776BC">
        <w:rPr>
          <w:rFonts w:cs="Times New Roman"/>
          <w:szCs w:val="24"/>
        </w:rPr>
        <w:sym w:font="Wingdings" w:char="F0E0"/>
      </w:r>
      <w:r w:rsidR="00B776BC">
        <w:rPr>
          <w:rFonts w:cs="Times New Roman"/>
          <w:szCs w:val="24"/>
        </w:rPr>
        <w:t xml:space="preserve"> </w:t>
      </w:r>
      <w:proofErr w:type="gramStart"/>
      <w:r w:rsidR="00B776BC">
        <w:rPr>
          <w:rFonts w:cs="Times New Roman"/>
          <w:szCs w:val="24"/>
        </w:rPr>
        <w:t>every</w:t>
      </w:r>
      <w:proofErr w:type="gramEnd"/>
      <w:r w:rsidR="00B776BC">
        <w:rPr>
          <w:rFonts w:cs="Times New Roman"/>
          <w:szCs w:val="24"/>
        </w:rPr>
        <w:t xml:space="preserve"> partner is an agent of the partnership for the purpose of carrying on apparently the usual business of the partnership.</w:t>
      </w:r>
    </w:p>
    <w:p w14:paraId="3EB63D71" w14:textId="299E0F15" w:rsidR="00443F62" w:rsidRPr="00144C0C" w:rsidRDefault="003C0A28" w:rsidP="00144C0C">
      <w:pPr>
        <w:pStyle w:val="Heading3"/>
        <w:numPr>
          <w:ilvl w:val="1"/>
          <w:numId w:val="6"/>
        </w:numPr>
      </w:pPr>
      <w:r w:rsidRPr="00443F62">
        <w:t>Partner or Employee?</w:t>
      </w:r>
      <w:r w:rsidR="00144C0C">
        <w:t xml:space="preserve"> </w:t>
      </w:r>
      <w:r w:rsidR="00443F62" w:rsidRPr="00144C0C">
        <w:rPr>
          <w:rFonts w:cs="Times New Roman"/>
          <w:i/>
        </w:rPr>
        <w:t>Fenwick v. Unemployment Compensation Commission (NJ 1945)</w:t>
      </w:r>
    </w:p>
    <w:p w14:paraId="705FF868" w14:textId="2F9CAB39" w:rsidR="00443F62" w:rsidRDefault="00443F62" w:rsidP="00144C0C">
      <w:pPr>
        <w:pStyle w:val="ListParagraph"/>
        <w:numPr>
          <w:ilvl w:val="2"/>
          <w:numId w:val="6"/>
        </w:numPr>
        <w:rPr>
          <w:rFonts w:cs="Times New Roman"/>
          <w:sz w:val="24"/>
          <w:szCs w:val="24"/>
        </w:rPr>
      </w:pPr>
      <w:r w:rsidRPr="00443F62">
        <w:rPr>
          <w:rFonts w:cs="Times New Roman"/>
          <w:sz w:val="24"/>
          <w:szCs w:val="24"/>
        </w:rPr>
        <w:t>Synopsis: Respondent emp</w:t>
      </w:r>
      <w:r w:rsidR="00A110D3">
        <w:rPr>
          <w:rFonts w:cs="Times New Roman"/>
          <w:sz w:val="24"/>
          <w:szCs w:val="24"/>
        </w:rPr>
        <w:t xml:space="preserve">loyer, John Fenwick, entered a “partnership” </w:t>
      </w:r>
      <w:r w:rsidRPr="00443F62">
        <w:rPr>
          <w:rFonts w:cs="Times New Roman"/>
          <w:sz w:val="24"/>
          <w:szCs w:val="24"/>
        </w:rPr>
        <w:t xml:space="preserve">agreement with employee receptionist, Arline </w:t>
      </w:r>
      <w:proofErr w:type="spellStart"/>
      <w:r w:rsidRPr="00443F62">
        <w:rPr>
          <w:rFonts w:cs="Times New Roman"/>
          <w:sz w:val="24"/>
          <w:szCs w:val="24"/>
        </w:rPr>
        <w:t>Chesire</w:t>
      </w:r>
      <w:proofErr w:type="spellEnd"/>
      <w:r w:rsidRPr="00443F62">
        <w:rPr>
          <w:rFonts w:cs="Times New Roman"/>
          <w:sz w:val="24"/>
          <w:szCs w:val="24"/>
        </w:rPr>
        <w:t xml:space="preserve">, wherein they referred to themselves as partners of a hair salon. The agreement was formed to increase </w:t>
      </w:r>
      <w:proofErr w:type="spellStart"/>
      <w:r w:rsidRPr="00443F62">
        <w:rPr>
          <w:rFonts w:cs="Times New Roman"/>
          <w:sz w:val="24"/>
          <w:szCs w:val="24"/>
        </w:rPr>
        <w:t>Chesire’s</w:t>
      </w:r>
      <w:proofErr w:type="spellEnd"/>
      <w:r w:rsidRPr="00443F62">
        <w:rPr>
          <w:rFonts w:cs="Times New Roman"/>
          <w:sz w:val="24"/>
          <w:szCs w:val="24"/>
        </w:rPr>
        <w:t xml:space="preserve"> compensation by paying her </w:t>
      </w:r>
      <w:proofErr w:type="spellStart"/>
      <w:r w:rsidRPr="00443F62">
        <w:rPr>
          <w:rFonts w:cs="Times New Roman"/>
          <w:sz w:val="24"/>
          <w:szCs w:val="24"/>
        </w:rPr>
        <w:t>her</w:t>
      </w:r>
      <w:proofErr w:type="spellEnd"/>
      <w:r w:rsidRPr="00443F62">
        <w:rPr>
          <w:rFonts w:cs="Times New Roman"/>
          <w:sz w:val="24"/>
          <w:szCs w:val="24"/>
        </w:rPr>
        <w:t xml:space="preserve"> salary plus</w:t>
      </w:r>
      <w:r w:rsidR="00471FFF">
        <w:rPr>
          <w:rFonts w:cs="Times New Roman"/>
          <w:sz w:val="24"/>
          <w:szCs w:val="24"/>
        </w:rPr>
        <w:t xml:space="preserve"> twenty percent of profits. </w:t>
      </w:r>
      <w:proofErr w:type="spellStart"/>
      <w:r w:rsidR="00471FFF">
        <w:rPr>
          <w:rFonts w:cs="Times New Roman"/>
          <w:sz w:val="24"/>
          <w:szCs w:val="24"/>
        </w:rPr>
        <w:t>Che</w:t>
      </w:r>
      <w:r w:rsidRPr="00443F62">
        <w:rPr>
          <w:rFonts w:cs="Times New Roman"/>
          <w:sz w:val="24"/>
          <w:szCs w:val="24"/>
        </w:rPr>
        <w:t>s</w:t>
      </w:r>
      <w:r w:rsidR="00471FFF">
        <w:rPr>
          <w:rFonts w:cs="Times New Roman"/>
          <w:sz w:val="24"/>
          <w:szCs w:val="24"/>
        </w:rPr>
        <w:t>i</w:t>
      </w:r>
      <w:r w:rsidRPr="00443F62">
        <w:rPr>
          <w:rFonts w:cs="Times New Roman"/>
          <w:sz w:val="24"/>
          <w:szCs w:val="24"/>
        </w:rPr>
        <w:t>re’s</w:t>
      </w:r>
      <w:proofErr w:type="spellEnd"/>
      <w:r w:rsidRPr="00443F62">
        <w:rPr>
          <w:rFonts w:cs="Times New Roman"/>
          <w:sz w:val="24"/>
          <w:szCs w:val="24"/>
        </w:rPr>
        <w:t xml:space="preserve"> duties did not change.</w:t>
      </w:r>
      <w:r>
        <w:rPr>
          <w:rFonts w:cs="Times New Roman"/>
          <w:sz w:val="24"/>
          <w:szCs w:val="24"/>
        </w:rPr>
        <w:t xml:space="preserve"> </w:t>
      </w:r>
      <w:r w:rsidR="00471FFF">
        <w:rPr>
          <w:rFonts w:cs="Times New Roman"/>
          <w:sz w:val="24"/>
          <w:szCs w:val="24"/>
        </w:rPr>
        <w:t xml:space="preserve">Notwithstanding the partnership agreement, the court called </w:t>
      </w:r>
      <w:proofErr w:type="spellStart"/>
      <w:r w:rsidR="00471FFF">
        <w:rPr>
          <w:rFonts w:cs="Times New Roman"/>
          <w:sz w:val="24"/>
          <w:szCs w:val="24"/>
        </w:rPr>
        <w:t>Chesire</w:t>
      </w:r>
      <w:proofErr w:type="spellEnd"/>
      <w:r w:rsidR="00471FFF">
        <w:rPr>
          <w:rFonts w:cs="Times New Roman"/>
          <w:sz w:val="24"/>
          <w:szCs w:val="24"/>
        </w:rPr>
        <w:t xml:space="preserve"> an employee. She shared firm’s profit but she did not share its losses. She had invested nothing in it. She held no rights to assets on dissolution, no control over the business. Neither of the two had said anything to others about her being a partner. </w:t>
      </w:r>
    </w:p>
    <w:p w14:paraId="2CC99E40" w14:textId="77777777" w:rsidR="00443F62" w:rsidRDefault="00443F62" w:rsidP="00144C0C">
      <w:pPr>
        <w:pStyle w:val="ListParagraph"/>
        <w:numPr>
          <w:ilvl w:val="2"/>
          <w:numId w:val="6"/>
        </w:numPr>
        <w:rPr>
          <w:rFonts w:cs="Times New Roman"/>
          <w:sz w:val="24"/>
          <w:szCs w:val="24"/>
        </w:rPr>
      </w:pPr>
      <w:r>
        <w:rPr>
          <w:rFonts w:cs="Times New Roman"/>
          <w:sz w:val="24"/>
          <w:szCs w:val="24"/>
        </w:rPr>
        <w:t>Tool:</w:t>
      </w:r>
    </w:p>
    <w:p w14:paraId="4DC8C974" w14:textId="77777777" w:rsidR="00443F62" w:rsidRDefault="00443F62" w:rsidP="00144C0C">
      <w:pPr>
        <w:pStyle w:val="ListParagraph"/>
        <w:numPr>
          <w:ilvl w:val="3"/>
          <w:numId w:val="6"/>
        </w:numPr>
        <w:rPr>
          <w:rFonts w:cs="Times New Roman"/>
          <w:sz w:val="24"/>
          <w:szCs w:val="24"/>
        </w:rPr>
      </w:pPr>
      <w:r w:rsidRPr="00443F62">
        <w:rPr>
          <w:rFonts w:cs="Times New Roman"/>
          <w:sz w:val="24"/>
          <w:szCs w:val="24"/>
        </w:rPr>
        <w:t>Elements of a partnership include:</w:t>
      </w:r>
      <w:r>
        <w:rPr>
          <w:rFonts w:cs="Times New Roman"/>
          <w:sz w:val="24"/>
          <w:szCs w:val="24"/>
        </w:rPr>
        <w:t xml:space="preserve"> “the right to share in profits;” </w:t>
      </w:r>
      <w:r w:rsidRPr="00443F62">
        <w:rPr>
          <w:rFonts w:cs="Times New Roman"/>
          <w:sz w:val="24"/>
          <w:szCs w:val="24"/>
        </w:rPr>
        <w:t>“obligation to sh</w:t>
      </w:r>
      <w:r>
        <w:rPr>
          <w:rFonts w:cs="Times New Roman"/>
          <w:sz w:val="24"/>
          <w:szCs w:val="24"/>
        </w:rPr>
        <w:t xml:space="preserve">are in losses;” </w:t>
      </w:r>
      <w:r w:rsidRPr="00443F62">
        <w:rPr>
          <w:rFonts w:cs="Times New Roman"/>
          <w:sz w:val="24"/>
          <w:szCs w:val="24"/>
        </w:rPr>
        <w:t>“ownership and control of the pa</w:t>
      </w:r>
      <w:r>
        <w:rPr>
          <w:rFonts w:cs="Times New Roman"/>
          <w:sz w:val="24"/>
          <w:szCs w:val="24"/>
        </w:rPr>
        <w:t xml:space="preserve">rtnership property and business;” </w:t>
      </w:r>
      <w:r w:rsidRPr="00443F62">
        <w:rPr>
          <w:rFonts w:cs="Times New Roman"/>
          <w:sz w:val="24"/>
          <w:szCs w:val="24"/>
        </w:rPr>
        <w:t>“co</w:t>
      </w:r>
      <w:r>
        <w:rPr>
          <w:rFonts w:cs="Times New Roman"/>
          <w:sz w:val="24"/>
          <w:szCs w:val="24"/>
        </w:rPr>
        <w:t xml:space="preserve">mmunity power in administration;” “language in the agreement;” </w:t>
      </w:r>
      <w:r w:rsidRPr="00443F62">
        <w:rPr>
          <w:rFonts w:cs="Times New Roman"/>
          <w:sz w:val="24"/>
          <w:szCs w:val="24"/>
        </w:rPr>
        <w:t xml:space="preserve">“conduct </w:t>
      </w:r>
      <w:r>
        <w:rPr>
          <w:rFonts w:cs="Times New Roman"/>
          <w:sz w:val="24"/>
          <w:szCs w:val="24"/>
        </w:rPr>
        <w:t xml:space="preserve">of parties toward third persons;” </w:t>
      </w:r>
      <w:r w:rsidRPr="00443F62">
        <w:rPr>
          <w:rFonts w:cs="Times New Roman"/>
          <w:sz w:val="24"/>
          <w:szCs w:val="24"/>
        </w:rPr>
        <w:t>“right</w:t>
      </w:r>
      <w:r>
        <w:rPr>
          <w:rFonts w:cs="Times New Roman"/>
          <w:sz w:val="24"/>
          <w:szCs w:val="24"/>
        </w:rPr>
        <w:t xml:space="preserve">s of the parties on dissolution;” </w:t>
      </w:r>
    </w:p>
    <w:p w14:paraId="28617CBB" w14:textId="0DCF151C" w:rsidR="00A110D3" w:rsidRDefault="00144C0C" w:rsidP="00144C0C">
      <w:pPr>
        <w:pStyle w:val="ListParagraph"/>
        <w:numPr>
          <w:ilvl w:val="3"/>
          <w:numId w:val="6"/>
        </w:numPr>
        <w:rPr>
          <w:rFonts w:cs="Times New Roman"/>
          <w:sz w:val="24"/>
          <w:szCs w:val="24"/>
        </w:rPr>
      </w:pPr>
      <w:r>
        <w:rPr>
          <w:rFonts w:cs="Times New Roman"/>
          <w:sz w:val="24"/>
          <w:szCs w:val="24"/>
        </w:rPr>
        <w:t>Not</w:t>
      </w:r>
      <w:r w:rsidR="00A110D3">
        <w:rPr>
          <w:rFonts w:cs="Times New Roman"/>
          <w:sz w:val="24"/>
          <w:szCs w:val="24"/>
        </w:rPr>
        <w:t xml:space="preserve"> what they intended to call it, </w:t>
      </w:r>
      <w:r>
        <w:rPr>
          <w:rFonts w:cs="Times New Roman"/>
          <w:sz w:val="24"/>
          <w:szCs w:val="24"/>
        </w:rPr>
        <w:t>but</w:t>
      </w:r>
      <w:r w:rsidR="00A110D3">
        <w:rPr>
          <w:rFonts w:cs="Times New Roman"/>
          <w:sz w:val="24"/>
          <w:szCs w:val="24"/>
        </w:rPr>
        <w:t xml:space="preserve"> what they intended business relationship to be.</w:t>
      </w:r>
    </w:p>
    <w:p w14:paraId="2AE53691" w14:textId="047BDC64" w:rsidR="00443F62" w:rsidRPr="00443F62" w:rsidRDefault="00443F62" w:rsidP="00144C0C">
      <w:pPr>
        <w:pStyle w:val="ListParagraph"/>
        <w:numPr>
          <w:ilvl w:val="3"/>
          <w:numId w:val="6"/>
        </w:numPr>
        <w:rPr>
          <w:rFonts w:cs="Times New Roman"/>
          <w:sz w:val="24"/>
          <w:szCs w:val="24"/>
        </w:rPr>
      </w:pPr>
      <w:r w:rsidRPr="00443F62">
        <w:rPr>
          <w:rFonts w:cs="Times New Roman"/>
          <w:sz w:val="24"/>
          <w:szCs w:val="24"/>
        </w:rPr>
        <w:t xml:space="preserve">NJ </w:t>
      </w:r>
      <w:r w:rsidR="00506A0D">
        <w:rPr>
          <w:rFonts w:cs="Times New Roman"/>
          <w:szCs w:val="24"/>
        </w:rPr>
        <w:t>UPA</w:t>
      </w:r>
      <w:r w:rsidRPr="00443F62">
        <w:rPr>
          <w:rFonts w:cs="Times New Roman"/>
          <w:sz w:val="24"/>
          <w:szCs w:val="24"/>
        </w:rPr>
        <w:t xml:space="preserve"> defines a partnership as an association of “two or more persons to carry on as co-owners a business for profit.” Act provides that sharing of profits is prima facie evidence of partnership but “no such inference shall be drawn if such profits were received in payment…as wages of an employee. </w:t>
      </w:r>
    </w:p>
    <w:p w14:paraId="4FDD0C51" w14:textId="2E643474" w:rsidR="001D22F5" w:rsidRPr="00144C0C" w:rsidRDefault="003C0A28" w:rsidP="00144C0C">
      <w:pPr>
        <w:pStyle w:val="Heading3"/>
        <w:numPr>
          <w:ilvl w:val="1"/>
          <w:numId w:val="6"/>
        </w:numPr>
      </w:pPr>
      <w:r w:rsidRPr="00443F62">
        <w:t>Partner or Creditor?</w:t>
      </w:r>
      <w:r w:rsidR="00144C0C">
        <w:t xml:space="preserve"> </w:t>
      </w:r>
      <w:r w:rsidR="001D22F5" w:rsidRPr="00144C0C">
        <w:rPr>
          <w:rFonts w:cs="Times New Roman"/>
          <w:i/>
        </w:rPr>
        <w:t>Martin v. Peyton (NY 1927)</w:t>
      </w:r>
    </w:p>
    <w:p w14:paraId="6E2E6853" w14:textId="2AA5E998" w:rsidR="001D22F5" w:rsidRDefault="001D22F5" w:rsidP="00144C0C">
      <w:pPr>
        <w:pStyle w:val="ListParagraph"/>
        <w:numPr>
          <w:ilvl w:val="2"/>
          <w:numId w:val="6"/>
        </w:numPr>
        <w:rPr>
          <w:rFonts w:cs="Times New Roman"/>
          <w:sz w:val="24"/>
          <w:szCs w:val="24"/>
        </w:rPr>
      </w:pPr>
      <w:r w:rsidRPr="001D22F5">
        <w:rPr>
          <w:rFonts w:cs="Times New Roman"/>
          <w:sz w:val="24"/>
          <w:szCs w:val="24"/>
        </w:rPr>
        <w:t>Synopsis: Peyton et al. (D) entered an agreement with a broker, John Hall, to loan Hall collateral to keep his business afloat. Charles Martin (P), a creditor of the business, interpreted the agreement as forming a partnership and thus claimed D was liable for debts.</w:t>
      </w:r>
      <w:r>
        <w:rPr>
          <w:rFonts w:cs="Times New Roman"/>
          <w:sz w:val="24"/>
          <w:szCs w:val="24"/>
        </w:rPr>
        <w:t xml:space="preserve"> Court found that t</w:t>
      </w:r>
      <w:r w:rsidRPr="001D22F5">
        <w:rPr>
          <w:rFonts w:cs="Times New Roman"/>
          <w:sz w:val="24"/>
          <w:szCs w:val="24"/>
        </w:rPr>
        <w:t>he agreements did not establish a partnership. Although D ensured that they had some control over the operations of Hall’s business</w:t>
      </w:r>
      <w:r w:rsidR="00A110D3">
        <w:rPr>
          <w:rFonts w:cs="Times New Roman"/>
          <w:sz w:val="24"/>
          <w:szCs w:val="24"/>
        </w:rPr>
        <w:t xml:space="preserve"> (had a veto over some things)</w:t>
      </w:r>
      <w:r w:rsidRPr="001D22F5">
        <w:rPr>
          <w:rFonts w:cs="Times New Roman"/>
          <w:sz w:val="24"/>
          <w:szCs w:val="24"/>
        </w:rPr>
        <w:t>, the controls they bargained for were to ensure that their investment was secure. D was not able to “initiate a transaction as a partner may do” or “bind the firm by any action of their own.” Hall still was able to control the day-to-day affairs, and Respondents never had control to initiate their own ideas</w:t>
      </w:r>
      <w:r>
        <w:rPr>
          <w:rFonts w:cs="Times New Roman"/>
          <w:sz w:val="24"/>
          <w:szCs w:val="24"/>
        </w:rPr>
        <w:t>.</w:t>
      </w:r>
    </w:p>
    <w:p w14:paraId="05651D62" w14:textId="77777777" w:rsidR="001D22F5" w:rsidRDefault="001D22F5" w:rsidP="00144C0C">
      <w:pPr>
        <w:pStyle w:val="ListParagraph"/>
        <w:numPr>
          <w:ilvl w:val="2"/>
          <w:numId w:val="6"/>
        </w:numPr>
        <w:rPr>
          <w:rFonts w:cs="Times New Roman"/>
          <w:sz w:val="24"/>
          <w:szCs w:val="24"/>
        </w:rPr>
      </w:pPr>
      <w:r w:rsidRPr="001D22F5">
        <w:rPr>
          <w:rFonts w:cs="Times New Roman"/>
          <w:sz w:val="24"/>
          <w:szCs w:val="24"/>
        </w:rPr>
        <w:t>Tool: An agreement that offers a degree of control by a first party to protect first party’s assets should not be considered a partnership if factors as a whole indicate that the other party still maintains day-to-day control of the business.</w:t>
      </w:r>
    </w:p>
    <w:p w14:paraId="7F9652DC" w14:textId="59EF3879" w:rsidR="00A110D3" w:rsidRPr="00144C0C" w:rsidRDefault="00A110D3" w:rsidP="00144C0C">
      <w:pPr>
        <w:pStyle w:val="ListParagraph"/>
        <w:numPr>
          <w:ilvl w:val="2"/>
          <w:numId w:val="6"/>
        </w:numPr>
        <w:rPr>
          <w:rFonts w:cs="Times New Roman"/>
          <w:sz w:val="24"/>
          <w:szCs w:val="24"/>
        </w:rPr>
      </w:pPr>
      <w:r w:rsidRPr="00144C0C">
        <w:rPr>
          <w:rFonts w:cs="Times New Roman"/>
          <w:sz w:val="24"/>
          <w:szCs w:val="24"/>
        </w:rPr>
        <w:t xml:space="preserve">Note: </w:t>
      </w:r>
      <w:r w:rsidR="00144C0C" w:rsidRPr="00144C0C">
        <w:rPr>
          <w:rFonts w:cs="Times New Roman"/>
          <w:sz w:val="24"/>
          <w:szCs w:val="24"/>
        </w:rPr>
        <w:t xml:space="preserve">A court inclined to shift liability to a deep pocket can use partnership law to the same effect it used agency law in </w:t>
      </w:r>
      <w:r w:rsidR="00144C0C" w:rsidRPr="00144C0C">
        <w:rPr>
          <w:rFonts w:cs="Times New Roman"/>
          <w:i/>
          <w:sz w:val="24"/>
          <w:szCs w:val="24"/>
        </w:rPr>
        <w:t>Cargill</w:t>
      </w:r>
      <w:r w:rsidR="00144C0C" w:rsidRPr="00144C0C">
        <w:rPr>
          <w:rFonts w:cs="Times New Roman"/>
          <w:sz w:val="24"/>
          <w:szCs w:val="24"/>
        </w:rPr>
        <w:t xml:space="preserve">. </w:t>
      </w:r>
      <w:r w:rsidRPr="00144C0C">
        <w:rPr>
          <w:rFonts w:cs="Times New Roman"/>
          <w:sz w:val="24"/>
          <w:szCs w:val="24"/>
        </w:rPr>
        <w:t>What’s the difference? Local farmers v. wealthy investors?</w:t>
      </w:r>
    </w:p>
    <w:p w14:paraId="1324FB5E" w14:textId="0D1FAA97" w:rsidR="003C0A28" w:rsidRPr="00443F62" w:rsidRDefault="003C0A28" w:rsidP="00D926F0">
      <w:pPr>
        <w:pStyle w:val="Heading3"/>
        <w:numPr>
          <w:ilvl w:val="1"/>
          <w:numId w:val="6"/>
        </w:numPr>
      </w:pPr>
      <w:r w:rsidRPr="00443F62">
        <w:lastRenderedPageBreak/>
        <w:t>Apparent Partner?</w:t>
      </w:r>
    </w:p>
    <w:p w14:paraId="0CCBF28F" w14:textId="3648121C" w:rsidR="003C0A28" w:rsidRDefault="00506A0D" w:rsidP="003C0A28">
      <w:pPr>
        <w:pStyle w:val="ListParagraph"/>
        <w:numPr>
          <w:ilvl w:val="2"/>
          <w:numId w:val="6"/>
        </w:numPr>
        <w:rPr>
          <w:rFonts w:cs="Times New Roman"/>
          <w:sz w:val="24"/>
          <w:szCs w:val="24"/>
        </w:rPr>
      </w:pPr>
      <w:r>
        <w:rPr>
          <w:rFonts w:cs="Times New Roman"/>
          <w:szCs w:val="24"/>
        </w:rPr>
        <w:t>Rule</w:t>
      </w:r>
    </w:p>
    <w:p w14:paraId="33A1615B" w14:textId="27E6FE33" w:rsidR="00377511" w:rsidRDefault="00377511" w:rsidP="00612B45">
      <w:pPr>
        <w:pStyle w:val="ListParagraph"/>
        <w:numPr>
          <w:ilvl w:val="3"/>
          <w:numId w:val="6"/>
        </w:numPr>
        <w:rPr>
          <w:rFonts w:cs="Times New Roman"/>
          <w:sz w:val="24"/>
          <w:szCs w:val="24"/>
        </w:rPr>
      </w:pPr>
      <w:r>
        <w:rPr>
          <w:rFonts w:cs="Times New Roman"/>
          <w:sz w:val="24"/>
          <w:szCs w:val="24"/>
        </w:rPr>
        <w:t>“If a person…purports to be a partner, or consents to being represented by another as a partner…the purpo</w:t>
      </w:r>
      <w:r w:rsidR="000511FC">
        <w:rPr>
          <w:rFonts w:cs="Times New Roman"/>
          <w:sz w:val="24"/>
          <w:szCs w:val="24"/>
        </w:rPr>
        <w:t xml:space="preserve">rted partner is liable to a person to whom the </w:t>
      </w:r>
      <w:r w:rsidR="000511FC" w:rsidRPr="00372579">
        <w:rPr>
          <w:rFonts w:cs="Times New Roman"/>
          <w:b/>
          <w:sz w:val="24"/>
          <w:szCs w:val="24"/>
          <w:u w:val="single"/>
        </w:rPr>
        <w:t>representation is made</w:t>
      </w:r>
      <w:r w:rsidR="000511FC">
        <w:rPr>
          <w:rFonts w:cs="Times New Roman"/>
          <w:sz w:val="24"/>
          <w:szCs w:val="24"/>
        </w:rPr>
        <w:t xml:space="preserve">, if that person, relying on the representation, </w:t>
      </w:r>
      <w:r w:rsidR="000511FC" w:rsidRPr="00372579">
        <w:rPr>
          <w:rFonts w:cs="Times New Roman"/>
          <w:b/>
          <w:sz w:val="24"/>
          <w:szCs w:val="24"/>
          <w:u w:val="single"/>
        </w:rPr>
        <w:t>enters into a transaction</w:t>
      </w:r>
      <w:r w:rsidR="000511FC">
        <w:rPr>
          <w:rFonts w:cs="Times New Roman"/>
          <w:sz w:val="24"/>
          <w:szCs w:val="24"/>
        </w:rPr>
        <w:t xml:space="preserve"> with the actual or purported partnership.”</w:t>
      </w:r>
      <w:r w:rsidR="00506A0D">
        <w:rPr>
          <w:rFonts w:cs="Times New Roman"/>
          <w:szCs w:val="24"/>
        </w:rPr>
        <w:t xml:space="preserve"> </w:t>
      </w:r>
      <w:r w:rsidR="00506A0D">
        <w:rPr>
          <w:rFonts w:cs="Times New Roman"/>
          <w:sz w:val="24"/>
          <w:szCs w:val="24"/>
        </w:rPr>
        <w:t xml:space="preserve">1997 UPA </w:t>
      </w:r>
      <w:r w:rsidR="00506A0D" w:rsidRPr="00443F62">
        <w:rPr>
          <w:rFonts w:cs="Times New Roman"/>
          <w:sz w:val="24"/>
          <w:szCs w:val="24"/>
        </w:rPr>
        <w:t>§</w:t>
      </w:r>
      <w:r w:rsidR="00506A0D">
        <w:rPr>
          <w:rFonts w:cs="Times New Roman"/>
          <w:szCs w:val="24"/>
        </w:rPr>
        <w:t xml:space="preserve"> 308(a).</w:t>
      </w:r>
    </w:p>
    <w:p w14:paraId="6EFE846E" w14:textId="7AF29708" w:rsidR="000511FC" w:rsidRPr="00443F62" w:rsidRDefault="000511FC" w:rsidP="000511FC">
      <w:pPr>
        <w:pStyle w:val="ListParagraph"/>
        <w:numPr>
          <w:ilvl w:val="3"/>
          <w:numId w:val="6"/>
        </w:numPr>
        <w:rPr>
          <w:rFonts w:cs="Times New Roman"/>
          <w:sz w:val="24"/>
          <w:szCs w:val="24"/>
        </w:rPr>
      </w:pPr>
      <w:r>
        <w:rPr>
          <w:rFonts w:cs="Times New Roman"/>
          <w:sz w:val="24"/>
          <w:szCs w:val="24"/>
        </w:rPr>
        <w:t xml:space="preserve">“When a person…represents himself, or consents to another representing him to any one, as a partner…he is liable to any such person to whom such representation has been made, who has, on the faith of such representation, </w:t>
      </w:r>
      <w:r w:rsidRPr="00372579">
        <w:rPr>
          <w:rFonts w:cs="Times New Roman"/>
          <w:b/>
          <w:sz w:val="24"/>
          <w:szCs w:val="24"/>
          <w:u w:val="single"/>
        </w:rPr>
        <w:t>given credit</w:t>
      </w:r>
      <w:r w:rsidRPr="005E3DE5">
        <w:rPr>
          <w:rFonts w:cs="Times New Roman"/>
          <w:sz w:val="24"/>
          <w:szCs w:val="24"/>
          <w:u w:val="single"/>
        </w:rPr>
        <w:t xml:space="preserve"> </w:t>
      </w:r>
      <w:r>
        <w:rPr>
          <w:rFonts w:cs="Times New Roman"/>
          <w:sz w:val="24"/>
          <w:szCs w:val="24"/>
        </w:rPr>
        <w:t>to the actual or apparent partnership…”</w:t>
      </w:r>
      <w:r w:rsidR="00506A0D">
        <w:rPr>
          <w:rFonts w:cs="Times New Roman"/>
          <w:szCs w:val="24"/>
        </w:rPr>
        <w:t xml:space="preserve"> </w:t>
      </w:r>
      <w:r w:rsidR="00506A0D">
        <w:rPr>
          <w:rFonts w:cs="Times New Roman"/>
          <w:sz w:val="24"/>
          <w:szCs w:val="24"/>
        </w:rPr>
        <w:t xml:space="preserve">1918 UPA </w:t>
      </w:r>
      <w:r w:rsidR="00506A0D" w:rsidRPr="00443F62">
        <w:rPr>
          <w:rFonts w:cs="Times New Roman"/>
          <w:sz w:val="24"/>
          <w:szCs w:val="24"/>
        </w:rPr>
        <w:t>§</w:t>
      </w:r>
      <w:r w:rsidR="00506A0D">
        <w:rPr>
          <w:rFonts w:cs="Times New Roman"/>
          <w:szCs w:val="24"/>
        </w:rPr>
        <w:t xml:space="preserve"> 16.</w:t>
      </w:r>
    </w:p>
    <w:p w14:paraId="5F4F836F" w14:textId="77777777" w:rsidR="00E93F11" w:rsidRPr="00144C0C" w:rsidRDefault="00E93F11" w:rsidP="00506A0D">
      <w:pPr>
        <w:pStyle w:val="ListParagraph"/>
        <w:numPr>
          <w:ilvl w:val="2"/>
          <w:numId w:val="6"/>
        </w:numPr>
        <w:rPr>
          <w:rFonts w:cs="Times New Roman"/>
          <w:b/>
          <w:i/>
          <w:sz w:val="24"/>
          <w:szCs w:val="24"/>
        </w:rPr>
      </w:pPr>
      <w:r w:rsidRPr="00144C0C">
        <w:rPr>
          <w:rFonts w:cs="Times New Roman"/>
          <w:b/>
          <w:i/>
          <w:sz w:val="24"/>
          <w:szCs w:val="24"/>
        </w:rPr>
        <w:t>Young v. Jones (DSC 1992)</w:t>
      </w:r>
    </w:p>
    <w:p w14:paraId="08721BA2" w14:textId="2BC14B18" w:rsidR="00E93F11" w:rsidRPr="009F0B0F" w:rsidRDefault="00E93F11" w:rsidP="00506A0D">
      <w:pPr>
        <w:pStyle w:val="ListParagraph"/>
        <w:numPr>
          <w:ilvl w:val="3"/>
          <w:numId w:val="6"/>
        </w:numPr>
        <w:rPr>
          <w:rFonts w:cs="Times New Roman"/>
          <w:sz w:val="24"/>
          <w:szCs w:val="24"/>
        </w:rPr>
      </w:pPr>
      <w:r w:rsidRPr="009F0B0F">
        <w:rPr>
          <w:rFonts w:cs="Times New Roman"/>
          <w:sz w:val="24"/>
          <w:szCs w:val="24"/>
        </w:rPr>
        <w:t>Synopsis: Robert Young et al. (P) relied on an unqualified audit letter from one of the Defendants, Price Waterhouse-Bahamas (“PW-Bahamas”), and placed $550,000 with a South Carolina bank</w:t>
      </w:r>
      <w:r w:rsidR="003B61FA">
        <w:rPr>
          <w:rFonts w:cs="Times New Roman"/>
          <w:sz w:val="24"/>
          <w:szCs w:val="24"/>
        </w:rPr>
        <w:t>, which forwarded the money to SAFIG, but SAFIG had cheated on its financial statements, and the money disappeared</w:t>
      </w:r>
      <w:r w:rsidRPr="009F0B0F">
        <w:rPr>
          <w:rFonts w:cs="Times New Roman"/>
          <w:sz w:val="24"/>
          <w:szCs w:val="24"/>
        </w:rPr>
        <w:t xml:space="preserve">. </w:t>
      </w:r>
      <w:r w:rsidR="003B61FA">
        <w:rPr>
          <w:rFonts w:cs="Times New Roman"/>
          <w:sz w:val="24"/>
          <w:szCs w:val="24"/>
        </w:rPr>
        <w:t xml:space="preserve">P brought suit </w:t>
      </w:r>
      <w:r w:rsidRPr="009F0B0F">
        <w:rPr>
          <w:rFonts w:cs="Times New Roman"/>
          <w:sz w:val="24"/>
          <w:szCs w:val="24"/>
        </w:rPr>
        <w:t xml:space="preserve">against </w:t>
      </w:r>
      <w:r w:rsidR="00BD0390" w:rsidRPr="009F0B0F">
        <w:rPr>
          <w:rFonts w:cs="Times New Roman"/>
          <w:sz w:val="24"/>
          <w:szCs w:val="24"/>
        </w:rPr>
        <w:t>PW-Bahamas</w:t>
      </w:r>
      <w:r w:rsidR="003B61FA">
        <w:rPr>
          <w:rFonts w:cs="Times New Roman"/>
          <w:sz w:val="24"/>
          <w:szCs w:val="24"/>
        </w:rPr>
        <w:t xml:space="preserve"> </w:t>
      </w:r>
      <w:r w:rsidR="00BD0390" w:rsidRPr="009F0B0F">
        <w:rPr>
          <w:rFonts w:cs="Times New Roman"/>
          <w:sz w:val="24"/>
          <w:szCs w:val="24"/>
        </w:rPr>
        <w:t>and PW-US. P argued that PW-Bahamas and PW-US operated as a partnership and alternatively that they were partners by estoppel (i.e. apparent partners) by presenting each other to the public as partners</w:t>
      </w:r>
      <w:r w:rsidR="005E3DE5" w:rsidRPr="009F0B0F">
        <w:rPr>
          <w:rFonts w:cs="Times New Roman"/>
          <w:sz w:val="24"/>
          <w:szCs w:val="24"/>
        </w:rPr>
        <w:t xml:space="preserve"> (letterhead just said “PW” and had pamphlets)</w:t>
      </w:r>
      <w:r w:rsidR="00BD0390" w:rsidRPr="009F0B0F">
        <w:rPr>
          <w:rFonts w:cs="Times New Roman"/>
          <w:sz w:val="24"/>
          <w:szCs w:val="24"/>
        </w:rPr>
        <w:t>. Court found that firms were not actual partners nor apparent partners because PW-US did not hold out PW-Bahamas as its partner</w:t>
      </w:r>
      <w:r w:rsidR="009F0B0F" w:rsidRPr="009F0B0F">
        <w:rPr>
          <w:rFonts w:cs="Times New Roman"/>
          <w:sz w:val="24"/>
          <w:szCs w:val="24"/>
        </w:rPr>
        <w:t xml:space="preserve"> (“nothing in the brochure that asserts that the affiliated entities of Price Waterhouse are liable for the acts of another, or that any of the affiliates operate within a single partnership.”</w:t>
      </w:r>
      <w:r w:rsidR="009F0B0F">
        <w:rPr>
          <w:rFonts w:cs="Times New Roman"/>
          <w:sz w:val="24"/>
          <w:szCs w:val="24"/>
        </w:rPr>
        <w:t>)</w:t>
      </w:r>
      <w:r w:rsidR="00BD0390" w:rsidRPr="009F0B0F">
        <w:rPr>
          <w:rFonts w:cs="Times New Roman"/>
          <w:sz w:val="24"/>
          <w:szCs w:val="24"/>
        </w:rPr>
        <w:t xml:space="preserve">. Also, the investors did not “give credit” to PW-Bahamas. They deposited funds in SAFIG, but not in any PW entity. </w:t>
      </w:r>
    </w:p>
    <w:p w14:paraId="414C90CC" w14:textId="77777777" w:rsidR="00080BD7" w:rsidRDefault="00E93F11" w:rsidP="00080BD7">
      <w:pPr>
        <w:pStyle w:val="ListParagraph"/>
        <w:numPr>
          <w:ilvl w:val="3"/>
          <w:numId w:val="6"/>
        </w:numPr>
        <w:rPr>
          <w:rFonts w:cs="Times New Roman"/>
          <w:sz w:val="24"/>
          <w:szCs w:val="24"/>
        </w:rPr>
      </w:pPr>
      <w:r>
        <w:rPr>
          <w:rFonts w:cs="Times New Roman"/>
          <w:sz w:val="24"/>
          <w:szCs w:val="24"/>
        </w:rPr>
        <w:t>Tool:</w:t>
      </w:r>
      <w:r w:rsidR="00506A0D">
        <w:rPr>
          <w:rFonts w:cs="Times New Roman"/>
          <w:szCs w:val="24"/>
        </w:rPr>
        <w:t xml:space="preserve"> </w:t>
      </w:r>
      <w:r w:rsidR="003B61FA" w:rsidRPr="00506A0D">
        <w:rPr>
          <w:rFonts w:cs="Times New Roman"/>
          <w:sz w:val="24"/>
          <w:szCs w:val="24"/>
        </w:rPr>
        <w:t>The 1997 Act holds firms lia</w:t>
      </w:r>
      <w:r w:rsidR="00506A0D" w:rsidRPr="00506A0D">
        <w:rPr>
          <w:rFonts w:cs="Times New Roman"/>
          <w:szCs w:val="24"/>
        </w:rPr>
        <w:t>ble for</w:t>
      </w:r>
      <w:r w:rsidR="003B61FA" w:rsidRPr="00506A0D">
        <w:rPr>
          <w:rFonts w:cs="Times New Roman"/>
          <w:sz w:val="24"/>
          <w:szCs w:val="24"/>
        </w:rPr>
        <w:t xml:space="preserve"> the acts of apparent partners </w:t>
      </w:r>
      <w:r w:rsidR="003B61FA" w:rsidRPr="00372579">
        <w:rPr>
          <w:rFonts w:cs="Times New Roman"/>
          <w:sz w:val="24"/>
          <w:szCs w:val="24"/>
        </w:rPr>
        <w:t>if the claimant</w:t>
      </w:r>
      <w:r w:rsidR="003B61FA" w:rsidRPr="00372579">
        <w:rPr>
          <w:rFonts w:cs="Times New Roman"/>
          <w:sz w:val="24"/>
          <w:szCs w:val="24"/>
          <w:u w:val="single"/>
        </w:rPr>
        <w:t xml:space="preserve"> </w:t>
      </w:r>
      <w:r w:rsidR="003B61FA" w:rsidRPr="00372579">
        <w:rPr>
          <w:rFonts w:cs="Times New Roman"/>
          <w:b/>
          <w:sz w:val="24"/>
          <w:szCs w:val="24"/>
          <w:u w:val="single"/>
        </w:rPr>
        <w:t>enters into a transaction</w:t>
      </w:r>
      <w:r w:rsidR="003B61FA" w:rsidRPr="00506A0D">
        <w:rPr>
          <w:rFonts w:cs="Times New Roman"/>
          <w:sz w:val="24"/>
          <w:szCs w:val="24"/>
        </w:rPr>
        <w:t xml:space="preserve"> with them but the investors did not enter into transactions with SAFIG either.</w:t>
      </w:r>
    </w:p>
    <w:p w14:paraId="316A9623" w14:textId="315BCB63" w:rsidR="003B61FA" w:rsidRPr="00080BD7" w:rsidRDefault="003B61FA" w:rsidP="00080BD7">
      <w:pPr>
        <w:pStyle w:val="ListParagraph"/>
        <w:numPr>
          <w:ilvl w:val="3"/>
          <w:numId w:val="6"/>
        </w:numPr>
        <w:rPr>
          <w:rFonts w:cs="Times New Roman"/>
          <w:sz w:val="24"/>
          <w:szCs w:val="24"/>
        </w:rPr>
      </w:pPr>
      <w:r w:rsidRPr="00080BD7">
        <w:rPr>
          <w:rFonts w:cs="Times New Roman"/>
          <w:sz w:val="24"/>
          <w:szCs w:val="24"/>
        </w:rPr>
        <w:t xml:space="preserve">Note: compare to </w:t>
      </w:r>
      <w:r w:rsidR="00144C0C" w:rsidRPr="00080BD7">
        <w:rPr>
          <w:rFonts w:cs="Times New Roman"/>
          <w:sz w:val="24"/>
          <w:szCs w:val="24"/>
        </w:rPr>
        <w:t xml:space="preserve">apparent agency/servant in </w:t>
      </w:r>
      <w:r w:rsidRPr="00080BD7">
        <w:rPr>
          <w:rFonts w:cs="Times New Roman"/>
          <w:sz w:val="24"/>
          <w:szCs w:val="24"/>
        </w:rPr>
        <w:t xml:space="preserve">franchise </w:t>
      </w:r>
      <w:r w:rsidR="00144C0C" w:rsidRPr="00080BD7">
        <w:rPr>
          <w:rFonts w:cs="Times New Roman"/>
          <w:i/>
          <w:sz w:val="24"/>
          <w:szCs w:val="24"/>
        </w:rPr>
        <w:t>Miller v. McDonald</w:t>
      </w:r>
      <w:r w:rsidR="00144C0C" w:rsidRPr="00080BD7">
        <w:rPr>
          <w:rFonts w:cs="Times New Roman"/>
          <w:sz w:val="24"/>
          <w:szCs w:val="24"/>
        </w:rPr>
        <w:t>.</w:t>
      </w:r>
      <w:r w:rsidRPr="00080BD7">
        <w:rPr>
          <w:rFonts w:cs="Times New Roman"/>
          <w:sz w:val="24"/>
          <w:szCs w:val="24"/>
        </w:rPr>
        <w:t xml:space="preserve"> </w:t>
      </w:r>
    </w:p>
    <w:p w14:paraId="426AEAC2" w14:textId="4475425A" w:rsidR="00FA4373" w:rsidRPr="00443F62" w:rsidRDefault="00FA4373" w:rsidP="00D926F0">
      <w:pPr>
        <w:pStyle w:val="Heading2"/>
        <w:numPr>
          <w:ilvl w:val="0"/>
          <w:numId w:val="6"/>
        </w:numPr>
      </w:pPr>
      <w:r w:rsidRPr="00443F62">
        <w:t>Liability</w:t>
      </w:r>
    </w:p>
    <w:p w14:paraId="1ABCF330" w14:textId="79D7BAAB" w:rsidR="00FA4373" w:rsidRPr="00443F62" w:rsidRDefault="00506A0D" w:rsidP="00D926F0">
      <w:pPr>
        <w:pStyle w:val="Heading3"/>
        <w:numPr>
          <w:ilvl w:val="1"/>
          <w:numId w:val="6"/>
        </w:numPr>
      </w:pPr>
      <w:r>
        <w:t>Rule</w:t>
      </w:r>
    </w:p>
    <w:p w14:paraId="336D5A5E" w14:textId="21AC29C3" w:rsidR="009F0B0F" w:rsidRDefault="009F0B0F" w:rsidP="00ED3E9C">
      <w:pPr>
        <w:pStyle w:val="ListParagraph"/>
        <w:numPr>
          <w:ilvl w:val="2"/>
          <w:numId w:val="6"/>
        </w:numPr>
        <w:rPr>
          <w:rFonts w:cs="Times New Roman"/>
          <w:sz w:val="24"/>
          <w:szCs w:val="24"/>
        </w:rPr>
      </w:pPr>
      <w:r>
        <w:rPr>
          <w:rFonts w:cs="Times New Roman"/>
          <w:sz w:val="24"/>
          <w:szCs w:val="24"/>
        </w:rPr>
        <w:t>“A partnership is liable for loss or injury caused to a person…as a result of a wrongful act or omission…of a partner acting in the ordinary course of business of the partnership…”</w:t>
      </w:r>
      <w:r w:rsidR="00ED3E9C">
        <w:rPr>
          <w:rFonts w:cs="Times New Roman"/>
          <w:szCs w:val="24"/>
        </w:rPr>
        <w:t xml:space="preserve"> </w:t>
      </w:r>
      <w:r w:rsidR="00ED3E9C">
        <w:rPr>
          <w:rFonts w:cs="Times New Roman"/>
          <w:sz w:val="24"/>
          <w:szCs w:val="24"/>
        </w:rPr>
        <w:t xml:space="preserve">UPA </w:t>
      </w:r>
      <w:r w:rsidR="00ED3E9C" w:rsidRPr="00443F62">
        <w:rPr>
          <w:rFonts w:cs="Times New Roman"/>
          <w:sz w:val="24"/>
          <w:szCs w:val="24"/>
        </w:rPr>
        <w:t>§</w:t>
      </w:r>
      <w:r w:rsidR="00ED3E9C">
        <w:rPr>
          <w:rFonts w:cs="Times New Roman"/>
          <w:sz w:val="24"/>
          <w:szCs w:val="24"/>
        </w:rPr>
        <w:t xml:space="preserve"> 305(a) of 1997 Act, </w:t>
      </w:r>
      <w:r w:rsidR="00ED3E9C" w:rsidRPr="00443F62">
        <w:rPr>
          <w:rFonts w:cs="Times New Roman"/>
          <w:sz w:val="24"/>
          <w:szCs w:val="24"/>
        </w:rPr>
        <w:t>§</w:t>
      </w:r>
      <w:r w:rsidR="00ED3E9C">
        <w:rPr>
          <w:rFonts w:cs="Times New Roman"/>
          <w:szCs w:val="24"/>
        </w:rPr>
        <w:t xml:space="preserve"> 13 of the 1914 Act.</w:t>
      </w:r>
    </w:p>
    <w:p w14:paraId="0530885E" w14:textId="79AC8F4D" w:rsidR="009F0B0F" w:rsidRDefault="009F0B0F" w:rsidP="00ED3E9C">
      <w:pPr>
        <w:pStyle w:val="ListParagraph"/>
        <w:numPr>
          <w:ilvl w:val="2"/>
          <w:numId w:val="6"/>
        </w:numPr>
        <w:rPr>
          <w:rFonts w:cs="Times New Roman"/>
          <w:szCs w:val="24"/>
        </w:rPr>
      </w:pPr>
      <w:r>
        <w:rPr>
          <w:rFonts w:cs="Times New Roman"/>
          <w:sz w:val="24"/>
          <w:szCs w:val="24"/>
        </w:rPr>
        <w:t>“[A]</w:t>
      </w:r>
      <w:proofErr w:type="spellStart"/>
      <w:r>
        <w:rPr>
          <w:rFonts w:cs="Times New Roman"/>
          <w:sz w:val="24"/>
          <w:szCs w:val="24"/>
        </w:rPr>
        <w:t>ll</w:t>
      </w:r>
      <w:proofErr w:type="spellEnd"/>
      <w:r>
        <w:rPr>
          <w:rFonts w:cs="Times New Roman"/>
          <w:sz w:val="24"/>
          <w:szCs w:val="24"/>
        </w:rPr>
        <w:t xml:space="preserve"> partners are jointly and severally liable for all obligations of the partnership unless otherwise agreed by the claimant or provided by law.”</w:t>
      </w:r>
      <w:r w:rsidR="00ED3E9C">
        <w:rPr>
          <w:rFonts w:cs="Times New Roman"/>
          <w:szCs w:val="24"/>
        </w:rPr>
        <w:t xml:space="preserve"> </w:t>
      </w:r>
      <w:r w:rsidR="00ED3E9C">
        <w:rPr>
          <w:rFonts w:cs="Times New Roman"/>
          <w:sz w:val="24"/>
          <w:szCs w:val="24"/>
        </w:rPr>
        <w:t xml:space="preserve">1997 UPA </w:t>
      </w:r>
      <w:r w:rsidR="00ED3E9C" w:rsidRPr="00443F62">
        <w:rPr>
          <w:rFonts w:cs="Times New Roman"/>
          <w:sz w:val="24"/>
          <w:szCs w:val="24"/>
        </w:rPr>
        <w:t>§</w:t>
      </w:r>
      <w:r w:rsidR="00ED3E9C">
        <w:rPr>
          <w:rFonts w:cs="Times New Roman"/>
          <w:szCs w:val="24"/>
        </w:rPr>
        <w:t xml:space="preserve"> 306(a).</w:t>
      </w:r>
    </w:p>
    <w:p w14:paraId="1A200055" w14:textId="3BDAFC99" w:rsidR="00ED3E9C" w:rsidRPr="00ED3E9C" w:rsidRDefault="00ED3E9C" w:rsidP="00ED3E9C">
      <w:pPr>
        <w:pStyle w:val="ListParagraph"/>
        <w:numPr>
          <w:ilvl w:val="2"/>
          <w:numId w:val="6"/>
        </w:numPr>
        <w:rPr>
          <w:rFonts w:cs="Times New Roman"/>
          <w:sz w:val="24"/>
          <w:szCs w:val="24"/>
        </w:rPr>
      </w:pPr>
      <w:r>
        <w:rPr>
          <w:rFonts w:cs="Times New Roman"/>
          <w:sz w:val="24"/>
          <w:szCs w:val="24"/>
        </w:rPr>
        <w:t xml:space="preserve"> “Each partner…must contribute toward the losses, whether capital or otherwise, sustained by the partnership according</w:t>
      </w:r>
      <w:r>
        <w:rPr>
          <w:rFonts w:cs="Times New Roman"/>
          <w:szCs w:val="24"/>
        </w:rPr>
        <w:t xml:space="preserve"> to this share of the profits.”</w:t>
      </w:r>
      <w:r w:rsidRPr="00ED3E9C">
        <w:rPr>
          <w:rFonts w:cs="Times New Roman"/>
          <w:szCs w:val="24"/>
        </w:rPr>
        <w:t xml:space="preserve"> </w:t>
      </w:r>
      <w:r>
        <w:rPr>
          <w:rFonts w:cs="Times New Roman"/>
          <w:sz w:val="24"/>
          <w:szCs w:val="24"/>
        </w:rPr>
        <w:t xml:space="preserve">UPA </w:t>
      </w:r>
      <w:r w:rsidRPr="00443F62">
        <w:rPr>
          <w:rFonts w:cs="Times New Roman"/>
          <w:sz w:val="24"/>
          <w:szCs w:val="24"/>
        </w:rPr>
        <w:t>§</w:t>
      </w:r>
      <w:r>
        <w:rPr>
          <w:rFonts w:cs="Times New Roman"/>
          <w:szCs w:val="24"/>
        </w:rPr>
        <w:t xml:space="preserve"> 18(a).</w:t>
      </w:r>
    </w:p>
    <w:p w14:paraId="0975A10E" w14:textId="08582B23" w:rsidR="009F0B0F" w:rsidRPr="00ED3E9C" w:rsidRDefault="009F0B0F" w:rsidP="00ED3E9C">
      <w:pPr>
        <w:pStyle w:val="ListParagraph"/>
        <w:numPr>
          <w:ilvl w:val="2"/>
          <w:numId w:val="6"/>
        </w:numPr>
        <w:rPr>
          <w:rFonts w:cs="Times New Roman"/>
          <w:sz w:val="24"/>
          <w:szCs w:val="24"/>
        </w:rPr>
      </w:pPr>
      <w:r>
        <w:rPr>
          <w:rFonts w:cs="Times New Roman"/>
          <w:sz w:val="24"/>
          <w:szCs w:val="24"/>
        </w:rPr>
        <w:t>“A judgment creditor of a partner may not levy execution against the assets of the partner to satisfy a judgment based on a claim against the partnership unless…a judgment based on the same claim has been obtained against the partnership and a writ of execution on the judgment has been returned unsatisfied in whole or in part…”</w:t>
      </w:r>
      <w:r w:rsidR="00ED3E9C">
        <w:rPr>
          <w:rFonts w:cs="Times New Roman"/>
          <w:szCs w:val="24"/>
        </w:rPr>
        <w:t xml:space="preserve"> </w:t>
      </w:r>
      <w:r w:rsidR="00ED3E9C">
        <w:rPr>
          <w:rFonts w:cs="Times New Roman"/>
          <w:sz w:val="24"/>
          <w:szCs w:val="24"/>
        </w:rPr>
        <w:t xml:space="preserve">1997 UPA </w:t>
      </w:r>
      <w:r w:rsidR="00ED3E9C" w:rsidRPr="00443F62">
        <w:rPr>
          <w:rFonts w:cs="Times New Roman"/>
          <w:sz w:val="24"/>
          <w:szCs w:val="24"/>
        </w:rPr>
        <w:t>§</w:t>
      </w:r>
      <w:r w:rsidR="00ED3E9C">
        <w:rPr>
          <w:rFonts w:cs="Times New Roman"/>
          <w:szCs w:val="24"/>
        </w:rPr>
        <w:t xml:space="preserve"> 307(d). </w:t>
      </w:r>
      <w:r w:rsidRPr="00ED3E9C">
        <w:rPr>
          <w:rFonts w:cs="Times New Roman"/>
          <w:sz w:val="24"/>
          <w:szCs w:val="24"/>
        </w:rPr>
        <w:t xml:space="preserve">But, firms can buy insurance against most tort liabilities. </w:t>
      </w:r>
    </w:p>
    <w:p w14:paraId="79C0B6C4" w14:textId="133FCC58" w:rsidR="00FA6391" w:rsidRPr="00ED3E9C" w:rsidRDefault="00FA6391" w:rsidP="00ED3E9C">
      <w:pPr>
        <w:pStyle w:val="ListParagraph"/>
        <w:numPr>
          <w:ilvl w:val="2"/>
          <w:numId w:val="6"/>
        </w:numPr>
        <w:rPr>
          <w:rFonts w:cs="Times New Roman"/>
          <w:sz w:val="24"/>
          <w:szCs w:val="24"/>
        </w:rPr>
      </w:pPr>
      <w:r>
        <w:rPr>
          <w:rFonts w:cs="Times New Roman"/>
          <w:sz w:val="24"/>
          <w:szCs w:val="24"/>
        </w:rPr>
        <w:t>In dissolution of partnership</w:t>
      </w:r>
      <w:r w:rsidR="00ED3E9C">
        <w:rPr>
          <w:rFonts w:cs="Times New Roman"/>
          <w:szCs w:val="24"/>
        </w:rPr>
        <w:t>,</w:t>
      </w:r>
      <w:r>
        <w:rPr>
          <w:rFonts w:cs="Times New Roman"/>
          <w:sz w:val="24"/>
          <w:szCs w:val="24"/>
        </w:rPr>
        <w:t xml:space="preserve"> 1914 UPA </w:t>
      </w:r>
      <w:r w:rsidRPr="00443F62">
        <w:rPr>
          <w:rFonts w:cs="Times New Roman"/>
          <w:sz w:val="24"/>
          <w:szCs w:val="24"/>
        </w:rPr>
        <w:t>§</w:t>
      </w:r>
      <w:r>
        <w:rPr>
          <w:rFonts w:cs="Times New Roman"/>
          <w:sz w:val="24"/>
          <w:szCs w:val="24"/>
        </w:rPr>
        <w:t xml:space="preserve"> 40(b) requires that</w:t>
      </w:r>
      <w:r w:rsidR="00ED3E9C">
        <w:rPr>
          <w:rFonts w:cs="Times New Roman"/>
          <w:szCs w:val="24"/>
        </w:rPr>
        <w:t xml:space="preserve"> the firm distribute its assets</w:t>
      </w:r>
      <w:r>
        <w:rPr>
          <w:rFonts w:cs="Times New Roman"/>
          <w:sz w:val="24"/>
          <w:szCs w:val="24"/>
        </w:rPr>
        <w:t xml:space="preserve"> in the following order: (1) Amount</w:t>
      </w:r>
      <w:r w:rsidRPr="00ED3E9C">
        <w:rPr>
          <w:rFonts w:cs="Times New Roman"/>
          <w:sz w:val="24"/>
          <w:szCs w:val="24"/>
        </w:rPr>
        <w:t>s owed to non</w:t>
      </w:r>
      <w:r w:rsidR="00144C0C">
        <w:rPr>
          <w:rFonts w:cs="Times New Roman"/>
          <w:sz w:val="24"/>
          <w:szCs w:val="24"/>
        </w:rPr>
        <w:t>-</w:t>
      </w:r>
      <w:r w:rsidRPr="00ED3E9C">
        <w:rPr>
          <w:rFonts w:cs="Times New Roman"/>
          <w:sz w:val="24"/>
          <w:szCs w:val="24"/>
        </w:rPr>
        <w:t xml:space="preserve">partner creditors; (2) Amounts owed as debt to partners; (3) Capital amounts owed to partners; (4) Profits owed to partners. </w:t>
      </w:r>
    </w:p>
    <w:p w14:paraId="713078B8" w14:textId="6DD3C5F0" w:rsidR="00FA4373" w:rsidRPr="00443F62" w:rsidRDefault="00FA4373" w:rsidP="00D926F0">
      <w:pPr>
        <w:pStyle w:val="Heading2"/>
        <w:numPr>
          <w:ilvl w:val="0"/>
          <w:numId w:val="6"/>
        </w:numPr>
      </w:pPr>
      <w:r w:rsidRPr="00443F62">
        <w:t>Transfers</w:t>
      </w:r>
      <w:r w:rsidR="00991F87">
        <w:t>/Dissolution</w:t>
      </w:r>
    </w:p>
    <w:p w14:paraId="6B9428A5" w14:textId="498E2950" w:rsidR="00FA4373" w:rsidRDefault="00991F87" w:rsidP="00D926F0">
      <w:pPr>
        <w:pStyle w:val="Heading3"/>
        <w:numPr>
          <w:ilvl w:val="1"/>
          <w:numId w:val="6"/>
        </w:numPr>
      </w:pPr>
      <w:r>
        <w:t>Transfers</w:t>
      </w:r>
    </w:p>
    <w:p w14:paraId="2DE8413F" w14:textId="2620BFB8" w:rsidR="006F6765" w:rsidRDefault="006F6765" w:rsidP="006F6765">
      <w:pPr>
        <w:pStyle w:val="ListParagraph"/>
        <w:numPr>
          <w:ilvl w:val="2"/>
          <w:numId w:val="6"/>
        </w:numPr>
        <w:rPr>
          <w:rFonts w:cs="Times New Roman"/>
          <w:sz w:val="24"/>
          <w:szCs w:val="24"/>
        </w:rPr>
      </w:pPr>
      <w:r>
        <w:rPr>
          <w:rFonts w:cs="Times New Roman"/>
          <w:sz w:val="24"/>
          <w:szCs w:val="24"/>
        </w:rPr>
        <w:t>“No person can become a member of a partnership without the consent of all the partners.”</w:t>
      </w:r>
      <w:r w:rsidR="00ED3E9C">
        <w:rPr>
          <w:rFonts w:cs="Times New Roman"/>
          <w:szCs w:val="24"/>
        </w:rPr>
        <w:t xml:space="preserve"> </w:t>
      </w:r>
      <w:r w:rsidR="00ED3E9C">
        <w:rPr>
          <w:rFonts w:cs="Times New Roman"/>
          <w:sz w:val="24"/>
          <w:szCs w:val="24"/>
        </w:rPr>
        <w:t xml:space="preserve">1914 UPA </w:t>
      </w:r>
      <w:r w:rsidR="00ED3E9C" w:rsidRPr="00443F62">
        <w:rPr>
          <w:rFonts w:cs="Times New Roman"/>
          <w:sz w:val="24"/>
          <w:szCs w:val="24"/>
        </w:rPr>
        <w:t>§</w:t>
      </w:r>
      <w:r w:rsidR="00ED3E9C">
        <w:rPr>
          <w:rFonts w:cs="Times New Roman"/>
          <w:sz w:val="24"/>
          <w:szCs w:val="24"/>
        </w:rPr>
        <w:t xml:space="preserve"> 18(g) (1997 UPA </w:t>
      </w:r>
      <w:r w:rsidR="00ED3E9C" w:rsidRPr="00443F62">
        <w:rPr>
          <w:rFonts w:cs="Times New Roman"/>
          <w:sz w:val="24"/>
          <w:szCs w:val="24"/>
        </w:rPr>
        <w:t>§</w:t>
      </w:r>
      <w:r w:rsidR="00ED3E9C">
        <w:rPr>
          <w:rFonts w:cs="Times New Roman"/>
          <w:szCs w:val="24"/>
        </w:rPr>
        <w:t>401(</w:t>
      </w:r>
      <w:proofErr w:type="spellStart"/>
      <w:r w:rsidR="00ED3E9C">
        <w:rPr>
          <w:rFonts w:cs="Times New Roman"/>
          <w:szCs w:val="24"/>
        </w:rPr>
        <w:t>i</w:t>
      </w:r>
      <w:proofErr w:type="spellEnd"/>
      <w:r w:rsidR="00ED3E9C" w:rsidRPr="00144C0C">
        <w:rPr>
          <w:rFonts w:cs="Times New Roman"/>
          <w:sz w:val="24"/>
          <w:szCs w:val="24"/>
        </w:rPr>
        <w:t>)). Compare to corporate shares which are freely transferable. But note that both these rules are just the default.</w:t>
      </w:r>
      <w:r w:rsidR="00ED3E9C">
        <w:rPr>
          <w:rFonts w:cs="Times New Roman"/>
          <w:szCs w:val="24"/>
        </w:rPr>
        <w:t xml:space="preserve"> </w:t>
      </w:r>
    </w:p>
    <w:p w14:paraId="421BD8BE" w14:textId="63EF5D0A" w:rsidR="006F6765" w:rsidRPr="00443F62" w:rsidRDefault="006F6765" w:rsidP="006F6765">
      <w:pPr>
        <w:pStyle w:val="ListParagraph"/>
        <w:numPr>
          <w:ilvl w:val="2"/>
          <w:numId w:val="6"/>
        </w:numPr>
        <w:rPr>
          <w:rFonts w:cs="Times New Roman"/>
          <w:sz w:val="24"/>
          <w:szCs w:val="24"/>
        </w:rPr>
      </w:pPr>
      <w:r>
        <w:rPr>
          <w:rFonts w:cs="Times New Roman"/>
          <w:sz w:val="24"/>
          <w:szCs w:val="24"/>
        </w:rPr>
        <w:lastRenderedPageBreak/>
        <w:t>“A conveyance by a partner of his interest in the partnership does not of itself dissolve the partnership, nor, as against the other partners…entitle the assignee…to interfere in the management or administration of the partnership…; but it merely entitles the assignee to receive in accordance with his contract the profits to which the assigning partner would otherwise be entitled.”</w:t>
      </w:r>
      <w:r w:rsidR="00ED3E9C" w:rsidRPr="00ED3E9C">
        <w:rPr>
          <w:rFonts w:cs="Times New Roman"/>
          <w:szCs w:val="24"/>
        </w:rPr>
        <w:t xml:space="preserve"> </w:t>
      </w:r>
      <w:r w:rsidR="00ED3E9C">
        <w:rPr>
          <w:rFonts w:cs="Times New Roman"/>
          <w:sz w:val="24"/>
          <w:szCs w:val="24"/>
        </w:rPr>
        <w:t xml:space="preserve">1914 UPA </w:t>
      </w:r>
      <w:r w:rsidR="00ED3E9C" w:rsidRPr="00443F62">
        <w:rPr>
          <w:rFonts w:cs="Times New Roman"/>
          <w:sz w:val="24"/>
          <w:szCs w:val="24"/>
        </w:rPr>
        <w:t>§</w:t>
      </w:r>
      <w:r w:rsidR="00ED3E9C">
        <w:rPr>
          <w:rFonts w:cs="Times New Roman"/>
          <w:sz w:val="24"/>
          <w:szCs w:val="24"/>
        </w:rPr>
        <w:t xml:space="preserve"> 27(1) (1997 UPA </w:t>
      </w:r>
      <w:r w:rsidR="00ED3E9C" w:rsidRPr="00443F62">
        <w:rPr>
          <w:rFonts w:cs="Times New Roman"/>
          <w:sz w:val="24"/>
          <w:szCs w:val="24"/>
        </w:rPr>
        <w:t>§</w:t>
      </w:r>
      <w:r w:rsidR="00ED3E9C">
        <w:rPr>
          <w:rFonts w:cs="Times New Roman"/>
          <w:szCs w:val="24"/>
        </w:rPr>
        <w:t>503).</w:t>
      </w:r>
    </w:p>
    <w:p w14:paraId="705D8D42" w14:textId="0B5E429B" w:rsidR="00991F87" w:rsidRDefault="00991F87" w:rsidP="00991F87">
      <w:pPr>
        <w:pStyle w:val="Heading3"/>
        <w:numPr>
          <w:ilvl w:val="1"/>
          <w:numId w:val="6"/>
        </w:numPr>
      </w:pPr>
      <w:r>
        <w:t>Dissolution</w:t>
      </w:r>
    </w:p>
    <w:p w14:paraId="1030443D" w14:textId="77777777" w:rsidR="00991F87" w:rsidRDefault="00991F87" w:rsidP="00991F87">
      <w:pPr>
        <w:pStyle w:val="ListParagraph"/>
        <w:numPr>
          <w:ilvl w:val="2"/>
          <w:numId w:val="6"/>
        </w:numPr>
        <w:rPr>
          <w:rFonts w:cs="Times New Roman"/>
          <w:sz w:val="24"/>
          <w:szCs w:val="24"/>
        </w:rPr>
      </w:pPr>
      <w:r>
        <w:rPr>
          <w:rFonts w:cs="Times New Roman"/>
          <w:sz w:val="24"/>
          <w:szCs w:val="24"/>
        </w:rPr>
        <w:t>1914 UPA § 29: “The dissolution of a partnership is the change in the relation of the partners caused by any partner ceasing to be associated in the carrying on…of the business.” (not in 1997 Act)</w:t>
      </w:r>
    </w:p>
    <w:p w14:paraId="26B6947B" w14:textId="77777777" w:rsidR="00991F87" w:rsidRPr="00443F62" w:rsidRDefault="00991F87" w:rsidP="00991F87">
      <w:pPr>
        <w:pStyle w:val="ListParagraph"/>
        <w:numPr>
          <w:ilvl w:val="2"/>
          <w:numId w:val="6"/>
        </w:numPr>
        <w:rPr>
          <w:rFonts w:cs="Times New Roman"/>
          <w:sz w:val="24"/>
          <w:szCs w:val="24"/>
        </w:rPr>
      </w:pPr>
      <w:r>
        <w:rPr>
          <w:rFonts w:cs="Times New Roman"/>
          <w:sz w:val="24"/>
          <w:szCs w:val="24"/>
        </w:rPr>
        <w:t>UPA § 37: “Unless otherwise agreed, the partners who have not wrongfully dissolved the partnership</w:t>
      </w:r>
      <w:proofErr w:type="gramStart"/>
      <w:r>
        <w:rPr>
          <w:rFonts w:cs="Times New Roman"/>
          <w:sz w:val="24"/>
          <w:szCs w:val="24"/>
        </w:rPr>
        <w:t>…[</w:t>
      </w:r>
      <w:proofErr w:type="gramEnd"/>
      <w:r>
        <w:rPr>
          <w:rFonts w:cs="Times New Roman"/>
          <w:sz w:val="24"/>
          <w:szCs w:val="24"/>
        </w:rPr>
        <w:t>have] the right to wind up the partnership affairs…”</w:t>
      </w:r>
    </w:p>
    <w:p w14:paraId="456AEEA0" w14:textId="77777777" w:rsidR="00991F87" w:rsidRPr="00BC3C1C" w:rsidRDefault="00991F87" w:rsidP="00991F87">
      <w:pPr>
        <w:pStyle w:val="ListParagraph"/>
        <w:numPr>
          <w:ilvl w:val="2"/>
          <w:numId w:val="6"/>
        </w:numPr>
        <w:rPr>
          <w:rFonts w:cs="Times New Roman"/>
          <w:sz w:val="24"/>
          <w:szCs w:val="24"/>
        </w:rPr>
      </w:pPr>
      <w:r>
        <w:rPr>
          <w:rFonts w:cs="Times New Roman"/>
          <w:sz w:val="24"/>
          <w:szCs w:val="24"/>
        </w:rPr>
        <w:t>1914 UPA § 30: “On dissolution the partnership is not terminated, but continues until the winding up of partnership affairs is completed.”</w:t>
      </w:r>
    </w:p>
    <w:p w14:paraId="7C146484" w14:textId="301D7233" w:rsidR="00991F87" w:rsidRPr="00991F87" w:rsidRDefault="00991F87" w:rsidP="00991F87">
      <w:pPr>
        <w:pStyle w:val="Heading3"/>
        <w:numPr>
          <w:ilvl w:val="1"/>
          <w:numId w:val="6"/>
        </w:numPr>
        <w:rPr>
          <w:i/>
        </w:rPr>
      </w:pPr>
      <w:r w:rsidRPr="00991F87">
        <w:rPr>
          <w:i/>
        </w:rPr>
        <w:t xml:space="preserve">Putnam v. </w:t>
      </w:r>
      <w:proofErr w:type="spellStart"/>
      <w:r w:rsidRPr="00991F87">
        <w:rPr>
          <w:i/>
        </w:rPr>
        <w:t>Shoaf</w:t>
      </w:r>
      <w:proofErr w:type="spellEnd"/>
    </w:p>
    <w:p w14:paraId="3561047B" w14:textId="77777777" w:rsidR="00991F87" w:rsidRDefault="00991F87" w:rsidP="00991F87">
      <w:pPr>
        <w:pStyle w:val="ListParagraph"/>
        <w:numPr>
          <w:ilvl w:val="2"/>
          <w:numId w:val="6"/>
        </w:numPr>
        <w:rPr>
          <w:rFonts w:cs="Times New Roman"/>
          <w:sz w:val="24"/>
          <w:szCs w:val="24"/>
        </w:rPr>
      </w:pPr>
      <w:r>
        <w:rPr>
          <w:rFonts w:cs="Times New Roman"/>
          <w:sz w:val="24"/>
          <w:szCs w:val="24"/>
        </w:rPr>
        <w:t xml:space="preserve"> “The dissolution of the partnership does not of itself discharge the existing liability of any partner.”</w:t>
      </w:r>
      <w:r w:rsidRPr="00FB446D">
        <w:rPr>
          <w:rFonts w:cs="Times New Roman"/>
          <w:szCs w:val="24"/>
        </w:rPr>
        <w:t xml:space="preserve"> </w:t>
      </w:r>
      <w:r>
        <w:rPr>
          <w:rFonts w:cs="Times New Roman"/>
          <w:sz w:val="24"/>
          <w:szCs w:val="24"/>
        </w:rPr>
        <w:t xml:space="preserve">1914 UPA </w:t>
      </w:r>
      <w:r w:rsidRPr="00443F62">
        <w:rPr>
          <w:rFonts w:cs="Times New Roman"/>
          <w:sz w:val="24"/>
          <w:szCs w:val="24"/>
        </w:rPr>
        <w:t>§</w:t>
      </w:r>
      <w:r>
        <w:rPr>
          <w:rFonts w:cs="Times New Roman"/>
          <w:sz w:val="24"/>
          <w:szCs w:val="24"/>
        </w:rPr>
        <w:t xml:space="preserve"> 36(1) (1997 UPA </w:t>
      </w:r>
      <w:r w:rsidRPr="00443F62">
        <w:rPr>
          <w:rFonts w:cs="Times New Roman"/>
          <w:sz w:val="24"/>
          <w:szCs w:val="24"/>
        </w:rPr>
        <w:t>§</w:t>
      </w:r>
      <w:r>
        <w:rPr>
          <w:rFonts w:cs="Times New Roman"/>
          <w:szCs w:val="24"/>
        </w:rPr>
        <w:t>703(a)).</w:t>
      </w:r>
    </w:p>
    <w:p w14:paraId="65F5A525" w14:textId="77777777" w:rsidR="00991F87" w:rsidRPr="00991F87" w:rsidRDefault="00991F87" w:rsidP="00991F87">
      <w:pPr>
        <w:pStyle w:val="ListParagraph"/>
        <w:numPr>
          <w:ilvl w:val="2"/>
          <w:numId w:val="6"/>
        </w:numPr>
        <w:rPr>
          <w:rFonts w:cs="Times New Roman"/>
          <w:sz w:val="24"/>
          <w:szCs w:val="24"/>
        </w:rPr>
      </w:pPr>
      <w:r>
        <w:rPr>
          <w:rFonts w:cs="Times New Roman"/>
          <w:sz w:val="24"/>
          <w:szCs w:val="24"/>
        </w:rPr>
        <w:t xml:space="preserve"> “A person admitted as a partner into an existing partnership is liable for all obligations of the partnership arising before his admission, except that this liability shall be satisfied only out of partnership property.” AKA Absent an agreement to the contrary, a new partner could lose the amounts already invested in the partnership, but would not become personally liable on any unpaid debt.</w:t>
      </w:r>
      <w:r w:rsidRPr="00FB446D">
        <w:rPr>
          <w:rFonts w:cs="Times New Roman"/>
          <w:szCs w:val="24"/>
        </w:rPr>
        <w:t xml:space="preserve"> </w:t>
      </w:r>
      <w:r>
        <w:rPr>
          <w:rFonts w:cs="Times New Roman"/>
          <w:sz w:val="24"/>
          <w:szCs w:val="24"/>
        </w:rPr>
        <w:t xml:space="preserve">1914 UPA </w:t>
      </w:r>
      <w:r w:rsidRPr="00443F62">
        <w:rPr>
          <w:rFonts w:cs="Times New Roman"/>
          <w:sz w:val="24"/>
          <w:szCs w:val="24"/>
        </w:rPr>
        <w:t>§</w:t>
      </w:r>
      <w:r>
        <w:rPr>
          <w:rFonts w:cs="Times New Roman"/>
          <w:sz w:val="24"/>
          <w:szCs w:val="24"/>
        </w:rPr>
        <w:t xml:space="preserve"> 17 (1997 UPA </w:t>
      </w:r>
      <w:r w:rsidRPr="00443F62">
        <w:rPr>
          <w:rFonts w:cs="Times New Roman"/>
          <w:sz w:val="24"/>
          <w:szCs w:val="24"/>
        </w:rPr>
        <w:t>§</w:t>
      </w:r>
      <w:r>
        <w:rPr>
          <w:rFonts w:cs="Times New Roman"/>
          <w:szCs w:val="24"/>
        </w:rPr>
        <w:t>306(b)).</w:t>
      </w:r>
    </w:p>
    <w:p w14:paraId="1DB3A792" w14:textId="77777777" w:rsidR="00991F87" w:rsidRPr="00443F62" w:rsidRDefault="00991F87" w:rsidP="00991F87">
      <w:pPr>
        <w:pStyle w:val="ListParagraph"/>
        <w:ind w:left="1440"/>
        <w:rPr>
          <w:rFonts w:cs="Times New Roman"/>
          <w:sz w:val="24"/>
          <w:szCs w:val="24"/>
        </w:rPr>
      </w:pPr>
    </w:p>
    <w:p w14:paraId="15527F69" w14:textId="00C32DDB" w:rsidR="00FA4373" w:rsidRPr="00443F62" w:rsidRDefault="00FA4373" w:rsidP="00D926F0">
      <w:pPr>
        <w:pStyle w:val="Heading2"/>
        <w:numPr>
          <w:ilvl w:val="0"/>
          <w:numId w:val="6"/>
        </w:numPr>
      </w:pPr>
      <w:r w:rsidRPr="00443F62">
        <w:t>Fiduciary Duties</w:t>
      </w:r>
    </w:p>
    <w:p w14:paraId="18EEAB20" w14:textId="15319FCE" w:rsidR="00FA4373" w:rsidRDefault="00FB446D" w:rsidP="00D926F0">
      <w:pPr>
        <w:pStyle w:val="Heading3"/>
        <w:numPr>
          <w:ilvl w:val="1"/>
          <w:numId w:val="6"/>
        </w:numPr>
      </w:pPr>
      <w:r>
        <w:t>Rules</w:t>
      </w:r>
    </w:p>
    <w:p w14:paraId="66F750F5" w14:textId="77777777" w:rsidR="006A4487" w:rsidRDefault="000234C9" w:rsidP="00D239D4">
      <w:pPr>
        <w:pStyle w:val="ListParagraph"/>
        <w:numPr>
          <w:ilvl w:val="2"/>
          <w:numId w:val="6"/>
        </w:numPr>
        <w:rPr>
          <w:rFonts w:cs="Times New Roman"/>
          <w:sz w:val="24"/>
          <w:szCs w:val="24"/>
        </w:rPr>
      </w:pPr>
      <w:r>
        <w:rPr>
          <w:rFonts w:cs="Times New Roman"/>
          <w:sz w:val="24"/>
          <w:szCs w:val="24"/>
        </w:rPr>
        <w:t xml:space="preserve">1997 UPA </w:t>
      </w:r>
      <w:r w:rsidRPr="00443F62">
        <w:rPr>
          <w:rFonts w:cs="Times New Roman"/>
          <w:sz w:val="24"/>
          <w:szCs w:val="24"/>
        </w:rPr>
        <w:t>§</w:t>
      </w:r>
      <w:r>
        <w:rPr>
          <w:rFonts w:cs="Times New Roman"/>
          <w:sz w:val="24"/>
          <w:szCs w:val="24"/>
        </w:rPr>
        <w:t xml:space="preserve"> 404:</w:t>
      </w:r>
    </w:p>
    <w:p w14:paraId="38E9C303" w14:textId="118F09CA" w:rsidR="000234C9" w:rsidRPr="00FB446D" w:rsidRDefault="000234C9" w:rsidP="00FB446D">
      <w:pPr>
        <w:ind w:left="1080"/>
        <w:rPr>
          <w:rFonts w:cs="Times New Roman"/>
          <w:i/>
          <w:szCs w:val="24"/>
        </w:rPr>
      </w:pPr>
      <w:r w:rsidRPr="00FB446D">
        <w:rPr>
          <w:rFonts w:cs="Times New Roman"/>
          <w:i/>
          <w:szCs w:val="24"/>
        </w:rPr>
        <w:t xml:space="preserve">(a) The only fiduciary duties a partner owes to the partnership and the other partners are the </w:t>
      </w:r>
      <w:r w:rsidRPr="00254155">
        <w:rPr>
          <w:rFonts w:cs="Times New Roman"/>
          <w:i/>
          <w:szCs w:val="24"/>
          <w:u w:val="single"/>
        </w:rPr>
        <w:t>duty of loyalty</w:t>
      </w:r>
      <w:r w:rsidRPr="00FB446D">
        <w:rPr>
          <w:rFonts w:cs="Times New Roman"/>
          <w:i/>
          <w:szCs w:val="24"/>
        </w:rPr>
        <w:t xml:space="preserve"> and the </w:t>
      </w:r>
      <w:r w:rsidRPr="00254155">
        <w:rPr>
          <w:rFonts w:cs="Times New Roman"/>
          <w:i/>
          <w:szCs w:val="24"/>
          <w:u w:val="single"/>
        </w:rPr>
        <w:t>duty of care</w:t>
      </w:r>
      <w:r w:rsidRPr="00FB446D">
        <w:rPr>
          <w:rFonts w:cs="Times New Roman"/>
          <w:i/>
          <w:szCs w:val="24"/>
        </w:rPr>
        <w:t xml:space="preserve"> set forth in subsections (b) and (c).</w:t>
      </w:r>
    </w:p>
    <w:p w14:paraId="7AEB152A" w14:textId="77777777" w:rsidR="000234C9" w:rsidRPr="00FB446D" w:rsidRDefault="000234C9" w:rsidP="00FB446D">
      <w:pPr>
        <w:ind w:left="1080"/>
        <w:rPr>
          <w:rFonts w:cs="Times New Roman"/>
          <w:i/>
          <w:szCs w:val="24"/>
        </w:rPr>
      </w:pPr>
      <w:r w:rsidRPr="00FB446D">
        <w:rPr>
          <w:rFonts w:cs="Times New Roman"/>
          <w:i/>
          <w:szCs w:val="24"/>
        </w:rPr>
        <w:t xml:space="preserve">(b) A partner's </w:t>
      </w:r>
      <w:r w:rsidRPr="00144C0C">
        <w:rPr>
          <w:rFonts w:cs="Times New Roman"/>
          <w:i/>
          <w:szCs w:val="24"/>
          <w:u w:val="single"/>
        </w:rPr>
        <w:t>duty of loyalty</w:t>
      </w:r>
      <w:r w:rsidRPr="00FB446D">
        <w:rPr>
          <w:rFonts w:cs="Times New Roman"/>
          <w:i/>
          <w:szCs w:val="24"/>
        </w:rPr>
        <w:t xml:space="preserve"> to the partnership and the other partners is limited to the following:</w:t>
      </w:r>
    </w:p>
    <w:p w14:paraId="2797EC9D" w14:textId="77777777" w:rsidR="000234C9" w:rsidRPr="00FB446D" w:rsidRDefault="000234C9" w:rsidP="00FB446D">
      <w:pPr>
        <w:ind w:left="1440"/>
        <w:rPr>
          <w:rFonts w:cs="Times New Roman"/>
          <w:i/>
          <w:szCs w:val="24"/>
        </w:rPr>
      </w:pPr>
      <w:r w:rsidRPr="00FB446D">
        <w:rPr>
          <w:rFonts w:cs="Times New Roman"/>
          <w:i/>
          <w:szCs w:val="24"/>
        </w:rPr>
        <w:t>(1) to account to the partnership and hold as trustee for it any property, profit, or benefit derived by the partner in the conduct and winding up of the partnership business or derived from a use by the partner of partnership property, including the appropriation of a partnership opportunity;</w:t>
      </w:r>
    </w:p>
    <w:p w14:paraId="0A5CFC5C" w14:textId="77777777" w:rsidR="000234C9" w:rsidRPr="00FB446D" w:rsidRDefault="000234C9" w:rsidP="00FB446D">
      <w:pPr>
        <w:ind w:left="1440"/>
        <w:rPr>
          <w:rFonts w:cs="Times New Roman"/>
          <w:i/>
          <w:szCs w:val="24"/>
        </w:rPr>
      </w:pPr>
      <w:r w:rsidRPr="00FB446D">
        <w:rPr>
          <w:rFonts w:cs="Times New Roman"/>
          <w:i/>
          <w:szCs w:val="24"/>
        </w:rPr>
        <w:t xml:space="preserve">(2) </w:t>
      </w:r>
      <w:proofErr w:type="gramStart"/>
      <w:r w:rsidRPr="00FB446D">
        <w:rPr>
          <w:rFonts w:cs="Times New Roman"/>
          <w:i/>
          <w:szCs w:val="24"/>
        </w:rPr>
        <w:t>to</w:t>
      </w:r>
      <w:proofErr w:type="gramEnd"/>
      <w:r w:rsidRPr="00FB446D">
        <w:rPr>
          <w:rFonts w:cs="Times New Roman"/>
          <w:i/>
          <w:szCs w:val="24"/>
        </w:rPr>
        <w:t xml:space="preserve"> refrain from dealing with the partnership in the conduct or winding up of the partnership business as or on behalf of a party having an interest adverse to the partnership; and</w:t>
      </w:r>
    </w:p>
    <w:p w14:paraId="2C4A072D" w14:textId="77777777" w:rsidR="000234C9" w:rsidRPr="00FB446D" w:rsidRDefault="000234C9" w:rsidP="00FB446D">
      <w:pPr>
        <w:ind w:left="1440"/>
        <w:rPr>
          <w:rFonts w:cs="Times New Roman"/>
          <w:i/>
          <w:szCs w:val="24"/>
        </w:rPr>
      </w:pPr>
      <w:r w:rsidRPr="00FB446D">
        <w:rPr>
          <w:rFonts w:cs="Times New Roman"/>
          <w:i/>
          <w:szCs w:val="24"/>
        </w:rPr>
        <w:t xml:space="preserve">(3) </w:t>
      </w:r>
      <w:proofErr w:type="gramStart"/>
      <w:r w:rsidRPr="00FB446D">
        <w:rPr>
          <w:rFonts w:cs="Times New Roman"/>
          <w:i/>
          <w:szCs w:val="24"/>
        </w:rPr>
        <w:t>to</w:t>
      </w:r>
      <w:proofErr w:type="gramEnd"/>
      <w:r w:rsidRPr="00FB446D">
        <w:rPr>
          <w:rFonts w:cs="Times New Roman"/>
          <w:i/>
          <w:szCs w:val="24"/>
        </w:rPr>
        <w:t xml:space="preserve"> refrain from competing with the partnership in the conduct of the partnership business before the dissolution of the partnership.</w:t>
      </w:r>
    </w:p>
    <w:p w14:paraId="2F021434" w14:textId="77777777" w:rsidR="000234C9" w:rsidRPr="00FB446D" w:rsidRDefault="000234C9" w:rsidP="00FB446D">
      <w:pPr>
        <w:ind w:left="1080"/>
        <w:rPr>
          <w:rFonts w:cs="Times New Roman"/>
          <w:i/>
          <w:szCs w:val="24"/>
        </w:rPr>
      </w:pPr>
      <w:r w:rsidRPr="00FB446D">
        <w:rPr>
          <w:rFonts w:cs="Times New Roman"/>
          <w:i/>
          <w:szCs w:val="24"/>
        </w:rPr>
        <w:t xml:space="preserve">(c) A partner's </w:t>
      </w:r>
      <w:r w:rsidRPr="00144C0C">
        <w:rPr>
          <w:rFonts w:cs="Times New Roman"/>
          <w:i/>
          <w:szCs w:val="24"/>
          <w:u w:val="single"/>
        </w:rPr>
        <w:t>duty of care</w:t>
      </w:r>
      <w:r w:rsidRPr="00FB446D">
        <w:rPr>
          <w:rFonts w:cs="Times New Roman"/>
          <w:i/>
          <w:szCs w:val="24"/>
        </w:rPr>
        <w:t xml:space="preserve"> to the partnership and the other partners in the conduct and winding up of the partnership business is limited to refraining from engaging in grossly negligent or reckless conduct, intentional misconduct, or a knowing violation of law.</w:t>
      </w:r>
    </w:p>
    <w:p w14:paraId="7DCDD3F9" w14:textId="3AF7FA60" w:rsidR="000234C9" w:rsidRPr="00FB446D" w:rsidRDefault="000234C9" w:rsidP="00FB446D">
      <w:pPr>
        <w:ind w:left="1080"/>
        <w:rPr>
          <w:rFonts w:cs="Times New Roman"/>
          <w:i/>
          <w:szCs w:val="24"/>
        </w:rPr>
      </w:pPr>
      <w:r w:rsidRPr="00FB446D">
        <w:rPr>
          <w:rFonts w:cs="Times New Roman"/>
          <w:i/>
          <w:szCs w:val="24"/>
        </w:rPr>
        <w:t xml:space="preserve">(d) A partner shall discharge the duties to the partnership and the other partners under this [Act] or under the partnership agreement and exercise any rights consistently with the obligation of </w:t>
      </w:r>
      <w:r w:rsidRPr="00144C0C">
        <w:rPr>
          <w:rFonts w:cs="Times New Roman"/>
          <w:i/>
          <w:szCs w:val="24"/>
          <w:u w:val="single"/>
        </w:rPr>
        <w:t>good faith and fair dealing</w:t>
      </w:r>
      <w:r w:rsidR="00144C0C" w:rsidRPr="00144C0C">
        <w:rPr>
          <w:rFonts w:cs="Times New Roman"/>
          <w:i/>
          <w:szCs w:val="24"/>
        </w:rPr>
        <w:t>…</w:t>
      </w:r>
    </w:p>
    <w:p w14:paraId="2D95F6F5" w14:textId="36FBF55A" w:rsidR="00FA4373" w:rsidRPr="001C11F1" w:rsidRDefault="00254155" w:rsidP="00D926F0">
      <w:pPr>
        <w:pStyle w:val="Heading3"/>
        <w:numPr>
          <w:ilvl w:val="1"/>
          <w:numId w:val="6"/>
        </w:numPr>
        <w:rPr>
          <w:i/>
        </w:rPr>
      </w:pPr>
      <w:r w:rsidRPr="00254155">
        <w:t>Punctilio of an Honor</w:t>
      </w:r>
      <w:r w:rsidR="00B717B4">
        <w:t>/No Secrets</w:t>
      </w:r>
      <w:r w:rsidRPr="00254155">
        <w:t xml:space="preserve"> –</w:t>
      </w:r>
      <w:r>
        <w:rPr>
          <w:i/>
        </w:rPr>
        <w:t xml:space="preserve"> </w:t>
      </w:r>
      <w:proofErr w:type="spellStart"/>
      <w:r w:rsidR="00FA4373" w:rsidRPr="001C11F1">
        <w:rPr>
          <w:i/>
        </w:rPr>
        <w:t>Meinhard</w:t>
      </w:r>
      <w:proofErr w:type="spellEnd"/>
      <w:r w:rsidR="00FA4373" w:rsidRPr="001C11F1">
        <w:rPr>
          <w:i/>
        </w:rPr>
        <w:t xml:space="preserve"> v. Salmon</w:t>
      </w:r>
      <w:r w:rsidR="001C11F1" w:rsidRPr="001C11F1">
        <w:rPr>
          <w:i/>
        </w:rPr>
        <w:t xml:space="preserve"> (NY 1928)</w:t>
      </w:r>
    </w:p>
    <w:p w14:paraId="62A5A93E" w14:textId="77777777" w:rsidR="00D239D4" w:rsidRDefault="00D239D4" w:rsidP="0095783F">
      <w:pPr>
        <w:pStyle w:val="ListParagraph"/>
        <w:numPr>
          <w:ilvl w:val="2"/>
          <w:numId w:val="6"/>
        </w:numPr>
        <w:rPr>
          <w:rFonts w:cs="Times New Roman"/>
          <w:sz w:val="24"/>
          <w:szCs w:val="24"/>
        </w:rPr>
      </w:pPr>
      <w:r>
        <w:rPr>
          <w:rFonts w:cs="Times New Roman"/>
          <w:sz w:val="24"/>
          <w:szCs w:val="24"/>
        </w:rPr>
        <w:t xml:space="preserve">Synopsis: </w:t>
      </w:r>
      <w:r w:rsidRPr="00D239D4">
        <w:rPr>
          <w:rFonts w:cs="Times New Roman"/>
          <w:sz w:val="24"/>
          <w:szCs w:val="24"/>
        </w:rPr>
        <w:t>Walter J. Salmon (D) entered into a lease with Louisa Gerry for a hotel. D, whi</w:t>
      </w:r>
      <w:r w:rsidR="000234C9">
        <w:rPr>
          <w:rFonts w:cs="Times New Roman"/>
          <w:sz w:val="24"/>
          <w:szCs w:val="24"/>
        </w:rPr>
        <w:t xml:space="preserve">le in course of treaty with Louisa </w:t>
      </w:r>
      <w:r w:rsidRPr="00D239D4">
        <w:rPr>
          <w:rFonts w:cs="Times New Roman"/>
          <w:sz w:val="24"/>
          <w:szCs w:val="24"/>
        </w:rPr>
        <w:t xml:space="preserve">as to the execution of the lease, was in course of treaty with </w:t>
      </w:r>
      <w:proofErr w:type="spellStart"/>
      <w:r w:rsidRPr="00D239D4">
        <w:rPr>
          <w:rFonts w:cs="Times New Roman"/>
          <w:sz w:val="24"/>
          <w:szCs w:val="24"/>
        </w:rPr>
        <w:t>Meinhard</w:t>
      </w:r>
      <w:proofErr w:type="spellEnd"/>
      <w:r w:rsidRPr="00D239D4">
        <w:rPr>
          <w:rFonts w:cs="Times New Roman"/>
          <w:sz w:val="24"/>
          <w:szCs w:val="24"/>
        </w:rPr>
        <w:t xml:space="preserve"> (P), for the necessary funds. P and D were involved in a joint venture in regards to the property, subject to fiduciary duties akin to those of partners. D was the manager of the property. Near the end of the lease, Elbridge Gerry became the owner of the reversion, and he approached D. The two entered into a new lease, which is owned and controlled by D. D did not tell P about it. When P found out about the new lease, he demanded that the lease be held in trust as an asset of the venture between D and P, which D refused. Referee found for P. D appealed.</w:t>
      </w:r>
    </w:p>
    <w:p w14:paraId="085A9F3F" w14:textId="2F01580B" w:rsidR="00D239D4" w:rsidRPr="00D239D4" w:rsidRDefault="00D239D4" w:rsidP="0095783F">
      <w:pPr>
        <w:pStyle w:val="ListParagraph"/>
        <w:numPr>
          <w:ilvl w:val="2"/>
          <w:numId w:val="6"/>
        </w:numPr>
        <w:rPr>
          <w:rFonts w:cs="Times New Roman"/>
          <w:sz w:val="24"/>
          <w:szCs w:val="24"/>
        </w:rPr>
      </w:pPr>
      <w:r>
        <w:rPr>
          <w:rFonts w:cs="Times New Roman"/>
          <w:sz w:val="24"/>
          <w:szCs w:val="24"/>
        </w:rPr>
        <w:lastRenderedPageBreak/>
        <w:t xml:space="preserve">Tool: </w:t>
      </w:r>
      <w:r w:rsidRPr="00D239D4">
        <w:rPr>
          <w:rFonts w:cs="Times New Roman"/>
          <w:sz w:val="24"/>
          <w:szCs w:val="24"/>
        </w:rPr>
        <w:t>“</w:t>
      </w:r>
      <w:r w:rsidR="000234C9" w:rsidRPr="000234C9">
        <w:rPr>
          <w:rFonts w:cs="Times New Roman"/>
          <w:sz w:val="24"/>
          <w:szCs w:val="24"/>
        </w:rPr>
        <w:t xml:space="preserve">A trustee is held to something stricter than the morals of the market place. Not honesty alone, but the </w:t>
      </w:r>
      <w:r w:rsidR="000234C9" w:rsidRPr="00254155">
        <w:rPr>
          <w:rFonts w:cs="Times New Roman"/>
          <w:sz w:val="24"/>
          <w:szCs w:val="24"/>
          <w:u w:val="single"/>
        </w:rPr>
        <w:t>punctilio of an honor</w:t>
      </w:r>
      <w:r w:rsidR="000234C9" w:rsidRPr="000234C9">
        <w:rPr>
          <w:rFonts w:cs="Times New Roman"/>
          <w:sz w:val="24"/>
          <w:szCs w:val="24"/>
        </w:rPr>
        <w:t xml:space="preserve"> the most sensitive, is then the standard of behavior</w:t>
      </w:r>
      <w:r w:rsidR="001C11F1">
        <w:rPr>
          <w:rFonts w:cs="Times New Roman"/>
          <w:sz w:val="24"/>
          <w:szCs w:val="24"/>
        </w:rPr>
        <w:t xml:space="preserve">… </w:t>
      </w:r>
      <w:r w:rsidR="000234C9" w:rsidRPr="000234C9">
        <w:rPr>
          <w:rFonts w:cs="Times New Roman"/>
          <w:sz w:val="24"/>
          <w:szCs w:val="24"/>
        </w:rPr>
        <w:t>Uncompromising rigidity has been the attitude of courts of equity when petitioned to undermine the rule of undivided loyalty by the ‘disintegrating erosion’ of particular exceptions</w:t>
      </w:r>
      <w:r w:rsidR="000234C9">
        <w:rPr>
          <w:rFonts w:cs="Times New Roman"/>
          <w:sz w:val="24"/>
          <w:szCs w:val="24"/>
        </w:rPr>
        <w:t>…</w:t>
      </w:r>
      <w:r w:rsidR="000234C9" w:rsidRPr="000234C9">
        <w:rPr>
          <w:rFonts w:cs="Times New Roman"/>
          <w:sz w:val="24"/>
          <w:szCs w:val="24"/>
        </w:rPr>
        <w:t xml:space="preserve"> Salmon had put himself in a position in which thought of self was to be renounced, however hard the abnegation. He was much more than a </w:t>
      </w:r>
      <w:proofErr w:type="spellStart"/>
      <w:r w:rsidR="000234C9" w:rsidRPr="000234C9">
        <w:rPr>
          <w:rFonts w:cs="Times New Roman"/>
          <w:sz w:val="24"/>
          <w:szCs w:val="24"/>
        </w:rPr>
        <w:t>coadventurer</w:t>
      </w:r>
      <w:proofErr w:type="spellEnd"/>
      <w:r w:rsidR="000234C9" w:rsidRPr="000234C9">
        <w:rPr>
          <w:rFonts w:cs="Times New Roman"/>
          <w:sz w:val="24"/>
          <w:szCs w:val="24"/>
        </w:rPr>
        <w:t xml:space="preserve">. He was a managing </w:t>
      </w:r>
      <w:proofErr w:type="spellStart"/>
      <w:r w:rsidR="000234C9" w:rsidRPr="000234C9">
        <w:rPr>
          <w:rFonts w:cs="Times New Roman"/>
          <w:sz w:val="24"/>
          <w:szCs w:val="24"/>
        </w:rPr>
        <w:t>coadventurer</w:t>
      </w:r>
      <w:proofErr w:type="spellEnd"/>
      <w:r w:rsidR="000234C9">
        <w:rPr>
          <w:rFonts w:cs="Times New Roman"/>
          <w:sz w:val="24"/>
          <w:szCs w:val="24"/>
        </w:rPr>
        <w:t>…</w:t>
      </w:r>
      <w:r w:rsidR="000234C9" w:rsidRPr="000234C9">
        <w:rPr>
          <w:rFonts w:cs="Times New Roman"/>
          <w:sz w:val="24"/>
          <w:szCs w:val="24"/>
        </w:rPr>
        <w:t xml:space="preserve"> For him and for those like him the rule of undivided loyalty is relentless and supreme.</w:t>
      </w:r>
      <w:r w:rsidR="000234C9">
        <w:rPr>
          <w:rFonts w:cs="Times New Roman"/>
          <w:sz w:val="24"/>
          <w:szCs w:val="24"/>
        </w:rPr>
        <w:t>”</w:t>
      </w:r>
    </w:p>
    <w:p w14:paraId="179BE0B2" w14:textId="619B5AC3" w:rsidR="00D239D4" w:rsidRPr="000234C9" w:rsidRDefault="00D239D4" w:rsidP="0095783F">
      <w:pPr>
        <w:pStyle w:val="ListParagraph"/>
        <w:numPr>
          <w:ilvl w:val="2"/>
          <w:numId w:val="6"/>
        </w:numPr>
        <w:rPr>
          <w:rFonts w:cs="Times New Roman"/>
          <w:sz w:val="24"/>
          <w:szCs w:val="24"/>
        </w:rPr>
      </w:pPr>
      <w:r>
        <w:rPr>
          <w:rFonts w:cs="Times New Roman"/>
          <w:sz w:val="24"/>
          <w:szCs w:val="24"/>
        </w:rPr>
        <w:t xml:space="preserve">Holding: </w:t>
      </w:r>
      <w:r w:rsidRPr="00D239D4">
        <w:rPr>
          <w:rFonts w:cs="Times New Roman"/>
          <w:sz w:val="24"/>
          <w:szCs w:val="24"/>
        </w:rPr>
        <w:t>Equitable interest should be allotted to P. D held the lease as a fiduciary, for himself and anothe</w:t>
      </w:r>
      <w:r w:rsidR="000234C9">
        <w:rPr>
          <w:rFonts w:cs="Times New Roman"/>
          <w:sz w:val="24"/>
          <w:szCs w:val="24"/>
        </w:rPr>
        <w:t xml:space="preserve">r, sharers in a common venture. </w:t>
      </w:r>
      <w:r w:rsidRPr="000234C9">
        <w:rPr>
          <w:rFonts w:cs="Times New Roman"/>
          <w:sz w:val="24"/>
          <w:szCs w:val="24"/>
        </w:rPr>
        <w:t>The fact that D was in control as the manager charges him with the “duty of disclosure, since only through disclosure could opportunity be equalized.”</w:t>
      </w:r>
      <w:r w:rsidR="000234C9">
        <w:rPr>
          <w:rFonts w:cs="Times New Roman"/>
          <w:sz w:val="24"/>
          <w:szCs w:val="24"/>
        </w:rPr>
        <w:t xml:space="preserve"> </w:t>
      </w:r>
      <w:r w:rsidRPr="000234C9">
        <w:rPr>
          <w:rFonts w:cs="Times New Roman"/>
          <w:sz w:val="24"/>
          <w:szCs w:val="24"/>
        </w:rPr>
        <w:t xml:space="preserve">“The subject matter of the new lease was an extension of the subject matter of the old one. </w:t>
      </w:r>
      <w:r w:rsidR="000234C9" w:rsidRPr="000234C9">
        <w:rPr>
          <w:rFonts w:cs="Times New Roman"/>
          <w:sz w:val="24"/>
          <w:szCs w:val="24"/>
        </w:rPr>
        <w:t>“</w:t>
      </w:r>
    </w:p>
    <w:p w14:paraId="5207D7F7" w14:textId="7F4B7EC2" w:rsidR="00FA4373" w:rsidRPr="00443F62" w:rsidRDefault="00144C0C" w:rsidP="00FA4373">
      <w:pPr>
        <w:pStyle w:val="ListParagraph"/>
        <w:numPr>
          <w:ilvl w:val="2"/>
          <w:numId w:val="6"/>
        </w:numPr>
        <w:rPr>
          <w:rFonts w:cs="Times New Roman"/>
          <w:sz w:val="24"/>
          <w:szCs w:val="24"/>
        </w:rPr>
      </w:pPr>
      <w:r>
        <w:rPr>
          <w:rFonts w:cs="Times New Roman"/>
          <w:sz w:val="24"/>
          <w:szCs w:val="24"/>
        </w:rPr>
        <w:t>Limit</w:t>
      </w:r>
      <w:r w:rsidR="000234C9">
        <w:rPr>
          <w:rFonts w:cs="Times New Roman"/>
          <w:sz w:val="24"/>
          <w:szCs w:val="24"/>
        </w:rPr>
        <w:t xml:space="preserve">: Salmon should have told </w:t>
      </w:r>
      <w:proofErr w:type="spellStart"/>
      <w:r w:rsidR="000234C9">
        <w:rPr>
          <w:rFonts w:cs="Times New Roman"/>
          <w:sz w:val="24"/>
          <w:szCs w:val="24"/>
        </w:rPr>
        <w:t>Meinhard</w:t>
      </w:r>
      <w:proofErr w:type="spellEnd"/>
      <w:r w:rsidR="000234C9">
        <w:rPr>
          <w:rFonts w:cs="Times New Roman"/>
          <w:sz w:val="24"/>
          <w:szCs w:val="24"/>
        </w:rPr>
        <w:t xml:space="preserve"> about the chance to renew, but should he have done more?</w:t>
      </w:r>
    </w:p>
    <w:p w14:paraId="01188660" w14:textId="12C8A8AF" w:rsidR="00FA4373" w:rsidRPr="009A5CC6" w:rsidRDefault="00B717B4" w:rsidP="00D926F0">
      <w:pPr>
        <w:pStyle w:val="Heading3"/>
        <w:numPr>
          <w:ilvl w:val="1"/>
          <w:numId w:val="6"/>
        </w:numPr>
      </w:pPr>
      <w:r>
        <w:t>Don’t Lie</w:t>
      </w:r>
      <w:r w:rsidR="00254155">
        <w:t xml:space="preserve">– </w:t>
      </w:r>
      <w:r w:rsidR="00FA4373" w:rsidRPr="00254155">
        <w:rPr>
          <w:i/>
        </w:rPr>
        <w:t>Meehan v. Shaughnessy</w:t>
      </w:r>
    </w:p>
    <w:p w14:paraId="24E7BCC9" w14:textId="77777777" w:rsidR="009A5CC6" w:rsidRDefault="009A5CC6" w:rsidP="009A5CC6">
      <w:pPr>
        <w:pStyle w:val="ListParagraph"/>
        <w:numPr>
          <w:ilvl w:val="2"/>
          <w:numId w:val="6"/>
        </w:numPr>
        <w:rPr>
          <w:rFonts w:cs="Times New Roman"/>
          <w:sz w:val="24"/>
          <w:szCs w:val="24"/>
        </w:rPr>
      </w:pPr>
      <w:r w:rsidRPr="009A5CC6">
        <w:rPr>
          <w:rFonts w:cs="Times New Roman"/>
          <w:sz w:val="24"/>
          <w:szCs w:val="24"/>
        </w:rPr>
        <w:t>Synopsis: James Meehan and Leo Boyle (Ps) left the law firm of Parker Colter (Ds). Ps wanted money they believed was owed to them under thei</w:t>
      </w:r>
      <w:r>
        <w:rPr>
          <w:rFonts w:cs="Times New Roman"/>
          <w:sz w:val="24"/>
          <w:szCs w:val="24"/>
        </w:rPr>
        <w:t>r partnership agreement, and Ds</w:t>
      </w:r>
      <w:r w:rsidRPr="009A5CC6">
        <w:rPr>
          <w:rFonts w:cs="Times New Roman"/>
          <w:sz w:val="24"/>
          <w:szCs w:val="24"/>
        </w:rPr>
        <w:t xml:space="preserve"> argued that Ps breached their </w:t>
      </w:r>
      <w:r>
        <w:rPr>
          <w:rFonts w:cs="Times New Roman"/>
          <w:sz w:val="24"/>
          <w:szCs w:val="24"/>
        </w:rPr>
        <w:t xml:space="preserve">fiduciary </w:t>
      </w:r>
      <w:r w:rsidRPr="009A5CC6">
        <w:rPr>
          <w:rFonts w:cs="Times New Roman"/>
          <w:sz w:val="24"/>
          <w:szCs w:val="24"/>
        </w:rPr>
        <w:t>duties</w:t>
      </w:r>
      <w:r>
        <w:rPr>
          <w:rFonts w:cs="Times New Roman"/>
          <w:sz w:val="24"/>
          <w:szCs w:val="24"/>
        </w:rPr>
        <w:t>.</w:t>
      </w:r>
      <w:r w:rsidRPr="009A5CC6">
        <w:rPr>
          <w:rFonts w:cs="Times New Roman"/>
          <w:sz w:val="24"/>
          <w:szCs w:val="24"/>
        </w:rPr>
        <w:t xml:space="preserve"> </w:t>
      </w:r>
      <w:r>
        <w:rPr>
          <w:rFonts w:cs="Times New Roman"/>
          <w:sz w:val="24"/>
          <w:szCs w:val="24"/>
        </w:rPr>
        <w:t>Court found that</w:t>
      </w:r>
      <w:r w:rsidRPr="009A5CC6">
        <w:rPr>
          <w:rFonts w:cs="Times New Roman"/>
          <w:sz w:val="24"/>
          <w:szCs w:val="24"/>
        </w:rPr>
        <w:t xml:space="preserve"> Ps conduct regard</w:t>
      </w:r>
      <w:r>
        <w:rPr>
          <w:rFonts w:cs="Times New Roman"/>
          <w:sz w:val="24"/>
          <w:szCs w:val="24"/>
        </w:rPr>
        <w:t xml:space="preserve">ing their secret planning for </w:t>
      </w:r>
      <w:r w:rsidRPr="009A5CC6">
        <w:rPr>
          <w:rFonts w:cs="Times New Roman"/>
          <w:sz w:val="24"/>
          <w:szCs w:val="24"/>
        </w:rPr>
        <w:t xml:space="preserve">their departure was not completely unacceptable. </w:t>
      </w:r>
      <w:r w:rsidR="00475A19" w:rsidRPr="00254155">
        <w:rPr>
          <w:rFonts w:cs="Times New Roman"/>
          <w:sz w:val="24"/>
          <w:szCs w:val="24"/>
          <w:u w:val="single"/>
        </w:rPr>
        <w:t xml:space="preserve">The court was fine with the following acts by P: discussed the idea of leaving; recruited several associates; negotiated a lease for their new office; scoured their ongoing cases to pick ones they wanted; contact clients they wanted and asked them to move. (Contrast with </w:t>
      </w:r>
      <w:r w:rsidR="00475A19" w:rsidRPr="00254155">
        <w:rPr>
          <w:rFonts w:cs="Times New Roman"/>
          <w:i/>
          <w:sz w:val="24"/>
          <w:szCs w:val="24"/>
          <w:u w:val="single"/>
        </w:rPr>
        <w:t>Town &amp; Country</w:t>
      </w:r>
      <w:r w:rsidR="00475A19" w:rsidRPr="00254155">
        <w:rPr>
          <w:rFonts w:cs="Times New Roman"/>
          <w:sz w:val="24"/>
          <w:szCs w:val="24"/>
          <w:u w:val="single"/>
        </w:rPr>
        <w:t xml:space="preserve"> where they breached fiduciary duty by contacting clients after they left and contrast with </w:t>
      </w:r>
      <w:proofErr w:type="spellStart"/>
      <w:r w:rsidR="00475A19" w:rsidRPr="00254155">
        <w:rPr>
          <w:rFonts w:cs="Times New Roman"/>
          <w:i/>
          <w:sz w:val="24"/>
          <w:szCs w:val="24"/>
          <w:u w:val="single"/>
        </w:rPr>
        <w:t>Meinhard</w:t>
      </w:r>
      <w:proofErr w:type="spellEnd"/>
      <w:r w:rsidR="00475A19" w:rsidRPr="00254155">
        <w:rPr>
          <w:rFonts w:cs="Times New Roman"/>
          <w:sz w:val="24"/>
          <w:szCs w:val="24"/>
          <w:u w:val="single"/>
        </w:rPr>
        <w:t xml:space="preserve"> considering that P in this case acted as competitors rather than fiduciaries.)</w:t>
      </w:r>
      <w:r w:rsidR="00475A19">
        <w:rPr>
          <w:rFonts w:cs="Times New Roman"/>
          <w:sz w:val="24"/>
          <w:szCs w:val="24"/>
        </w:rPr>
        <w:t xml:space="preserve"> Court found that P breached their fiduciary duties when: they initially lied to their partners about their plans; stalled for two weeks before giving their partners the list of clients they intended to solicit; and misled their clients by failing to make clear that they could stay at their current firm. </w:t>
      </w:r>
    </w:p>
    <w:p w14:paraId="69422F6E" w14:textId="77777777" w:rsidR="009A5CC6" w:rsidRPr="00443F62" w:rsidRDefault="009A5CC6" w:rsidP="009A5CC6">
      <w:pPr>
        <w:pStyle w:val="ListParagraph"/>
        <w:numPr>
          <w:ilvl w:val="2"/>
          <w:numId w:val="6"/>
        </w:numPr>
        <w:rPr>
          <w:rFonts w:cs="Times New Roman"/>
          <w:sz w:val="24"/>
          <w:szCs w:val="24"/>
        </w:rPr>
      </w:pPr>
      <w:r w:rsidRPr="009A5CC6">
        <w:rPr>
          <w:rFonts w:cs="Times New Roman"/>
          <w:sz w:val="24"/>
          <w:szCs w:val="24"/>
        </w:rPr>
        <w:t>Tool: “A partner has an obligation to ‘render on demand true and full information of all things affecting the partnership to any partner.’”</w:t>
      </w:r>
    </w:p>
    <w:p w14:paraId="2B226E16" w14:textId="50CBB1BF" w:rsidR="00FA4373" w:rsidRPr="00443F62" w:rsidRDefault="00254155" w:rsidP="00D926F0">
      <w:pPr>
        <w:pStyle w:val="Heading3"/>
        <w:numPr>
          <w:ilvl w:val="1"/>
          <w:numId w:val="6"/>
        </w:numPr>
      </w:pPr>
      <w:r>
        <w:t xml:space="preserve">Can Fire Without Cause if In Agreement – </w:t>
      </w:r>
      <w:r w:rsidR="00FA4373" w:rsidRPr="00254155">
        <w:rPr>
          <w:i/>
        </w:rPr>
        <w:t xml:space="preserve">Lawlis v. </w:t>
      </w:r>
      <w:proofErr w:type="spellStart"/>
      <w:r w:rsidR="00FA4373" w:rsidRPr="00254155">
        <w:rPr>
          <w:i/>
        </w:rPr>
        <w:t>Kightlinger</w:t>
      </w:r>
      <w:proofErr w:type="spellEnd"/>
      <w:r w:rsidR="00FA4373" w:rsidRPr="00254155">
        <w:rPr>
          <w:i/>
        </w:rPr>
        <w:t xml:space="preserve"> &amp; Gray</w:t>
      </w:r>
    </w:p>
    <w:p w14:paraId="2B8DE830" w14:textId="74B2DAF4" w:rsidR="00475A19" w:rsidRDefault="00946F80" w:rsidP="00144C0C">
      <w:pPr>
        <w:pStyle w:val="ListParagraph"/>
        <w:numPr>
          <w:ilvl w:val="2"/>
          <w:numId w:val="6"/>
        </w:numPr>
        <w:rPr>
          <w:rFonts w:cs="Times New Roman"/>
          <w:sz w:val="24"/>
          <w:szCs w:val="24"/>
        </w:rPr>
      </w:pPr>
      <w:r>
        <w:rPr>
          <w:rFonts w:cs="Times New Roman"/>
          <w:sz w:val="24"/>
          <w:szCs w:val="24"/>
        </w:rPr>
        <w:t>Synopsis: Lawlis (</w:t>
      </w:r>
      <w:r w:rsidRPr="00946F80">
        <w:rPr>
          <w:rFonts w:cs="Times New Roman"/>
          <w:sz w:val="24"/>
          <w:szCs w:val="24"/>
        </w:rPr>
        <w:t>P</w:t>
      </w:r>
      <w:r>
        <w:rPr>
          <w:rFonts w:cs="Times New Roman"/>
          <w:sz w:val="24"/>
          <w:szCs w:val="24"/>
        </w:rPr>
        <w:t>),</w:t>
      </w:r>
      <w:r w:rsidR="00991F87">
        <w:rPr>
          <w:rFonts w:cs="Times New Roman"/>
          <w:sz w:val="24"/>
          <w:szCs w:val="24"/>
        </w:rPr>
        <w:t xml:space="preserve"> </w:t>
      </w:r>
      <w:r w:rsidRPr="00946F80">
        <w:rPr>
          <w:rFonts w:cs="Times New Roman"/>
          <w:sz w:val="24"/>
          <w:szCs w:val="24"/>
        </w:rPr>
        <w:t xml:space="preserve">a </w:t>
      </w:r>
      <w:r>
        <w:rPr>
          <w:rFonts w:cs="Times New Roman"/>
          <w:sz w:val="24"/>
          <w:szCs w:val="24"/>
        </w:rPr>
        <w:t>partner</w:t>
      </w:r>
      <w:r w:rsidRPr="00946F80">
        <w:rPr>
          <w:rFonts w:cs="Times New Roman"/>
          <w:sz w:val="24"/>
          <w:szCs w:val="24"/>
        </w:rPr>
        <w:t xml:space="preserve"> of </w:t>
      </w:r>
      <w:proofErr w:type="spellStart"/>
      <w:r>
        <w:rPr>
          <w:rFonts w:cs="Times New Roman"/>
          <w:sz w:val="24"/>
          <w:szCs w:val="24"/>
        </w:rPr>
        <w:t>Kightlinger</w:t>
      </w:r>
      <w:proofErr w:type="spellEnd"/>
      <w:r>
        <w:rPr>
          <w:rFonts w:cs="Times New Roman"/>
          <w:sz w:val="24"/>
          <w:szCs w:val="24"/>
        </w:rPr>
        <w:t xml:space="preserve"> &amp; Gray (</w:t>
      </w:r>
      <w:r w:rsidRPr="00946F80">
        <w:rPr>
          <w:rFonts w:cs="Times New Roman"/>
          <w:sz w:val="24"/>
          <w:szCs w:val="24"/>
        </w:rPr>
        <w:t>D</w:t>
      </w:r>
      <w:r>
        <w:rPr>
          <w:rFonts w:cs="Times New Roman"/>
          <w:sz w:val="24"/>
          <w:szCs w:val="24"/>
        </w:rPr>
        <w:t>)</w:t>
      </w:r>
      <w:r w:rsidRPr="00946F80">
        <w:rPr>
          <w:rFonts w:cs="Times New Roman"/>
          <w:sz w:val="24"/>
          <w:szCs w:val="24"/>
        </w:rPr>
        <w:t>, suffered from alcoholism. P missed several months of work to seek treatment. D outl</w:t>
      </w:r>
      <w:r>
        <w:rPr>
          <w:rFonts w:cs="Times New Roman"/>
          <w:sz w:val="24"/>
          <w:szCs w:val="24"/>
        </w:rPr>
        <w:t xml:space="preserve">ined conditions for his return and </w:t>
      </w:r>
      <w:r w:rsidRPr="00946F80">
        <w:rPr>
          <w:rFonts w:cs="Times New Roman"/>
          <w:sz w:val="24"/>
          <w:szCs w:val="24"/>
        </w:rPr>
        <w:t>did not provide any second chances, but when P continued to have problems D gave him a second chance.</w:t>
      </w:r>
      <w:r>
        <w:rPr>
          <w:rFonts w:cs="Times New Roman"/>
          <w:sz w:val="24"/>
          <w:szCs w:val="24"/>
        </w:rPr>
        <w:t xml:space="preserve"> O</w:t>
      </w:r>
      <w:r w:rsidRPr="00946F80">
        <w:rPr>
          <w:rFonts w:cs="Times New Roman"/>
          <w:sz w:val="24"/>
          <w:szCs w:val="24"/>
        </w:rPr>
        <w:t xml:space="preserve">nce </w:t>
      </w:r>
      <w:r>
        <w:rPr>
          <w:rFonts w:cs="Times New Roman"/>
          <w:sz w:val="24"/>
          <w:szCs w:val="24"/>
        </w:rPr>
        <w:t>P</w:t>
      </w:r>
      <w:r w:rsidRPr="00946F80">
        <w:rPr>
          <w:rFonts w:cs="Times New Roman"/>
          <w:sz w:val="24"/>
          <w:szCs w:val="24"/>
        </w:rPr>
        <w:t xml:space="preserve"> made a complete recovery, P asked for his shares to be increased. D responded by recommending his senior partner status be severed, and he was eventually expelled from the firm per the procedures outlined in the partnership agreement</w:t>
      </w:r>
      <w:r>
        <w:rPr>
          <w:rFonts w:cs="Times New Roman"/>
          <w:sz w:val="24"/>
          <w:szCs w:val="24"/>
        </w:rPr>
        <w:t>, which allowed partners to expel each other at any time for any reason with a 2/3 vote</w:t>
      </w:r>
      <w:r w:rsidR="0031309D">
        <w:rPr>
          <w:rFonts w:cs="Times New Roman"/>
          <w:sz w:val="24"/>
          <w:szCs w:val="24"/>
        </w:rPr>
        <w:t xml:space="preserve"> (“guillotine provision”)</w:t>
      </w:r>
      <w:r>
        <w:rPr>
          <w:rFonts w:cs="Times New Roman"/>
          <w:sz w:val="24"/>
          <w:szCs w:val="24"/>
        </w:rPr>
        <w:t>. Court found that the firm co</w:t>
      </w:r>
      <w:r w:rsidR="009319D0">
        <w:rPr>
          <w:rFonts w:cs="Times New Roman"/>
          <w:sz w:val="24"/>
          <w:szCs w:val="24"/>
        </w:rPr>
        <w:t xml:space="preserve">uld validly adopt such a clause per UPA rule. </w:t>
      </w:r>
      <w:r>
        <w:rPr>
          <w:rFonts w:cs="Times New Roman"/>
          <w:sz w:val="24"/>
          <w:szCs w:val="24"/>
        </w:rPr>
        <w:t xml:space="preserve"> </w:t>
      </w:r>
    </w:p>
    <w:p w14:paraId="7E1150F3" w14:textId="77777777" w:rsidR="00946F80" w:rsidRDefault="00946F80" w:rsidP="00144C0C">
      <w:pPr>
        <w:pStyle w:val="ListParagraph"/>
        <w:numPr>
          <w:ilvl w:val="2"/>
          <w:numId w:val="6"/>
        </w:numPr>
        <w:rPr>
          <w:rFonts w:cs="Times New Roman"/>
          <w:sz w:val="24"/>
          <w:szCs w:val="24"/>
        </w:rPr>
      </w:pPr>
      <w:r>
        <w:rPr>
          <w:rFonts w:cs="Times New Roman"/>
          <w:sz w:val="24"/>
          <w:szCs w:val="24"/>
        </w:rPr>
        <w:t xml:space="preserve">Tool: </w:t>
      </w:r>
    </w:p>
    <w:p w14:paraId="795B8079" w14:textId="77777777" w:rsidR="00946F80" w:rsidRDefault="009319D0" w:rsidP="00144C0C">
      <w:pPr>
        <w:pStyle w:val="ListParagraph"/>
        <w:numPr>
          <w:ilvl w:val="3"/>
          <w:numId w:val="6"/>
        </w:numPr>
        <w:rPr>
          <w:rFonts w:cs="Times New Roman"/>
          <w:sz w:val="24"/>
          <w:szCs w:val="24"/>
        </w:rPr>
      </w:pPr>
      <w:r>
        <w:rPr>
          <w:rFonts w:cs="Times New Roman"/>
          <w:sz w:val="24"/>
          <w:szCs w:val="24"/>
        </w:rPr>
        <w:t>1914 UPA § 31 (1997 UPA §</w:t>
      </w:r>
      <w:r w:rsidRPr="00946F80">
        <w:rPr>
          <w:rFonts w:cs="Times New Roman"/>
          <w:sz w:val="24"/>
          <w:szCs w:val="24"/>
        </w:rPr>
        <w:t xml:space="preserve"> </w:t>
      </w:r>
      <w:r>
        <w:rPr>
          <w:rFonts w:cs="Times New Roman"/>
          <w:sz w:val="24"/>
          <w:szCs w:val="24"/>
        </w:rPr>
        <w:t xml:space="preserve"> 601(3)): </w:t>
      </w:r>
      <w:r w:rsidR="00946F80" w:rsidRPr="00946F80">
        <w:rPr>
          <w:rFonts w:cs="Times New Roman"/>
          <w:sz w:val="24"/>
          <w:szCs w:val="24"/>
        </w:rPr>
        <w:t xml:space="preserve">“Dissolution is caused: (1) Without violation of the agreement between the partners,…(d) by the expulsion of any partner from the business bona fide in accordance with such a power conferred by the agreement between the partners.” </w:t>
      </w:r>
    </w:p>
    <w:p w14:paraId="465C8816" w14:textId="77777777" w:rsidR="00946F80" w:rsidRDefault="00946F80" w:rsidP="00144C0C">
      <w:pPr>
        <w:pStyle w:val="ListParagraph"/>
        <w:numPr>
          <w:ilvl w:val="3"/>
          <w:numId w:val="6"/>
        </w:numPr>
        <w:rPr>
          <w:rFonts w:cs="Times New Roman"/>
          <w:sz w:val="24"/>
          <w:szCs w:val="24"/>
        </w:rPr>
      </w:pPr>
      <w:r w:rsidRPr="00946F80">
        <w:rPr>
          <w:rFonts w:cs="Times New Roman"/>
          <w:sz w:val="24"/>
          <w:szCs w:val="24"/>
        </w:rPr>
        <w:t>“Where the remaining partners in a firm deem it necessary to expel a partner under a no cause expulsion clause in a partnership agreement freely negotiated and entered into, the expelling partners act in ‘good faith’ regardless of motivation if that act does not cause a wrongful withholding of money or property legally due the expelled partner at the time he is expelled…”</w:t>
      </w:r>
    </w:p>
    <w:p w14:paraId="66DD7DA5" w14:textId="77777777" w:rsidR="009319D0" w:rsidRPr="00254155" w:rsidRDefault="009319D0" w:rsidP="00144C0C">
      <w:pPr>
        <w:pStyle w:val="ListParagraph"/>
        <w:numPr>
          <w:ilvl w:val="2"/>
          <w:numId w:val="6"/>
        </w:numPr>
        <w:rPr>
          <w:rFonts w:cs="Times New Roman"/>
          <w:sz w:val="24"/>
          <w:szCs w:val="24"/>
          <w:u w:val="single"/>
        </w:rPr>
      </w:pPr>
      <w:r>
        <w:rPr>
          <w:rFonts w:cs="Times New Roman"/>
          <w:sz w:val="24"/>
          <w:szCs w:val="24"/>
        </w:rPr>
        <w:t xml:space="preserve">Note: </w:t>
      </w:r>
      <w:r w:rsidRPr="00254155">
        <w:rPr>
          <w:rFonts w:cs="Times New Roman"/>
          <w:sz w:val="24"/>
          <w:szCs w:val="24"/>
          <w:u w:val="single"/>
        </w:rPr>
        <w:t xml:space="preserve">Contrast allowing partners expel each other whenever for whatever with </w:t>
      </w:r>
      <w:proofErr w:type="spellStart"/>
      <w:r w:rsidRPr="00254155">
        <w:rPr>
          <w:rFonts w:cs="Times New Roman"/>
          <w:i/>
          <w:sz w:val="24"/>
          <w:szCs w:val="24"/>
          <w:u w:val="single"/>
        </w:rPr>
        <w:t>Meinhard</w:t>
      </w:r>
      <w:proofErr w:type="spellEnd"/>
      <w:r w:rsidRPr="00254155">
        <w:rPr>
          <w:rFonts w:cs="Times New Roman"/>
          <w:i/>
          <w:sz w:val="24"/>
          <w:szCs w:val="24"/>
          <w:u w:val="single"/>
        </w:rPr>
        <w:t xml:space="preserve"> </w:t>
      </w:r>
      <w:r w:rsidRPr="00254155">
        <w:rPr>
          <w:rFonts w:cs="Times New Roman"/>
          <w:sz w:val="24"/>
          <w:szCs w:val="24"/>
          <w:u w:val="single"/>
        </w:rPr>
        <w:t>court demanding of partners a “punctilio of an honor the most sensitive.”</w:t>
      </w:r>
    </w:p>
    <w:p w14:paraId="1B00D1BB" w14:textId="1D299782" w:rsidR="00FA4373" w:rsidRPr="00443F62" w:rsidRDefault="00FA4373" w:rsidP="00D926F0">
      <w:pPr>
        <w:pStyle w:val="Heading2"/>
        <w:numPr>
          <w:ilvl w:val="0"/>
          <w:numId w:val="6"/>
        </w:numPr>
      </w:pPr>
      <w:r w:rsidRPr="00443F62">
        <w:lastRenderedPageBreak/>
        <w:t>Management</w:t>
      </w:r>
    </w:p>
    <w:p w14:paraId="097ABCF7" w14:textId="6E576542" w:rsidR="00FA4373" w:rsidRDefault="00AA2F14" w:rsidP="00D926F0">
      <w:pPr>
        <w:pStyle w:val="Heading3"/>
        <w:numPr>
          <w:ilvl w:val="1"/>
          <w:numId w:val="6"/>
        </w:numPr>
      </w:pPr>
      <w:r>
        <w:t>Rule</w:t>
      </w:r>
    </w:p>
    <w:p w14:paraId="44B014E4" w14:textId="54348209" w:rsidR="00CA0C1D" w:rsidRDefault="00CA0C1D" w:rsidP="00CA0C1D">
      <w:pPr>
        <w:pStyle w:val="ListParagraph"/>
        <w:numPr>
          <w:ilvl w:val="2"/>
          <w:numId w:val="6"/>
        </w:numPr>
        <w:rPr>
          <w:rFonts w:cs="Times New Roman"/>
          <w:sz w:val="24"/>
          <w:szCs w:val="24"/>
        </w:rPr>
      </w:pPr>
      <w:r>
        <w:rPr>
          <w:rFonts w:cs="Times New Roman"/>
          <w:sz w:val="24"/>
          <w:szCs w:val="24"/>
        </w:rPr>
        <w:t xml:space="preserve"> “</w:t>
      </w:r>
      <w:r w:rsidR="00AA2F14">
        <w:rPr>
          <w:rFonts w:cs="Times New Roman"/>
          <w:sz w:val="24"/>
          <w:szCs w:val="24"/>
        </w:rPr>
        <w:t>…</w:t>
      </w:r>
      <w:r>
        <w:rPr>
          <w:rFonts w:cs="Times New Roman"/>
          <w:sz w:val="24"/>
          <w:szCs w:val="24"/>
        </w:rPr>
        <w:t xml:space="preserve"> All partners have equal rights in the management and conduct of the partnership business.”</w:t>
      </w:r>
      <w:r w:rsidR="00AA2F14">
        <w:rPr>
          <w:rFonts w:cs="Times New Roman"/>
          <w:sz w:val="24"/>
          <w:szCs w:val="24"/>
        </w:rPr>
        <w:t xml:space="preserve"> 1914 UPA § 18(e) (1997 UPA §</w:t>
      </w:r>
      <w:r w:rsidR="00AA2F14" w:rsidRPr="00946F80">
        <w:rPr>
          <w:rFonts w:cs="Times New Roman"/>
          <w:sz w:val="24"/>
          <w:szCs w:val="24"/>
        </w:rPr>
        <w:t xml:space="preserve"> </w:t>
      </w:r>
      <w:r w:rsidR="00AA2F14">
        <w:rPr>
          <w:rFonts w:cs="Times New Roman"/>
          <w:sz w:val="24"/>
          <w:szCs w:val="24"/>
        </w:rPr>
        <w:t>401(f)).</w:t>
      </w:r>
    </w:p>
    <w:p w14:paraId="321E3B68" w14:textId="1A8AA6FA" w:rsidR="00CA0C1D" w:rsidRPr="00443F62" w:rsidRDefault="00CA0C1D" w:rsidP="00CA0C1D">
      <w:pPr>
        <w:pStyle w:val="ListParagraph"/>
        <w:numPr>
          <w:ilvl w:val="2"/>
          <w:numId w:val="6"/>
        </w:numPr>
        <w:rPr>
          <w:rFonts w:cs="Times New Roman"/>
          <w:sz w:val="24"/>
          <w:szCs w:val="24"/>
        </w:rPr>
      </w:pPr>
      <w:r>
        <w:rPr>
          <w:rFonts w:cs="Times New Roman"/>
          <w:sz w:val="24"/>
          <w:szCs w:val="24"/>
        </w:rPr>
        <w:t>A partnership will decide all r</w:t>
      </w:r>
      <w:r w:rsidR="00AA2F14">
        <w:rPr>
          <w:rFonts w:cs="Times New Roman"/>
          <w:sz w:val="24"/>
          <w:szCs w:val="24"/>
        </w:rPr>
        <w:t>outine matters by majority vote</w:t>
      </w:r>
      <w:r>
        <w:rPr>
          <w:rFonts w:cs="Times New Roman"/>
          <w:sz w:val="24"/>
          <w:szCs w:val="24"/>
        </w:rPr>
        <w:t xml:space="preserve"> </w:t>
      </w:r>
      <w:r w:rsidR="00AA2F14">
        <w:rPr>
          <w:rFonts w:cs="Times New Roman"/>
          <w:sz w:val="24"/>
          <w:szCs w:val="24"/>
        </w:rPr>
        <w:t xml:space="preserve">– </w:t>
      </w:r>
      <w:r>
        <w:rPr>
          <w:rFonts w:cs="Times New Roman"/>
          <w:sz w:val="24"/>
          <w:szCs w:val="24"/>
        </w:rPr>
        <w:t>1914 UPA § 18(h) (1997 UPA §</w:t>
      </w:r>
      <w:r w:rsidRPr="00946F80">
        <w:rPr>
          <w:rFonts w:cs="Times New Roman"/>
          <w:sz w:val="24"/>
          <w:szCs w:val="24"/>
        </w:rPr>
        <w:t xml:space="preserve"> </w:t>
      </w:r>
      <w:r w:rsidR="00AA2F14">
        <w:rPr>
          <w:rFonts w:cs="Times New Roman"/>
          <w:sz w:val="24"/>
          <w:szCs w:val="24"/>
        </w:rPr>
        <w:t>401(j)).</w:t>
      </w:r>
    </w:p>
    <w:p w14:paraId="4CD9D0AF" w14:textId="2D7E1F37" w:rsidR="00FA4373" w:rsidRDefault="00BC3C1C" w:rsidP="00D926F0">
      <w:pPr>
        <w:pStyle w:val="Heading3"/>
        <w:numPr>
          <w:ilvl w:val="1"/>
          <w:numId w:val="6"/>
        </w:numPr>
      </w:pPr>
      <w:r>
        <w:t>Authority</w:t>
      </w:r>
    </w:p>
    <w:p w14:paraId="5B27A37D" w14:textId="05033DF3" w:rsidR="00CA0C1D" w:rsidRDefault="00BC3C1C" w:rsidP="00CA0C1D">
      <w:pPr>
        <w:pStyle w:val="ListParagraph"/>
        <w:numPr>
          <w:ilvl w:val="2"/>
          <w:numId w:val="6"/>
        </w:numPr>
        <w:rPr>
          <w:rFonts w:cs="Times New Roman"/>
          <w:sz w:val="24"/>
          <w:szCs w:val="24"/>
        </w:rPr>
      </w:pPr>
      <w:r>
        <w:rPr>
          <w:rFonts w:cs="Times New Roman"/>
          <w:sz w:val="24"/>
          <w:szCs w:val="24"/>
        </w:rPr>
        <w:t xml:space="preserve">Actual Authority – </w:t>
      </w:r>
      <w:r w:rsidR="00CA0C1D">
        <w:rPr>
          <w:rFonts w:cs="Times New Roman"/>
          <w:sz w:val="24"/>
          <w:szCs w:val="24"/>
        </w:rPr>
        <w:t>Absent a decision to the contrary, partners have actual authority to bind the partnership for conduct within the scope of its business – “</w:t>
      </w:r>
      <w:r w:rsidR="00CA0C1D" w:rsidRPr="00B776BC">
        <w:rPr>
          <w:rFonts w:cs="Times New Roman"/>
          <w:b/>
          <w:sz w:val="24"/>
          <w:szCs w:val="24"/>
          <w:u w:val="single"/>
        </w:rPr>
        <w:t>Every partner is an agent of the partnership for the purpose of its business</w:t>
      </w:r>
      <w:r w:rsidR="00CA0C1D">
        <w:rPr>
          <w:rFonts w:cs="Times New Roman"/>
          <w:sz w:val="24"/>
          <w:szCs w:val="24"/>
        </w:rPr>
        <w:t>…”</w:t>
      </w:r>
      <w:r>
        <w:rPr>
          <w:rFonts w:cs="Times New Roman"/>
          <w:sz w:val="24"/>
          <w:szCs w:val="24"/>
        </w:rPr>
        <w:t xml:space="preserve"> 1914 UPA § 9(1) (1997 UPA §</w:t>
      </w:r>
      <w:r w:rsidRPr="00946F80">
        <w:rPr>
          <w:rFonts w:cs="Times New Roman"/>
          <w:sz w:val="24"/>
          <w:szCs w:val="24"/>
        </w:rPr>
        <w:t xml:space="preserve"> </w:t>
      </w:r>
      <w:r>
        <w:rPr>
          <w:rFonts w:cs="Times New Roman"/>
          <w:sz w:val="24"/>
          <w:szCs w:val="24"/>
        </w:rPr>
        <w:t>301(1)).</w:t>
      </w:r>
    </w:p>
    <w:p w14:paraId="1AB7CB0E" w14:textId="2060AE0A" w:rsidR="00F074A0" w:rsidRDefault="00BC3C1C" w:rsidP="00CA0C1D">
      <w:pPr>
        <w:pStyle w:val="ListParagraph"/>
        <w:numPr>
          <w:ilvl w:val="2"/>
          <w:numId w:val="6"/>
        </w:numPr>
        <w:rPr>
          <w:rFonts w:cs="Times New Roman"/>
          <w:sz w:val="24"/>
          <w:szCs w:val="24"/>
        </w:rPr>
      </w:pPr>
      <w:r>
        <w:rPr>
          <w:rFonts w:cs="Times New Roman"/>
          <w:sz w:val="24"/>
          <w:szCs w:val="24"/>
        </w:rPr>
        <w:t xml:space="preserve">Apparent Authority – </w:t>
      </w:r>
      <w:r w:rsidR="00F074A0">
        <w:rPr>
          <w:rFonts w:cs="Times New Roman"/>
          <w:sz w:val="24"/>
          <w:szCs w:val="24"/>
        </w:rPr>
        <w:t>Partners also have apparent authority to bind the partnership for actions within the scope of its business unless the third party knows they lack actual authority – “[T]he act of every partner…for apparently carrying on in the usual way the business of the partnership…binds the partnership unless the partner so acting has in fact no authority to act for the partnership in the particular matter, and the person with whom he is dealing has knowledge of the fact that he has no such authority.”</w:t>
      </w:r>
      <w:r w:rsidRPr="00BC3C1C">
        <w:rPr>
          <w:rFonts w:cs="Times New Roman"/>
          <w:sz w:val="24"/>
          <w:szCs w:val="24"/>
        </w:rPr>
        <w:t xml:space="preserve"> </w:t>
      </w:r>
      <w:r>
        <w:rPr>
          <w:rFonts w:cs="Times New Roman"/>
          <w:sz w:val="24"/>
          <w:szCs w:val="24"/>
        </w:rPr>
        <w:t>1914 UPA § 9(1) (1997 UPA §</w:t>
      </w:r>
      <w:r w:rsidRPr="00946F80">
        <w:rPr>
          <w:rFonts w:cs="Times New Roman"/>
          <w:sz w:val="24"/>
          <w:szCs w:val="24"/>
        </w:rPr>
        <w:t xml:space="preserve"> </w:t>
      </w:r>
      <w:r>
        <w:rPr>
          <w:rFonts w:cs="Times New Roman"/>
          <w:sz w:val="24"/>
          <w:szCs w:val="24"/>
        </w:rPr>
        <w:t>301(1)).</w:t>
      </w:r>
    </w:p>
    <w:p w14:paraId="5A803E45" w14:textId="2C25B473" w:rsidR="00BC3C1C" w:rsidRDefault="00BC3C1C" w:rsidP="00BC3C1C">
      <w:pPr>
        <w:pStyle w:val="Heading3"/>
        <w:numPr>
          <w:ilvl w:val="1"/>
          <w:numId w:val="6"/>
        </w:numPr>
      </w:pPr>
      <w:r>
        <w:t>Cases</w:t>
      </w:r>
    </w:p>
    <w:p w14:paraId="41488CE0" w14:textId="77777777" w:rsidR="00F074A0" w:rsidRPr="00F074A0" w:rsidRDefault="00F074A0" w:rsidP="00F074A0">
      <w:pPr>
        <w:pStyle w:val="ListParagraph"/>
        <w:numPr>
          <w:ilvl w:val="2"/>
          <w:numId w:val="6"/>
        </w:numPr>
        <w:rPr>
          <w:rFonts w:cs="Times New Roman"/>
          <w:i/>
          <w:sz w:val="24"/>
          <w:szCs w:val="24"/>
        </w:rPr>
      </w:pPr>
      <w:r w:rsidRPr="00F074A0">
        <w:rPr>
          <w:rFonts w:cs="Times New Roman"/>
          <w:i/>
          <w:sz w:val="24"/>
          <w:szCs w:val="24"/>
        </w:rPr>
        <w:t>National Biscuit Company v. Stroud (NC 1959)</w:t>
      </w:r>
    </w:p>
    <w:p w14:paraId="1751359C" w14:textId="664C5948" w:rsidR="00F074A0" w:rsidRDefault="00F074A0" w:rsidP="00F074A0">
      <w:pPr>
        <w:pStyle w:val="ListParagraph"/>
        <w:numPr>
          <w:ilvl w:val="3"/>
          <w:numId w:val="6"/>
        </w:numPr>
        <w:rPr>
          <w:rFonts w:cs="Times New Roman"/>
          <w:sz w:val="24"/>
          <w:szCs w:val="24"/>
        </w:rPr>
      </w:pPr>
      <w:r>
        <w:rPr>
          <w:rFonts w:cs="Times New Roman"/>
          <w:sz w:val="24"/>
          <w:szCs w:val="24"/>
        </w:rPr>
        <w:t xml:space="preserve">Synopsis: C.N. Stroud (D) and Earl Freeman ran a grocery store without a written agreement. </w:t>
      </w:r>
      <w:r w:rsidR="004414CF">
        <w:rPr>
          <w:rFonts w:cs="Times New Roman"/>
          <w:sz w:val="24"/>
          <w:szCs w:val="24"/>
        </w:rPr>
        <w:t xml:space="preserve">Freeman had authority to order bread. </w:t>
      </w:r>
      <w:r>
        <w:rPr>
          <w:rFonts w:cs="Times New Roman"/>
          <w:sz w:val="24"/>
          <w:szCs w:val="24"/>
        </w:rPr>
        <w:t>Stroud called supplier Nabisco (P) and told it he would not pay for more bread. Freeman ordered bread anyway, P delivered, and D refused to pay. Court ruled for P because since Stroud is only one half of the partnership, and not a majority, he is unable to prevent Fre</w:t>
      </w:r>
      <w:r w:rsidR="00295046">
        <w:rPr>
          <w:rFonts w:cs="Times New Roman"/>
          <w:sz w:val="24"/>
          <w:szCs w:val="24"/>
        </w:rPr>
        <w:t xml:space="preserve">eman from exercising his rights as a partner in the management of the partnership business. </w:t>
      </w:r>
      <w:r w:rsidR="004414CF">
        <w:rPr>
          <w:rFonts w:cs="Times New Roman"/>
          <w:sz w:val="24"/>
          <w:szCs w:val="24"/>
        </w:rPr>
        <w:t>Without a majority vote, cannot change status quo.</w:t>
      </w:r>
    </w:p>
    <w:p w14:paraId="2182590C" w14:textId="77777777" w:rsidR="00F074A0" w:rsidRDefault="00F074A0" w:rsidP="00F074A0">
      <w:pPr>
        <w:pStyle w:val="ListParagraph"/>
        <w:numPr>
          <w:ilvl w:val="3"/>
          <w:numId w:val="6"/>
        </w:numPr>
        <w:rPr>
          <w:rFonts w:cs="Times New Roman"/>
          <w:sz w:val="24"/>
          <w:szCs w:val="24"/>
        </w:rPr>
      </w:pPr>
      <w:r>
        <w:rPr>
          <w:rFonts w:cs="Times New Roman"/>
          <w:sz w:val="24"/>
          <w:szCs w:val="24"/>
        </w:rPr>
        <w:t>Tool:</w:t>
      </w:r>
    </w:p>
    <w:p w14:paraId="209EDDC1" w14:textId="77777777" w:rsidR="00F074A0" w:rsidRDefault="00F074A0" w:rsidP="00F074A0">
      <w:pPr>
        <w:pStyle w:val="ListParagraph"/>
        <w:numPr>
          <w:ilvl w:val="4"/>
          <w:numId w:val="6"/>
        </w:numPr>
        <w:rPr>
          <w:rFonts w:cs="Times New Roman"/>
          <w:sz w:val="24"/>
          <w:szCs w:val="24"/>
        </w:rPr>
      </w:pPr>
      <w:r w:rsidRPr="00F074A0">
        <w:rPr>
          <w:rFonts w:cs="Times New Roman"/>
          <w:sz w:val="24"/>
          <w:szCs w:val="24"/>
        </w:rPr>
        <w:t>NC Uniform Partnership Act – “All partners have equal rights in the management and conduct of the partnership business…Any difference arising as to ordinary matters connected with the partnership business may be decided by a majority of the partners; but no act in contravention of any agreement between the partners may be done rightfully without the consent of all the partners.”</w:t>
      </w:r>
    </w:p>
    <w:p w14:paraId="09ADF807" w14:textId="77777777" w:rsidR="00F074A0" w:rsidRDefault="00F074A0" w:rsidP="00F074A0">
      <w:pPr>
        <w:pStyle w:val="ListParagraph"/>
        <w:numPr>
          <w:ilvl w:val="4"/>
          <w:numId w:val="6"/>
        </w:numPr>
        <w:rPr>
          <w:rFonts w:cs="Times New Roman"/>
          <w:sz w:val="24"/>
          <w:szCs w:val="24"/>
        </w:rPr>
      </w:pPr>
      <w:r w:rsidRPr="00F074A0">
        <w:rPr>
          <w:rFonts w:cs="Times New Roman"/>
          <w:sz w:val="24"/>
          <w:szCs w:val="24"/>
        </w:rPr>
        <w:t>“</w:t>
      </w:r>
      <w:proofErr w:type="gramStart"/>
      <w:r w:rsidRPr="00F074A0">
        <w:rPr>
          <w:rFonts w:cs="Times New Roman"/>
          <w:sz w:val="24"/>
          <w:szCs w:val="24"/>
        </w:rPr>
        <w:t>half</w:t>
      </w:r>
      <w:proofErr w:type="gramEnd"/>
      <w:r w:rsidRPr="00F074A0">
        <w:rPr>
          <w:rFonts w:cs="Times New Roman"/>
          <w:sz w:val="24"/>
          <w:szCs w:val="24"/>
        </w:rPr>
        <w:t xml:space="preserve"> of the members are not a majority.”</w:t>
      </w:r>
    </w:p>
    <w:p w14:paraId="7210DFE2" w14:textId="77777777" w:rsidR="00295046" w:rsidRPr="00295046" w:rsidRDefault="00295046" w:rsidP="00295046">
      <w:pPr>
        <w:pStyle w:val="ListParagraph"/>
        <w:numPr>
          <w:ilvl w:val="2"/>
          <w:numId w:val="6"/>
        </w:numPr>
        <w:rPr>
          <w:rFonts w:cs="Times New Roman"/>
          <w:i/>
          <w:sz w:val="24"/>
          <w:szCs w:val="24"/>
        </w:rPr>
      </w:pPr>
      <w:r w:rsidRPr="00295046">
        <w:rPr>
          <w:rFonts w:cs="Times New Roman"/>
          <w:i/>
          <w:sz w:val="24"/>
          <w:szCs w:val="24"/>
        </w:rPr>
        <w:t>Summers v. Dooley (Idaho 1971)</w:t>
      </w:r>
    </w:p>
    <w:p w14:paraId="0C69DBEA" w14:textId="77777777" w:rsidR="00295046" w:rsidRDefault="00295046" w:rsidP="00C05B81">
      <w:pPr>
        <w:pStyle w:val="ListParagraph"/>
        <w:numPr>
          <w:ilvl w:val="3"/>
          <w:numId w:val="6"/>
        </w:numPr>
        <w:rPr>
          <w:rFonts w:cs="Times New Roman"/>
          <w:sz w:val="24"/>
          <w:szCs w:val="24"/>
        </w:rPr>
      </w:pPr>
      <w:r w:rsidRPr="00295046">
        <w:rPr>
          <w:rFonts w:cs="Times New Roman"/>
          <w:sz w:val="24"/>
          <w:szCs w:val="24"/>
        </w:rPr>
        <w:t xml:space="preserve">Synopsis: John Summers (P) hired an employee </w:t>
      </w:r>
      <w:r w:rsidR="00C05B81">
        <w:rPr>
          <w:rFonts w:cs="Times New Roman"/>
          <w:sz w:val="24"/>
          <w:szCs w:val="24"/>
        </w:rPr>
        <w:t xml:space="preserve">out-of-pocket </w:t>
      </w:r>
      <w:r w:rsidRPr="00295046">
        <w:rPr>
          <w:rFonts w:cs="Times New Roman"/>
          <w:sz w:val="24"/>
          <w:szCs w:val="24"/>
        </w:rPr>
        <w:t>despite the objections of partner, E.A. Dooley (D). P wants D to reimburse him for half the costs of the additional employee.</w:t>
      </w:r>
      <w:r w:rsidR="00C05B81">
        <w:rPr>
          <w:rFonts w:cs="Times New Roman"/>
          <w:sz w:val="24"/>
          <w:szCs w:val="24"/>
        </w:rPr>
        <w:t xml:space="preserve"> Court ruled in favor of D, because a </w:t>
      </w:r>
      <w:r w:rsidR="00C05B81" w:rsidRPr="00C05B81">
        <w:rPr>
          <w:rFonts w:cs="Times New Roman"/>
          <w:sz w:val="24"/>
          <w:szCs w:val="24"/>
        </w:rPr>
        <w:t>decision to change the status quo would require a majority approval, and P’s one vote did not constitute a majority.</w:t>
      </w:r>
    </w:p>
    <w:p w14:paraId="54264865" w14:textId="77777777" w:rsidR="00295046" w:rsidRDefault="00C05B81" w:rsidP="00C05B81">
      <w:pPr>
        <w:pStyle w:val="ListParagraph"/>
        <w:numPr>
          <w:ilvl w:val="3"/>
          <w:numId w:val="6"/>
        </w:numPr>
        <w:rPr>
          <w:rFonts w:cs="Times New Roman"/>
          <w:sz w:val="24"/>
          <w:szCs w:val="24"/>
        </w:rPr>
      </w:pPr>
      <w:r>
        <w:rPr>
          <w:rFonts w:cs="Times New Roman"/>
          <w:sz w:val="24"/>
          <w:szCs w:val="24"/>
        </w:rPr>
        <w:t xml:space="preserve">Tool: </w:t>
      </w:r>
      <w:r w:rsidRPr="00C05B81">
        <w:rPr>
          <w:rFonts w:cs="Times New Roman"/>
          <w:sz w:val="24"/>
          <w:szCs w:val="24"/>
        </w:rPr>
        <w:t>UPA (1914 § 18(h)): “Any difference arising as to ordinary matters connected with the partnership business may be decided by a majority of the partners.”</w:t>
      </w:r>
    </w:p>
    <w:p w14:paraId="5BB420DC" w14:textId="77777777" w:rsidR="00C05B81" w:rsidRDefault="00C05B81" w:rsidP="00C05B81">
      <w:pPr>
        <w:pStyle w:val="ListParagraph"/>
        <w:numPr>
          <w:ilvl w:val="3"/>
          <w:numId w:val="6"/>
        </w:numPr>
        <w:rPr>
          <w:rFonts w:cs="Times New Roman"/>
          <w:sz w:val="24"/>
          <w:szCs w:val="24"/>
        </w:rPr>
      </w:pPr>
      <w:r>
        <w:rPr>
          <w:rFonts w:cs="Times New Roman"/>
          <w:sz w:val="24"/>
          <w:szCs w:val="24"/>
        </w:rPr>
        <w:t xml:space="preserve">Note: Similar facts to </w:t>
      </w:r>
      <w:r w:rsidRPr="00C05B81">
        <w:rPr>
          <w:rFonts w:cs="Times New Roman"/>
          <w:i/>
          <w:sz w:val="24"/>
          <w:szCs w:val="24"/>
        </w:rPr>
        <w:t>National Biscuit Company v. Stroud</w:t>
      </w:r>
      <w:r>
        <w:rPr>
          <w:rFonts w:cs="Times New Roman"/>
          <w:sz w:val="24"/>
          <w:szCs w:val="24"/>
        </w:rPr>
        <w:t xml:space="preserve">, but in this case, status quo was no permission while in </w:t>
      </w:r>
      <w:r w:rsidRPr="00C05B81">
        <w:rPr>
          <w:rFonts w:cs="Times New Roman"/>
          <w:i/>
          <w:sz w:val="24"/>
          <w:szCs w:val="24"/>
        </w:rPr>
        <w:t>National</w:t>
      </w:r>
      <w:r>
        <w:rPr>
          <w:rFonts w:cs="Times New Roman"/>
          <w:sz w:val="24"/>
          <w:szCs w:val="24"/>
        </w:rPr>
        <w:t>, status quo was permission.</w:t>
      </w:r>
    </w:p>
    <w:p w14:paraId="37B8D852" w14:textId="77777777" w:rsidR="0031309D" w:rsidRPr="001D22F5" w:rsidRDefault="0031309D" w:rsidP="0031309D">
      <w:pPr>
        <w:pStyle w:val="ListParagraph"/>
        <w:numPr>
          <w:ilvl w:val="2"/>
          <w:numId w:val="6"/>
        </w:numPr>
        <w:rPr>
          <w:rFonts w:cs="Times New Roman"/>
          <w:i/>
          <w:sz w:val="24"/>
          <w:szCs w:val="24"/>
        </w:rPr>
      </w:pPr>
      <w:r w:rsidRPr="001D22F5">
        <w:rPr>
          <w:rFonts w:cs="Times New Roman"/>
          <w:i/>
          <w:sz w:val="24"/>
          <w:szCs w:val="24"/>
        </w:rPr>
        <w:t>Day v. Sidley &amp; Austin (DDC 1975)</w:t>
      </w:r>
    </w:p>
    <w:p w14:paraId="494FA0A6" w14:textId="77777777" w:rsidR="0031309D" w:rsidRDefault="0031309D" w:rsidP="0031309D">
      <w:pPr>
        <w:pStyle w:val="ListParagraph"/>
        <w:numPr>
          <w:ilvl w:val="3"/>
          <w:numId w:val="6"/>
        </w:numPr>
        <w:rPr>
          <w:rFonts w:cs="Times New Roman"/>
          <w:sz w:val="24"/>
          <w:szCs w:val="24"/>
        </w:rPr>
      </w:pPr>
      <w:r w:rsidRPr="0031309D">
        <w:rPr>
          <w:rFonts w:cs="Times New Roman"/>
          <w:sz w:val="24"/>
          <w:szCs w:val="24"/>
        </w:rPr>
        <w:t>Synopsis: J. Edward Day (P), a Washington attorney, worked as a senior partner for Sidley &amp; Austin (D), a Chicago-based firm. D forced P to share the chairmanship position of the Washington office after they merged with a second firm.</w:t>
      </w:r>
      <w:r>
        <w:rPr>
          <w:rFonts w:cs="Times New Roman"/>
          <w:sz w:val="24"/>
          <w:szCs w:val="24"/>
        </w:rPr>
        <w:t xml:space="preserve"> Court found for D musing that day may have a bruised ego but he chose to sign a well-defined </w:t>
      </w:r>
      <w:r w:rsidR="00806D9E">
        <w:rPr>
          <w:rFonts w:cs="Times New Roman"/>
          <w:sz w:val="24"/>
          <w:szCs w:val="24"/>
        </w:rPr>
        <w:t>Partnership Agreement</w:t>
      </w:r>
      <w:r>
        <w:rPr>
          <w:rFonts w:cs="Times New Roman"/>
          <w:sz w:val="24"/>
          <w:szCs w:val="24"/>
        </w:rPr>
        <w:t xml:space="preserve"> that “clearly provided for management authority in the executive committee.” </w:t>
      </w:r>
      <w:r w:rsidR="00806D9E">
        <w:rPr>
          <w:rFonts w:cs="Times New Roman"/>
          <w:sz w:val="24"/>
          <w:szCs w:val="24"/>
        </w:rPr>
        <w:t xml:space="preserve">(Agreement in footnote of CB p. 123) </w:t>
      </w:r>
      <w:r>
        <w:rPr>
          <w:rFonts w:cs="Times New Roman"/>
          <w:sz w:val="24"/>
          <w:szCs w:val="24"/>
        </w:rPr>
        <w:t xml:space="preserve">Thus D did not violate any fiduciary duties to P. </w:t>
      </w:r>
    </w:p>
    <w:p w14:paraId="0ED2D880" w14:textId="77777777" w:rsidR="0031309D" w:rsidRPr="00443F62" w:rsidRDefault="0031309D" w:rsidP="0031309D">
      <w:pPr>
        <w:pStyle w:val="ListParagraph"/>
        <w:numPr>
          <w:ilvl w:val="3"/>
          <w:numId w:val="6"/>
        </w:numPr>
        <w:rPr>
          <w:rFonts w:cs="Times New Roman"/>
          <w:sz w:val="24"/>
          <w:szCs w:val="24"/>
        </w:rPr>
      </w:pPr>
      <w:r w:rsidRPr="0031309D">
        <w:rPr>
          <w:rFonts w:cs="Times New Roman"/>
          <w:sz w:val="24"/>
          <w:szCs w:val="24"/>
        </w:rPr>
        <w:t xml:space="preserve">Tool: Basic fiduciary duties between partners are: “1) a partner must account for any profit, acquired in a manner injurious to the interests of the partnership, such as commissions or purchases on the sale of partnership property; 2) a partner cannot without the consent of the other </w:t>
      </w:r>
      <w:r w:rsidRPr="0031309D">
        <w:rPr>
          <w:rFonts w:cs="Times New Roman"/>
          <w:sz w:val="24"/>
          <w:szCs w:val="24"/>
        </w:rPr>
        <w:lastRenderedPageBreak/>
        <w:t>partners, acquire for himself a partnership asset, nor may he divert to his own use a partnership opportunity; and 3) he must not compete with the partnership within the scope of the business…”</w:t>
      </w:r>
    </w:p>
    <w:p w14:paraId="7F8A8DE8" w14:textId="3DCECBD2" w:rsidR="00F73C7E" w:rsidRDefault="00E942FF" w:rsidP="00D926F0">
      <w:pPr>
        <w:pStyle w:val="Heading2"/>
        <w:numPr>
          <w:ilvl w:val="0"/>
          <w:numId w:val="6"/>
        </w:numPr>
      </w:pPr>
      <w:r>
        <w:t>Corporations v. Partnerships</w:t>
      </w:r>
    </w:p>
    <w:tbl>
      <w:tblPr>
        <w:tblStyle w:val="TableGrid"/>
        <w:tblW w:w="9868" w:type="dxa"/>
        <w:jc w:val="center"/>
        <w:tblLook w:val="04A0" w:firstRow="1" w:lastRow="0" w:firstColumn="1" w:lastColumn="0" w:noHBand="0" w:noVBand="1"/>
      </w:tblPr>
      <w:tblGrid>
        <w:gridCol w:w="1886"/>
        <w:gridCol w:w="3918"/>
        <w:gridCol w:w="4064"/>
      </w:tblGrid>
      <w:tr w:rsidR="00C84A9E" w:rsidRPr="00957672" w14:paraId="1C735A77" w14:textId="77777777" w:rsidTr="00957672">
        <w:trPr>
          <w:trHeight w:val="278"/>
          <w:jc w:val="center"/>
        </w:trPr>
        <w:tc>
          <w:tcPr>
            <w:tcW w:w="1886" w:type="dxa"/>
            <w:tcBorders>
              <w:top w:val="single" w:sz="4" w:space="0" w:color="FFFFFF" w:themeColor="background1"/>
              <w:left w:val="single" w:sz="4" w:space="0" w:color="FFFFFF" w:themeColor="background1"/>
            </w:tcBorders>
          </w:tcPr>
          <w:p w14:paraId="33537B78" w14:textId="77777777" w:rsidR="00E942FF" w:rsidRPr="00957672" w:rsidRDefault="00E942FF" w:rsidP="00E942FF">
            <w:pPr>
              <w:pStyle w:val="ListParagraph"/>
              <w:ind w:left="0"/>
              <w:rPr>
                <w:rFonts w:cs="Times New Roman"/>
              </w:rPr>
            </w:pPr>
          </w:p>
        </w:tc>
        <w:tc>
          <w:tcPr>
            <w:tcW w:w="3918" w:type="dxa"/>
            <w:shd w:val="clear" w:color="auto" w:fill="7F7F7F" w:themeFill="text1" w:themeFillTint="80"/>
          </w:tcPr>
          <w:p w14:paraId="24B47F57" w14:textId="3DF6F21E" w:rsidR="00E942FF" w:rsidRPr="00957672" w:rsidRDefault="00E942FF" w:rsidP="00E942FF">
            <w:pPr>
              <w:pStyle w:val="ListParagraph"/>
              <w:ind w:left="0"/>
              <w:jc w:val="center"/>
              <w:rPr>
                <w:rFonts w:cs="Times New Roman"/>
                <w:b/>
                <w:color w:val="FFFFFF" w:themeColor="background1"/>
              </w:rPr>
            </w:pPr>
            <w:r w:rsidRPr="00957672">
              <w:rPr>
                <w:rFonts w:cs="Times New Roman"/>
                <w:b/>
                <w:color w:val="FFFFFF" w:themeColor="background1"/>
              </w:rPr>
              <w:t>Corporation</w:t>
            </w:r>
          </w:p>
        </w:tc>
        <w:tc>
          <w:tcPr>
            <w:tcW w:w="4064" w:type="dxa"/>
            <w:shd w:val="clear" w:color="auto" w:fill="7F7F7F" w:themeFill="text1" w:themeFillTint="80"/>
          </w:tcPr>
          <w:p w14:paraId="3B85F0CA" w14:textId="45B33FE4" w:rsidR="00E942FF" w:rsidRPr="00957672" w:rsidRDefault="00E942FF" w:rsidP="00E942FF">
            <w:pPr>
              <w:pStyle w:val="ListParagraph"/>
              <w:ind w:left="0"/>
              <w:jc w:val="center"/>
              <w:rPr>
                <w:rFonts w:cs="Times New Roman"/>
                <w:b/>
                <w:color w:val="FFFFFF" w:themeColor="background1"/>
              </w:rPr>
            </w:pPr>
            <w:r w:rsidRPr="00957672">
              <w:rPr>
                <w:rFonts w:cs="Times New Roman"/>
                <w:b/>
                <w:color w:val="FFFFFF" w:themeColor="background1"/>
              </w:rPr>
              <w:t>Partnership</w:t>
            </w:r>
          </w:p>
        </w:tc>
      </w:tr>
      <w:tr w:rsidR="00C84A9E" w:rsidRPr="00957672" w14:paraId="32BAB7F4" w14:textId="77777777" w:rsidTr="00957672">
        <w:trPr>
          <w:trHeight w:val="572"/>
          <w:jc w:val="center"/>
        </w:trPr>
        <w:tc>
          <w:tcPr>
            <w:tcW w:w="1886" w:type="dxa"/>
            <w:shd w:val="clear" w:color="auto" w:fill="767171" w:themeFill="background2" w:themeFillShade="80"/>
            <w:vAlign w:val="center"/>
          </w:tcPr>
          <w:p w14:paraId="14FBDA24" w14:textId="53B8283A" w:rsidR="00E942FF" w:rsidRPr="00957672" w:rsidRDefault="00E942FF" w:rsidP="00957672">
            <w:pPr>
              <w:pStyle w:val="ListParagraph"/>
              <w:ind w:left="0"/>
              <w:jc w:val="center"/>
              <w:rPr>
                <w:rFonts w:cs="Times New Roman"/>
                <w:b/>
                <w:color w:val="FFFFFF" w:themeColor="background1"/>
              </w:rPr>
            </w:pPr>
            <w:r w:rsidRPr="00957672">
              <w:rPr>
                <w:rFonts w:cs="Times New Roman"/>
                <w:b/>
                <w:color w:val="FFFFFF" w:themeColor="background1"/>
              </w:rPr>
              <w:t>Taxes</w:t>
            </w:r>
          </w:p>
        </w:tc>
        <w:tc>
          <w:tcPr>
            <w:tcW w:w="3918" w:type="dxa"/>
          </w:tcPr>
          <w:p w14:paraId="1CEC59EB" w14:textId="151B3D44" w:rsidR="00E942FF" w:rsidRPr="00957672" w:rsidRDefault="00C84A9E" w:rsidP="00E942FF">
            <w:pPr>
              <w:pStyle w:val="ListParagraph"/>
              <w:ind w:left="0"/>
              <w:rPr>
                <w:rFonts w:cs="Times New Roman"/>
              </w:rPr>
            </w:pPr>
            <w:r w:rsidRPr="00957672">
              <w:rPr>
                <w:rFonts w:cs="Times New Roman"/>
              </w:rPr>
              <w:t>“Double tax” – corporation tax and income tax</w:t>
            </w:r>
          </w:p>
        </w:tc>
        <w:tc>
          <w:tcPr>
            <w:tcW w:w="4064" w:type="dxa"/>
          </w:tcPr>
          <w:p w14:paraId="324240BF" w14:textId="510A0409" w:rsidR="00E942FF" w:rsidRPr="00957672" w:rsidRDefault="00C84A9E" w:rsidP="00E942FF">
            <w:pPr>
              <w:pStyle w:val="ListParagraph"/>
              <w:ind w:left="0"/>
              <w:rPr>
                <w:rFonts w:cs="Times New Roman"/>
              </w:rPr>
            </w:pPr>
            <w:r w:rsidRPr="00957672">
              <w:rPr>
                <w:rFonts w:cs="Times New Roman"/>
              </w:rPr>
              <w:t>Income tax</w:t>
            </w:r>
          </w:p>
        </w:tc>
      </w:tr>
      <w:tr w:rsidR="00C84A9E" w:rsidRPr="00957672" w14:paraId="6EDD8FC6" w14:textId="77777777" w:rsidTr="00957672">
        <w:trPr>
          <w:trHeight w:val="1268"/>
          <w:jc w:val="center"/>
        </w:trPr>
        <w:tc>
          <w:tcPr>
            <w:tcW w:w="1886" w:type="dxa"/>
            <w:shd w:val="clear" w:color="auto" w:fill="767171" w:themeFill="background2" w:themeFillShade="80"/>
            <w:vAlign w:val="center"/>
          </w:tcPr>
          <w:p w14:paraId="402FD9F1" w14:textId="6F77FD4F" w:rsidR="00E942FF" w:rsidRPr="00957672" w:rsidRDefault="00E942FF" w:rsidP="00957672">
            <w:pPr>
              <w:pStyle w:val="ListParagraph"/>
              <w:ind w:left="0"/>
              <w:jc w:val="center"/>
              <w:rPr>
                <w:rFonts w:cs="Times New Roman"/>
                <w:b/>
                <w:color w:val="FFFFFF" w:themeColor="background1"/>
              </w:rPr>
            </w:pPr>
            <w:r w:rsidRPr="00957672">
              <w:rPr>
                <w:rFonts w:cs="Times New Roman"/>
                <w:b/>
                <w:color w:val="FFFFFF" w:themeColor="background1"/>
              </w:rPr>
              <w:t>Liability</w:t>
            </w:r>
          </w:p>
        </w:tc>
        <w:tc>
          <w:tcPr>
            <w:tcW w:w="3918" w:type="dxa"/>
          </w:tcPr>
          <w:p w14:paraId="06C8C547" w14:textId="72F96A95" w:rsidR="00E942FF" w:rsidRPr="00957672" w:rsidRDefault="00C84A9E" w:rsidP="00C84A9E">
            <w:pPr>
              <w:pStyle w:val="ListParagraph"/>
              <w:ind w:left="0"/>
              <w:rPr>
                <w:rFonts w:cs="Times New Roman"/>
              </w:rPr>
            </w:pPr>
            <w:r w:rsidRPr="00957672">
              <w:rPr>
                <w:rFonts w:cs="Times New Roman"/>
              </w:rPr>
              <w:t>Limited liability – corporation may go insolvent but shareholder will only lose money it put in and doesn’t have to give more.</w:t>
            </w:r>
          </w:p>
        </w:tc>
        <w:tc>
          <w:tcPr>
            <w:tcW w:w="4064" w:type="dxa"/>
          </w:tcPr>
          <w:p w14:paraId="657AC027" w14:textId="77777777" w:rsidR="00E942FF" w:rsidRPr="00957672" w:rsidRDefault="00C84A9E" w:rsidP="00E942FF">
            <w:pPr>
              <w:pStyle w:val="ListParagraph"/>
              <w:ind w:left="0"/>
              <w:rPr>
                <w:rFonts w:cs="Times New Roman"/>
              </w:rPr>
            </w:pPr>
            <w:r w:rsidRPr="00957672">
              <w:rPr>
                <w:rFonts w:cs="Times New Roman"/>
              </w:rPr>
              <w:t xml:space="preserve">May have to pay additional amounts to creditors than what they put in. </w:t>
            </w:r>
          </w:p>
          <w:p w14:paraId="5F44D649" w14:textId="0C5AFAD2" w:rsidR="00C84A9E" w:rsidRPr="00957672" w:rsidRDefault="00C84A9E" w:rsidP="00C84A9E">
            <w:pPr>
              <w:pStyle w:val="ListParagraph"/>
              <w:ind w:left="0"/>
              <w:rPr>
                <w:rFonts w:cs="Times New Roman"/>
              </w:rPr>
            </w:pPr>
            <w:r w:rsidRPr="00957672">
              <w:rPr>
                <w:rFonts w:cs="Times New Roman"/>
              </w:rPr>
              <w:t>Note: may buy insurance to cover liability in partnership and can negotiate non-recourse with creditor</w:t>
            </w:r>
          </w:p>
        </w:tc>
      </w:tr>
      <w:tr w:rsidR="00C84A9E" w:rsidRPr="00957672" w14:paraId="1D07593B" w14:textId="77777777" w:rsidTr="00957672">
        <w:trPr>
          <w:trHeight w:val="278"/>
          <w:jc w:val="center"/>
        </w:trPr>
        <w:tc>
          <w:tcPr>
            <w:tcW w:w="1886" w:type="dxa"/>
            <w:shd w:val="clear" w:color="auto" w:fill="767171" w:themeFill="background2" w:themeFillShade="80"/>
            <w:vAlign w:val="center"/>
          </w:tcPr>
          <w:p w14:paraId="44E1964A" w14:textId="312A72E8" w:rsidR="00E942FF" w:rsidRPr="00957672" w:rsidRDefault="00E942FF" w:rsidP="00957672">
            <w:pPr>
              <w:pStyle w:val="ListParagraph"/>
              <w:ind w:left="0"/>
              <w:jc w:val="center"/>
              <w:rPr>
                <w:rFonts w:cs="Times New Roman"/>
                <w:b/>
                <w:color w:val="FFFFFF" w:themeColor="background1"/>
              </w:rPr>
            </w:pPr>
            <w:r w:rsidRPr="00957672">
              <w:rPr>
                <w:rFonts w:cs="Times New Roman"/>
                <w:b/>
                <w:color w:val="FFFFFF" w:themeColor="background1"/>
              </w:rPr>
              <w:t>Transferability</w:t>
            </w:r>
          </w:p>
        </w:tc>
        <w:tc>
          <w:tcPr>
            <w:tcW w:w="3918" w:type="dxa"/>
          </w:tcPr>
          <w:p w14:paraId="1D4F7C5C" w14:textId="7C0588D1" w:rsidR="00E942FF" w:rsidRPr="00957672" w:rsidRDefault="00C84A9E" w:rsidP="00E942FF">
            <w:pPr>
              <w:pStyle w:val="ListParagraph"/>
              <w:ind w:left="0"/>
              <w:rPr>
                <w:rFonts w:cs="Times New Roman"/>
              </w:rPr>
            </w:pPr>
            <w:r w:rsidRPr="00957672">
              <w:rPr>
                <w:rFonts w:cs="Times New Roman"/>
              </w:rPr>
              <w:t>Shares are transferable (in reality not as easy)</w:t>
            </w:r>
          </w:p>
        </w:tc>
        <w:tc>
          <w:tcPr>
            <w:tcW w:w="4064" w:type="dxa"/>
          </w:tcPr>
          <w:p w14:paraId="0D62A958" w14:textId="7B5EC0B8" w:rsidR="00E942FF" w:rsidRPr="00957672" w:rsidRDefault="00C84A9E" w:rsidP="00E942FF">
            <w:pPr>
              <w:pStyle w:val="ListParagraph"/>
              <w:ind w:left="0"/>
              <w:rPr>
                <w:rFonts w:cs="Times New Roman"/>
              </w:rPr>
            </w:pPr>
            <w:r w:rsidRPr="00957672">
              <w:rPr>
                <w:rFonts w:cs="Times New Roman"/>
              </w:rPr>
              <w:t xml:space="preserve">Partnership interests may not be transferred. </w:t>
            </w:r>
          </w:p>
        </w:tc>
      </w:tr>
      <w:tr w:rsidR="00E942FF" w:rsidRPr="00957672" w14:paraId="1BEF9403" w14:textId="77777777" w:rsidTr="00957672">
        <w:trPr>
          <w:trHeight w:val="278"/>
          <w:jc w:val="center"/>
        </w:trPr>
        <w:tc>
          <w:tcPr>
            <w:tcW w:w="1886" w:type="dxa"/>
            <w:shd w:val="clear" w:color="auto" w:fill="767171" w:themeFill="background2" w:themeFillShade="80"/>
            <w:vAlign w:val="center"/>
          </w:tcPr>
          <w:p w14:paraId="3C65E4BF" w14:textId="510DFF2C" w:rsidR="00E942FF" w:rsidRPr="00957672" w:rsidRDefault="00E942FF" w:rsidP="00957672">
            <w:pPr>
              <w:pStyle w:val="ListParagraph"/>
              <w:ind w:left="0"/>
              <w:jc w:val="center"/>
              <w:rPr>
                <w:rFonts w:cs="Times New Roman"/>
                <w:b/>
                <w:color w:val="FFFFFF" w:themeColor="background1"/>
              </w:rPr>
            </w:pPr>
            <w:r w:rsidRPr="00957672">
              <w:rPr>
                <w:rFonts w:cs="Times New Roman"/>
                <w:b/>
                <w:color w:val="FFFFFF" w:themeColor="background1"/>
              </w:rPr>
              <w:t>Formal Life</w:t>
            </w:r>
          </w:p>
        </w:tc>
        <w:tc>
          <w:tcPr>
            <w:tcW w:w="3918" w:type="dxa"/>
          </w:tcPr>
          <w:p w14:paraId="2C0553AC" w14:textId="462881ED" w:rsidR="00E942FF" w:rsidRPr="00957672" w:rsidRDefault="00C84A9E" w:rsidP="00E942FF">
            <w:pPr>
              <w:pStyle w:val="ListParagraph"/>
              <w:ind w:left="0"/>
              <w:rPr>
                <w:rFonts w:cs="Times New Roman"/>
              </w:rPr>
            </w:pPr>
            <w:r w:rsidRPr="00957672">
              <w:rPr>
                <w:rFonts w:cs="Times New Roman"/>
              </w:rPr>
              <w:t>Endures forever (depends on person operating business)</w:t>
            </w:r>
          </w:p>
        </w:tc>
        <w:tc>
          <w:tcPr>
            <w:tcW w:w="4064" w:type="dxa"/>
          </w:tcPr>
          <w:p w14:paraId="6367B09E" w14:textId="1B0D2D14" w:rsidR="00E942FF" w:rsidRPr="00957672" w:rsidRDefault="00C84A9E" w:rsidP="00E942FF">
            <w:pPr>
              <w:pStyle w:val="ListParagraph"/>
              <w:ind w:left="0"/>
              <w:rPr>
                <w:rFonts w:cs="Times New Roman"/>
              </w:rPr>
            </w:pPr>
            <w:r w:rsidRPr="00957672">
              <w:rPr>
                <w:rFonts w:cs="Times New Roman"/>
              </w:rPr>
              <w:t>End when partner leaves or dies (can contract around this)</w:t>
            </w:r>
          </w:p>
        </w:tc>
      </w:tr>
      <w:tr w:rsidR="00E942FF" w:rsidRPr="00957672" w14:paraId="4B5ABFEF" w14:textId="77777777" w:rsidTr="00957672">
        <w:trPr>
          <w:trHeight w:val="278"/>
          <w:jc w:val="center"/>
        </w:trPr>
        <w:tc>
          <w:tcPr>
            <w:tcW w:w="1886" w:type="dxa"/>
            <w:shd w:val="clear" w:color="auto" w:fill="767171" w:themeFill="background2" w:themeFillShade="80"/>
            <w:vAlign w:val="center"/>
          </w:tcPr>
          <w:p w14:paraId="3778808D" w14:textId="73821C6C" w:rsidR="00E942FF" w:rsidRPr="00957672" w:rsidRDefault="00E942FF" w:rsidP="00957672">
            <w:pPr>
              <w:pStyle w:val="ListParagraph"/>
              <w:ind w:left="0"/>
              <w:jc w:val="center"/>
              <w:rPr>
                <w:rFonts w:cs="Times New Roman"/>
                <w:b/>
                <w:color w:val="FFFFFF" w:themeColor="background1"/>
              </w:rPr>
            </w:pPr>
            <w:r w:rsidRPr="00957672">
              <w:rPr>
                <w:rFonts w:cs="Times New Roman"/>
                <w:b/>
                <w:color w:val="FFFFFF" w:themeColor="background1"/>
              </w:rPr>
              <w:t>Flexibility</w:t>
            </w:r>
          </w:p>
        </w:tc>
        <w:tc>
          <w:tcPr>
            <w:tcW w:w="3918" w:type="dxa"/>
          </w:tcPr>
          <w:p w14:paraId="24E878AA" w14:textId="756B507B" w:rsidR="00E942FF" w:rsidRPr="00957672" w:rsidRDefault="00C84A9E" w:rsidP="00C84A9E">
            <w:pPr>
              <w:pStyle w:val="ListParagraph"/>
              <w:ind w:left="0"/>
              <w:rPr>
                <w:rFonts w:cs="Times New Roman"/>
              </w:rPr>
            </w:pPr>
            <w:r w:rsidRPr="00957672">
              <w:rPr>
                <w:rFonts w:cs="Times New Roman"/>
              </w:rPr>
              <w:t>Inflexible – standard articles of incorporation and bylaws for all corporations (but don’t have to adopt)</w:t>
            </w:r>
          </w:p>
        </w:tc>
        <w:tc>
          <w:tcPr>
            <w:tcW w:w="4064" w:type="dxa"/>
          </w:tcPr>
          <w:p w14:paraId="0569EAA0" w14:textId="734282AC" w:rsidR="00E942FF" w:rsidRPr="00957672" w:rsidRDefault="00C84A9E" w:rsidP="00E942FF">
            <w:pPr>
              <w:pStyle w:val="ListParagraph"/>
              <w:ind w:left="0"/>
              <w:rPr>
                <w:rFonts w:cs="Times New Roman"/>
              </w:rPr>
            </w:pPr>
            <w:r w:rsidRPr="00957672">
              <w:rPr>
                <w:rFonts w:cs="Times New Roman"/>
              </w:rPr>
              <w:t xml:space="preserve">Flexible – partnership agreements may be negotiated in many different ways. </w:t>
            </w:r>
          </w:p>
        </w:tc>
      </w:tr>
      <w:tr w:rsidR="00E942FF" w:rsidRPr="00957672" w14:paraId="0528218F" w14:textId="77777777" w:rsidTr="00957672">
        <w:trPr>
          <w:trHeight w:val="278"/>
          <w:jc w:val="center"/>
        </w:trPr>
        <w:tc>
          <w:tcPr>
            <w:tcW w:w="1886" w:type="dxa"/>
            <w:shd w:val="clear" w:color="auto" w:fill="767171" w:themeFill="background2" w:themeFillShade="80"/>
            <w:vAlign w:val="center"/>
          </w:tcPr>
          <w:p w14:paraId="434D0238" w14:textId="6F9C2158" w:rsidR="00E942FF" w:rsidRPr="00957672" w:rsidRDefault="00E942FF" w:rsidP="00957672">
            <w:pPr>
              <w:pStyle w:val="ListParagraph"/>
              <w:ind w:left="0"/>
              <w:jc w:val="center"/>
              <w:rPr>
                <w:rFonts w:cs="Times New Roman"/>
                <w:b/>
                <w:color w:val="FFFFFF" w:themeColor="background1"/>
              </w:rPr>
            </w:pPr>
            <w:r w:rsidRPr="00957672">
              <w:rPr>
                <w:rFonts w:cs="Times New Roman"/>
                <w:b/>
                <w:color w:val="FFFFFF" w:themeColor="background1"/>
              </w:rPr>
              <w:t>Management</w:t>
            </w:r>
          </w:p>
        </w:tc>
        <w:tc>
          <w:tcPr>
            <w:tcW w:w="3918" w:type="dxa"/>
          </w:tcPr>
          <w:p w14:paraId="7C5AFFF9" w14:textId="14168ADF" w:rsidR="00E942FF" w:rsidRPr="00957672" w:rsidRDefault="00C84A9E" w:rsidP="00E942FF">
            <w:pPr>
              <w:pStyle w:val="ListParagraph"/>
              <w:ind w:left="0"/>
              <w:rPr>
                <w:rFonts w:cs="Times New Roman"/>
              </w:rPr>
            </w:pPr>
            <w:r w:rsidRPr="00957672">
              <w:rPr>
                <w:rFonts w:cs="Times New Roman"/>
              </w:rPr>
              <w:t>Centralized – run by officers under supervision of board; shareholders elect board (can change rules in bylaws)</w:t>
            </w:r>
          </w:p>
        </w:tc>
        <w:tc>
          <w:tcPr>
            <w:tcW w:w="4064" w:type="dxa"/>
          </w:tcPr>
          <w:p w14:paraId="54E7852A" w14:textId="7CC043AB" w:rsidR="00C84A9E" w:rsidRPr="00957672" w:rsidRDefault="00C84A9E" w:rsidP="00C84A9E">
            <w:pPr>
              <w:pStyle w:val="ListParagraph"/>
              <w:ind w:left="0"/>
              <w:rPr>
                <w:rFonts w:cs="Times New Roman"/>
              </w:rPr>
            </w:pPr>
            <w:r w:rsidRPr="00957672">
              <w:rPr>
                <w:rFonts w:cs="Times New Roman"/>
              </w:rPr>
              <w:t xml:space="preserve">Decentralized –majority vote but some votes may require unanimity </w:t>
            </w:r>
          </w:p>
          <w:p w14:paraId="4A1AE74C" w14:textId="1C44CE86" w:rsidR="00E942FF" w:rsidRPr="00957672" w:rsidRDefault="00C84A9E" w:rsidP="00C84A9E">
            <w:pPr>
              <w:pStyle w:val="ListParagraph"/>
              <w:ind w:left="0"/>
              <w:rPr>
                <w:rFonts w:cs="Times New Roman"/>
              </w:rPr>
            </w:pPr>
            <w:r w:rsidRPr="00957672">
              <w:rPr>
                <w:rFonts w:cs="Times New Roman"/>
              </w:rPr>
              <w:t>(partnership agreements can provide for centralized management board)</w:t>
            </w:r>
          </w:p>
        </w:tc>
      </w:tr>
    </w:tbl>
    <w:p w14:paraId="7EA46B3E" w14:textId="77777777" w:rsidR="00E942FF" w:rsidRPr="00443F62" w:rsidRDefault="00E942FF" w:rsidP="00E942FF">
      <w:pPr>
        <w:pStyle w:val="ListParagraph"/>
        <w:rPr>
          <w:rFonts w:cs="Times New Roman"/>
          <w:sz w:val="24"/>
          <w:szCs w:val="24"/>
        </w:rPr>
      </w:pPr>
    </w:p>
    <w:p w14:paraId="0172F997" w14:textId="0F831E19" w:rsidR="00F73C7E" w:rsidRPr="00443F62" w:rsidRDefault="00C84A9E" w:rsidP="00D926F0">
      <w:pPr>
        <w:pStyle w:val="Heading2"/>
        <w:numPr>
          <w:ilvl w:val="0"/>
          <w:numId w:val="6"/>
        </w:numPr>
      </w:pPr>
      <w:r>
        <w:t xml:space="preserve">Other Organization Forms </w:t>
      </w:r>
    </w:p>
    <w:p w14:paraId="4D0BF218" w14:textId="77777777" w:rsidR="00F73C7E" w:rsidRPr="00443F62" w:rsidRDefault="00F73C7E" w:rsidP="00C84A9E">
      <w:pPr>
        <w:pStyle w:val="ListParagraph"/>
        <w:numPr>
          <w:ilvl w:val="1"/>
          <w:numId w:val="6"/>
        </w:numPr>
        <w:rPr>
          <w:rFonts w:cs="Times New Roman"/>
          <w:sz w:val="24"/>
          <w:szCs w:val="24"/>
        </w:rPr>
      </w:pPr>
      <w:r w:rsidRPr="00443F62">
        <w:rPr>
          <w:rFonts w:cs="Times New Roman"/>
          <w:sz w:val="24"/>
          <w:szCs w:val="24"/>
        </w:rPr>
        <w:t>S Corporations</w:t>
      </w:r>
      <w:r w:rsidR="0093103F">
        <w:rPr>
          <w:rFonts w:cs="Times New Roman"/>
          <w:sz w:val="24"/>
          <w:szCs w:val="24"/>
        </w:rPr>
        <w:t xml:space="preserve"> – corporations that meet various requirements (fewer than specified number of shareholders) could elect to be taxed as “S” corporations. They pay no tax at the corporate level, and their shareholders would instead report their proportional share of the corporation’s income on their personal returns. </w:t>
      </w:r>
    </w:p>
    <w:p w14:paraId="5E536F40" w14:textId="31AC14A9" w:rsidR="00F73C7E" w:rsidRPr="00443F62" w:rsidRDefault="00F73C7E" w:rsidP="00C84A9E">
      <w:pPr>
        <w:pStyle w:val="ListParagraph"/>
        <w:numPr>
          <w:ilvl w:val="1"/>
          <w:numId w:val="6"/>
        </w:numPr>
        <w:rPr>
          <w:rFonts w:cs="Times New Roman"/>
          <w:sz w:val="24"/>
          <w:szCs w:val="24"/>
        </w:rPr>
      </w:pPr>
      <w:r w:rsidRPr="00443F62">
        <w:rPr>
          <w:rFonts w:cs="Times New Roman"/>
          <w:sz w:val="24"/>
          <w:szCs w:val="24"/>
        </w:rPr>
        <w:t>Limited Liability Companies</w:t>
      </w:r>
      <w:r w:rsidR="0093103F">
        <w:rPr>
          <w:rFonts w:cs="Times New Roman"/>
          <w:sz w:val="24"/>
          <w:szCs w:val="24"/>
        </w:rPr>
        <w:t xml:space="preserve"> </w:t>
      </w:r>
      <w:r w:rsidR="007E04A5">
        <w:rPr>
          <w:rFonts w:cs="Times New Roman"/>
          <w:sz w:val="24"/>
          <w:szCs w:val="24"/>
        </w:rPr>
        <w:t>–</w:t>
      </w:r>
      <w:r w:rsidR="0093103F">
        <w:rPr>
          <w:rFonts w:cs="Times New Roman"/>
          <w:sz w:val="24"/>
          <w:szCs w:val="24"/>
        </w:rPr>
        <w:t xml:space="preserve"> </w:t>
      </w:r>
      <w:r w:rsidR="007E04A5">
        <w:rPr>
          <w:rFonts w:cs="Times New Roman"/>
          <w:sz w:val="24"/>
          <w:szCs w:val="24"/>
        </w:rPr>
        <w:t>largely follow corporate organization law – investors have limited liability but if you check “partne</w:t>
      </w:r>
      <w:r w:rsidR="00172C1C">
        <w:rPr>
          <w:rFonts w:cs="Times New Roman"/>
          <w:sz w:val="24"/>
          <w:szCs w:val="24"/>
        </w:rPr>
        <w:t xml:space="preserve">rship box” can avoid double tax </w:t>
      </w:r>
      <w:r w:rsidR="00172C1C" w:rsidRPr="00172C1C">
        <w:rPr>
          <w:rFonts w:cs="Times New Roman"/>
          <w:sz w:val="24"/>
          <w:szCs w:val="24"/>
        </w:rPr>
        <w:sym w:font="Wingdings" w:char="F0E0"/>
      </w:r>
      <w:r w:rsidR="00172C1C">
        <w:rPr>
          <w:rFonts w:cs="Times New Roman"/>
          <w:sz w:val="24"/>
          <w:szCs w:val="24"/>
        </w:rPr>
        <w:t xml:space="preserve"> took pressure off states to adopt newer UPA.</w:t>
      </w:r>
    </w:p>
    <w:p w14:paraId="43F06FCF" w14:textId="0822E44B" w:rsidR="00F73C7E" w:rsidRDefault="00F73C7E" w:rsidP="00FB77B8">
      <w:pPr>
        <w:pStyle w:val="ListParagraph"/>
        <w:numPr>
          <w:ilvl w:val="1"/>
          <w:numId w:val="6"/>
        </w:numPr>
        <w:rPr>
          <w:rFonts w:cs="Times New Roman"/>
          <w:sz w:val="24"/>
          <w:szCs w:val="24"/>
        </w:rPr>
      </w:pPr>
      <w:r w:rsidRPr="00443F62">
        <w:rPr>
          <w:rFonts w:cs="Times New Roman"/>
          <w:sz w:val="24"/>
          <w:szCs w:val="24"/>
        </w:rPr>
        <w:t>Limited Liability Partnerships</w:t>
      </w:r>
      <w:r w:rsidR="007E04A5">
        <w:rPr>
          <w:rFonts w:cs="Times New Roman"/>
          <w:sz w:val="24"/>
          <w:szCs w:val="24"/>
        </w:rPr>
        <w:t xml:space="preserve"> – investors can avoid personal liability for many employee torts</w:t>
      </w:r>
      <w:r w:rsidR="00A110D3">
        <w:rPr>
          <w:rFonts w:cs="Times New Roman"/>
          <w:sz w:val="24"/>
          <w:szCs w:val="24"/>
        </w:rPr>
        <w:t xml:space="preserve"> and taxed as partnership</w:t>
      </w:r>
      <w:r w:rsidR="007E04A5">
        <w:rPr>
          <w:rFonts w:cs="Times New Roman"/>
          <w:sz w:val="24"/>
          <w:szCs w:val="24"/>
        </w:rPr>
        <w:t xml:space="preserve">. The reason to become an LLP rather than an LLC involves intrafirm politics: to become an LLP, a firm must simply register with the state; to become an LLC, it will need to abandon its partnership agreement and negotiate an entirely new organization document. For many old law firms, that is more democracy than they want. </w:t>
      </w:r>
    </w:p>
    <w:p w14:paraId="3D9CC552" w14:textId="77777777" w:rsidR="00FB77B8" w:rsidRPr="00FB77B8" w:rsidRDefault="00FB77B8" w:rsidP="00FB77B8">
      <w:pPr>
        <w:pStyle w:val="ListParagraph"/>
        <w:rPr>
          <w:rFonts w:cs="Times New Roman"/>
          <w:sz w:val="24"/>
          <w:szCs w:val="24"/>
        </w:rPr>
      </w:pPr>
    </w:p>
    <w:p w14:paraId="2568771D" w14:textId="7C5B671C" w:rsidR="00F73C7E" w:rsidRPr="00957672" w:rsidRDefault="005F3048" w:rsidP="00957672">
      <w:pPr>
        <w:pStyle w:val="Heading1"/>
      </w:pPr>
      <w:r>
        <w:t>CORPORATIONS AND SHAREHOLDERS</w:t>
      </w:r>
    </w:p>
    <w:p w14:paraId="5866FEF6" w14:textId="08BE6F6C" w:rsidR="001630B1" w:rsidRDefault="00FB77B8" w:rsidP="00D926F0">
      <w:pPr>
        <w:pStyle w:val="Heading2"/>
        <w:numPr>
          <w:ilvl w:val="0"/>
          <w:numId w:val="7"/>
        </w:numPr>
      </w:pPr>
      <w:r>
        <w:t>Legal Roles</w:t>
      </w:r>
    </w:p>
    <w:p w14:paraId="60B68E9F" w14:textId="77777777" w:rsidR="001630B1" w:rsidRDefault="001630B1" w:rsidP="00FB77B8">
      <w:pPr>
        <w:pStyle w:val="ListParagraph"/>
        <w:numPr>
          <w:ilvl w:val="1"/>
          <w:numId w:val="7"/>
        </w:numPr>
        <w:rPr>
          <w:rFonts w:cs="Times New Roman"/>
          <w:sz w:val="24"/>
          <w:szCs w:val="24"/>
        </w:rPr>
      </w:pPr>
      <w:r>
        <w:rPr>
          <w:rFonts w:cs="Times New Roman"/>
          <w:sz w:val="24"/>
          <w:szCs w:val="24"/>
        </w:rPr>
        <w:t xml:space="preserve">Corporation can borrow money, commit torts, and otherwise incur legal obligations. It can sell property, be wronged, and otherwise obtain legal rights. </w:t>
      </w:r>
    </w:p>
    <w:p w14:paraId="568A5728" w14:textId="41B4E4B7" w:rsidR="001630B1" w:rsidRDefault="001630B1" w:rsidP="00FB77B8">
      <w:pPr>
        <w:pStyle w:val="ListParagraph"/>
        <w:numPr>
          <w:ilvl w:val="1"/>
          <w:numId w:val="7"/>
        </w:numPr>
        <w:rPr>
          <w:rFonts w:cs="Times New Roman"/>
          <w:sz w:val="24"/>
          <w:szCs w:val="24"/>
        </w:rPr>
      </w:pPr>
      <w:r>
        <w:rPr>
          <w:rFonts w:cs="Times New Roman"/>
          <w:sz w:val="24"/>
          <w:szCs w:val="24"/>
        </w:rPr>
        <w:t xml:space="preserve">Shareholders – “residual claimants” – in a typical corporation, several people pool their money. They hire others to use the money in one or more business ventures. They collect the receipts, pay the bills, and split the remainder among themselves. </w:t>
      </w:r>
      <w:r w:rsidR="005501D6">
        <w:rPr>
          <w:rFonts w:cs="Times New Roman"/>
          <w:b/>
          <w:sz w:val="24"/>
          <w:szCs w:val="24"/>
          <w:u w:val="single"/>
        </w:rPr>
        <w:t>Not agents of corporation.</w:t>
      </w:r>
    </w:p>
    <w:p w14:paraId="143E7ADE" w14:textId="7CEA4062" w:rsidR="001630B1" w:rsidRPr="005501D6" w:rsidRDefault="001630B1" w:rsidP="00FB77B8">
      <w:pPr>
        <w:pStyle w:val="ListParagraph"/>
        <w:numPr>
          <w:ilvl w:val="1"/>
          <w:numId w:val="7"/>
        </w:numPr>
        <w:rPr>
          <w:rFonts w:cs="Times New Roman"/>
          <w:b/>
          <w:sz w:val="24"/>
          <w:szCs w:val="24"/>
          <w:u w:val="single"/>
        </w:rPr>
      </w:pPr>
      <w:r>
        <w:rPr>
          <w:rFonts w:cs="Times New Roman"/>
          <w:sz w:val="24"/>
          <w:szCs w:val="24"/>
        </w:rPr>
        <w:t xml:space="preserve">“Directors” or “Members of the board” – by law, shareholders elect others (or themselves) to look after the firm on their behalf. </w:t>
      </w:r>
      <w:proofErr w:type="spellStart"/>
      <w:r w:rsidR="005501D6">
        <w:rPr>
          <w:rFonts w:cs="Times New Roman"/>
          <w:b/>
          <w:sz w:val="24"/>
          <w:szCs w:val="24"/>
          <w:u w:val="single"/>
        </w:rPr>
        <w:t>D</w:t>
      </w:r>
      <w:r w:rsidRPr="005501D6">
        <w:rPr>
          <w:rFonts w:cs="Times New Roman"/>
          <w:b/>
          <w:sz w:val="24"/>
          <w:szCs w:val="24"/>
          <w:u w:val="single"/>
        </w:rPr>
        <w:t>erve</w:t>
      </w:r>
      <w:proofErr w:type="spellEnd"/>
      <w:r w:rsidRPr="005501D6">
        <w:rPr>
          <w:rFonts w:cs="Times New Roman"/>
          <w:b/>
          <w:sz w:val="24"/>
          <w:szCs w:val="24"/>
          <w:u w:val="single"/>
        </w:rPr>
        <w:t xml:space="preserve"> as direct agents of the corporation and indirect agents of its shareholders.</w:t>
      </w:r>
      <w:r w:rsidR="005501D6">
        <w:rPr>
          <w:rFonts w:cs="Times New Roman"/>
          <w:b/>
          <w:sz w:val="24"/>
          <w:szCs w:val="24"/>
          <w:u w:val="single"/>
        </w:rPr>
        <w:t xml:space="preserve"> Some say only officers are agents of corporation.</w:t>
      </w:r>
    </w:p>
    <w:p w14:paraId="084DBC17" w14:textId="01498183" w:rsidR="001630B1" w:rsidRPr="001630B1" w:rsidRDefault="001630B1" w:rsidP="00FB77B8">
      <w:pPr>
        <w:pStyle w:val="ListParagraph"/>
        <w:numPr>
          <w:ilvl w:val="1"/>
          <w:numId w:val="7"/>
        </w:numPr>
        <w:rPr>
          <w:rFonts w:cs="Times New Roman"/>
          <w:sz w:val="24"/>
          <w:szCs w:val="24"/>
        </w:rPr>
      </w:pPr>
      <w:r>
        <w:rPr>
          <w:rFonts w:cs="Times New Roman"/>
          <w:sz w:val="24"/>
          <w:szCs w:val="24"/>
        </w:rPr>
        <w:lastRenderedPageBreak/>
        <w:t xml:space="preserve">Other staff – directors then hire others to run the firm on a daily basis. These people </w:t>
      </w:r>
      <w:proofErr w:type="spellStart"/>
      <w:r>
        <w:rPr>
          <w:rFonts w:cs="Times New Roman"/>
          <w:sz w:val="24"/>
          <w:szCs w:val="24"/>
        </w:rPr>
        <w:t>too</w:t>
      </w:r>
      <w:proofErr w:type="spellEnd"/>
      <w:r>
        <w:rPr>
          <w:rFonts w:cs="Times New Roman"/>
          <w:sz w:val="24"/>
          <w:szCs w:val="24"/>
        </w:rPr>
        <w:t xml:space="preserve"> work as agents for the firm and its shareholders. </w:t>
      </w:r>
    </w:p>
    <w:p w14:paraId="76F13AE2" w14:textId="0D44A9DE" w:rsidR="00F73C7E" w:rsidRPr="00443F62" w:rsidRDefault="00F73C7E" w:rsidP="00D926F0">
      <w:pPr>
        <w:pStyle w:val="Heading2"/>
        <w:numPr>
          <w:ilvl w:val="0"/>
          <w:numId w:val="7"/>
        </w:numPr>
      </w:pPr>
      <w:r w:rsidRPr="00443F62">
        <w:t>Shareholders and Litigation</w:t>
      </w:r>
    </w:p>
    <w:p w14:paraId="1F6CD748" w14:textId="57D9B5AD" w:rsidR="00F73C7E" w:rsidRDefault="00F73C7E" w:rsidP="00D926F0">
      <w:pPr>
        <w:pStyle w:val="Heading3"/>
        <w:numPr>
          <w:ilvl w:val="1"/>
          <w:numId w:val="7"/>
        </w:numPr>
      </w:pPr>
      <w:r w:rsidRPr="00443F62">
        <w:t>The Authority of the Board</w:t>
      </w:r>
    </w:p>
    <w:p w14:paraId="2D8B9D47" w14:textId="1A890318" w:rsidR="000C4C49" w:rsidRDefault="000C4C49" w:rsidP="000C4C49">
      <w:pPr>
        <w:pStyle w:val="ListParagraph"/>
        <w:numPr>
          <w:ilvl w:val="2"/>
          <w:numId w:val="7"/>
        </w:numPr>
        <w:rPr>
          <w:rFonts w:cs="Times New Roman"/>
          <w:sz w:val="24"/>
          <w:szCs w:val="24"/>
        </w:rPr>
      </w:pPr>
      <w:r>
        <w:rPr>
          <w:rFonts w:cs="Times New Roman"/>
          <w:sz w:val="24"/>
          <w:szCs w:val="24"/>
        </w:rPr>
        <w:t xml:space="preserve">When corporation wronged, whether to sue is question for the board, not the shareholder. </w:t>
      </w:r>
    </w:p>
    <w:p w14:paraId="601D8881" w14:textId="77777777" w:rsidR="000C4C49" w:rsidRDefault="000C4C49" w:rsidP="000C4C49">
      <w:pPr>
        <w:pStyle w:val="ListParagraph"/>
        <w:numPr>
          <w:ilvl w:val="2"/>
          <w:numId w:val="7"/>
        </w:numPr>
        <w:rPr>
          <w:rFonts w:cs="Times New Roman"/>
          <w:sz w:val="24"/>
          <w:szCs w:val="24"/>
        </w:rPr>
      </w:pPr>
      <w:r>
        <w:rPr>
          <w:rFonts w:cs="Times New Roman"/>
          <w:sz w:val="24"/>
          <w:szCs w:val="24"/>
        </w:rPr>
        <w:t>Bylaws</w:t>
      </w:r>
    </w:p>
    <w:p w14:paraId="680AA34A" w14:textId="77777777" w:rsidR="000C4C49" w:rsidRDefault="000C4C49" w:rsidP="000C4C49">
      <w:pPr>
        <w:pStyle w:val="ListParagraph"/>
        <w:numPr>
          <w:ilvl w:val="3"/>
          <w:numId w:val="7"/>
        </w:numPr>
        <w:rPr>
          <w:rFonts w:cs="Times New Roman"/>
          <w:sz w:val="24"/>
          <w:szCs w:val="24"/>
        </w:rPr>
      </w:pPr>
      <w:r w:rsidRPr="003B6870">
        <w:rPr>
          <w:rFonts w:cs="Times New Roman"/>
          <w:sz w:val="24"/>
          <w:szCs w:val="24"/>
        </w:rPr>
        <w:t xml:space="preserve">8 Del. C. § 109(a) </w:t>
      </w:r>
      <w:r>
        <w:rPr>
          <w:rFonts w:cs="Times New Roman"/>
          <w:sz w:val="24"/>
          <w:szCs w:val="24"/>
        </w:rPr>
        <w:t xml:space="preserve">– Stockholders have power to adopt, amend, or repeal bylaws. </w:t>
      </w:r>
      <w:r w:rsidRPr="000C4C49">
        <w:rPr>
          <w:rFonts w:cs="Times New Roman"/>
          <w:sz w:val="24"/>
          <w:szCs w:val="24"/>
        </w:rPr>
        <w:t xml:space="preserve">Certificate of incorporation may confer above power to directors but this does not divest stockholder of such power. </w:t>
      </w:r>
    </w:p>
    <w:p w14:paraId="7B273355" w14:textId="77777777" w:rsidR="000C4C49" w:rsidRDefault="000C4C49" w:rsidP="000C4C49">
      <w:pPr>
        <w:pStyle w:val="ListParagraph"/>
        <w:numPr>
          <w:ilvl w:val="3"/>
          <w:numId w:val="7"/>
        </w:numPr>
        <w:rPr>
          <w:rFonts w:cs="Times New Roman"/>
          <w:sz w:val="24"/>
          <w:szCs w:val="24"/>
        </w:rPr>
      </w:pPr>
      <w:r w:rsidRPr="000C4C49">
        <w:rPr>
          <w:rFonts w:cs="Times New Roman"/>
          <w:sz w:val="24"/>
          <w:szCs w:val="24"/>
        </w:rPr>
        <w:t>8 Del. C. § 109(b) – “bylaws may contain any provision, not inconsistent with law or with the certificate of incorporation, relating to the business of the corporation, the conduct of its affairs, and its rights or powers or the rights or powers of its stockholders, directors, officers or employees.”</w:t>
      </w:r>
    </w:p>
    <w:p w14:paraId="29E941D6" w14:textId="77777777" w:rsidR="000C4C49" w:rsidRDefault="000C4C49" w:rsidP="000C4C49">
      <w:pPr>
        <w:pStyle w:val="ListParagraph"/>
        <w:numPr>
          <w:ilvl w:val="3"/>
          <w:numId w:val="7"/>
        </w:numPr>
        <w:rPr>
          <w:rFonts w:cs="Times New Roman"/>
          <w:i/>
          <w:sz w:val="24"/>
          <w:szCs w:val="24"/>
        </w:rPr>
      </w:pPr>
      <w:r w:rsidRPr="000C4C49">
        <w:rPr>
          <w:rFonts w:cs="Times New Roman"/>
          <w:i/>
          <w:sz w:val="24"/>
          <w:szCs w:val="24"/>
        </w:rPr>
        <w:t>Boilermakers Local 154 Retirement Fund v. Chevron Corporation (Del. Ch. 2013)</w:t>
      </w:r>
    </w:p>
    <w:p w14:paraId="748F6F41" w14:textId="06EEC308" w:rsidR="00F73C7E" w:rsidRDefault="000C4C49" w:rsidP="000C4C49">
      <w:pPr>
        <w:pStyle w:val="ListParagraph"/>
        <w:numPr>
          <w:ilvl w:val="4"/>
          <w:numId w:val="7"/>
        </w:numPr>
        <w:rPr>
          <w:rFonts w:cs="Times New Roman"/>
          <w:sz w:val="24"/>
          <w:szCs w:val="24"/>
        </w:rPr>
      </w:pPr>
      <w:r w:rsidRPr="000C4C49">
        <w:rPr>
          <w:rFonts w:cs="Times New Roman"/>
          <w:sz w:val="24"/>
          <w:szCs w:val="24"/>
        </w:rPr>
        <w:t xml:space="preserve">Synopsis: Stockholders brought actions against boards of two corporations for adopting forum selection bylaws (all litigation will be done in DE) governing disputes relating to the internal affairs of the corporations, alleging that the bylaws were </w:t>
      </w:r>
      <w:r>
        <w:rPr>
          <w:rFonts w:cs="Times New Roman"/>
          <w:sz w:val="24"/>
          <w:szCs w:val="24"/>
        </w:rPr>
        <w:t xml:space="preserve">(1) </w:t>
      </w:r>
      <w:r w:rsidRPr="000C4C49">
        <w:rPr>
          <w:rFonts w:cs="Times New Roman"/>
          <w:sz w:val="24"/>
          <w:szCs w:val="24"/>
        </w:rPr>
        <w:t xml:space="preserve">statutorily invalid as beyond the boards' authority under Delaware General Corporation Law (DGCL), and that </w:t>
      </w:r>
      <w:r>
        <w:rPr>
          <w:rFonts w:cs="Times New Roman"/>
          <w:sz w:val="24"/>
          <w:szCs w:val="24"/>
        </w:rPr>
        <w:t xml:space="preserve">(2) </w:t>
      </w:r>
      <w:r w:rsidRPr="000C4C49">
        <w:rPr>
          <w:rFonts w:cs="Times New Roman"/>
          <w:sz w:val="24"/>
          <w:szCs w:val="24"/>
        </w:rPr>
        <w:t xml:space="preserve">the bylaws were contractually invalid </w:t>
      </w:r>
      <w:r>
        <w:rPr>
          <w:rFonts w:cs="Times New Roman"/>
          <w:sz w:val="24"/>
          <w:szCs w:val="24"/>
        </w:rPr>
        <w:t xml:space="preserve">because they were unilaterally adopted </w:t>
      </w:r>
      <w:r w:rsidRPr="000C4C49">
        <w:rPr>
          <w:rFonts w:cs="Times New Roman"/>
          <w:sz w:val="24"/>
          <w:szCs w:val="24"/>
        </w:rPr>
        <w:t>and thus not enforceable as forum selection clauses.</w:t>
      </w:r>
      <w:r w:rsidR="000F39A7">
        <w:rPr>
          <w:rFonts w:cs="Times New Roman"/>
          <w:sz w:val="24"/>
          <w:szCs w:val="24"/>
        </w:rPr>
        <w:t xml:space="preserve"> </w:t>
      </w:r>
    </w:p>
    <w:p w14:paraId="3DABF983" w14:textId="77777777" w:rsidR="000C4C49" w:rsidRDefault="000C4C49" w:rsidP="000C4C49">
      <w:pPr>
        <w:pStyle w:val="ListParagraph"/>
        <w:numPr>
          <w:ilvl w:val="4"/>
          <w:numId w:val="7"/>
        </w:numPr>
        <w:rPr>
          <w:rFonts w:cs="Times New Roman"/>
          <w:sz w:val="24"/>
          <w:szCs w:val="24"/>
        </w:rPr>
      </w:pPr>
      <w:r>
        <w:rPr>
          <w:rFonts w:cs="Times New Roman"/>
          <w:sz w:val="24"/>
          <w:szCs w:val="24"/>
        </w:rPr>
        <w:t xml:space="preserve">Tool: </w:t>
      </w:r>
      <w:r w:rsidRPr="003B6870">
        <w:rPr>
          <w:rFonts w:cs="Times New Roman"/>
          <w:sz w:val="24"/>
          <w:szCs w:val="24"/>
        </w:rPr>
        <w:t>8 Del. C. § 109(a)</w:t>
      </w:r>
      <w:r>
        <w:rPr>
          <w:rFonts w:cs="Times New Roman"/>
          <w:sz w:val="24"/>
          <w:szCs w:val="24"/>
        </w:rPr>
        <w:t>-(b)</w:t>
      </w:r>
    </w:p>
    <w:p w14:paraId="098FFBD2" w14:textId="77777777" w:rsidR="000C4C49" w:rsidRPr="00443F62" w:rsidRDefault="000C4C49" w:rsidP="00D1672E">
      <w:pPr>
        <w:pStyle w:val="ListParagraph"/>
        <w:numPr>
          <w:ilvl w:val="4"/>
          <w:numId w:val="7"/>
        </w:numPr>
        <w:rPr>
          <w:rFonts w:cs="Times New Roman"/>
          <w:sz w:val="24"/>
          <w:szCs w:val="24"/>
        </w:rPr>
      </w:pPr>
      <w:r>
        <w:rPr>
          <w:rFonts w:cs="Times New Roman"/>
          <w:sz w:val="24"/>
          <w:szCs w:val="24"/>
        </w:rPr>
        <w:t xml:space="preserve">Holding: (1) Bylaws were facially valid under DGCL as the subject matter fell under 109(b). </w:t>
      </w:r>
      <w:r w:rsidR="00D1672E">
        <w:rPr>
          <w:rFonts w:cs="Times New Roman"/>
          <w:sz w:val="24"/>
          <w:szCs w:val="24"/>
        </w:rPr>
        <w:t xml:space="preserve">Bylaws were </w:t>
      </w:r>
      <w:r w:rsidR="00D1672E" w:rsidRPr="00D1672E">
        <w:rPr>
          <w:rFonts w:cs="Times New Roman"/>
          <w:sz w:val="24"/>
          <w:szCs w:val="24"/>
        </w:rPr>
        <w:t>process-oriented, because they regulate</w:t>
      </w:r>
      <w:r w:rsidR="00D1672E">
        <w:rPr>
          <w:rFonts w:cs="Times New Roman"/>
          <w:sz w:val="24"/>
          <w:szCs w:val="24"/>
        </w:rPr>
        <w:t>d</w:t>
      </w:r>
      <w:r w:rsidR="00D1672E" w:rsidRPr="00D1672E">
        <w:rPr>
          <w:rFonts w:cs="Times New Roman"/>
          <w:sz w:val="24"/>
          <w:szCs w:val="24"/>
        </w:rPr>
        <w:t xml:space="preserve"> where stockholders may file suit, not whether the stockholder may file suit or the kind of remedy that the stockholder may obtain on behalf of herself or the corporation.</w:t>
      </w:r>
      <w:r w:rsidR="00D1672E">
        <w:rPr>
          <w:rFonts w:cs="Times New Roman"/>
          <w:sz w:val="24"/>
          <w:szCs w:val="24"/>
        </w:rPr>
        <w:t xml:space="preserve"> (2) Unilateral adoption of bylaws </w:t>
      </w:r>
      <w:r w:rsidR="00D1672E" w:rsidRPr="003B6870">
        <w:rPr>
          <w:rFonts w:cs="Times New Roman"/>
          <w:sz w:val="24"/>
          <w:szCs w:val="24"/>
        </w:rPr>
        <w:t>did not render them contractually invalid on their face.</w:t>
      </w:r>
      <w:r w:rsidR="00D1672E">
        <w:rPr>
          <w:rFonts w:cs="Times New Roman"/>
          <w:sz w:val="24"/>
          <w:szCs w:val="24"/>
        </w:rPr>
        <w:t xml:space="preserve"> Stockholders are on notice </w:t>
      </w:r>
      <w:r w:rsidR="00D1672E" w:rsidRPr="003B6870">
        <w:rPr>
          <w:rFonts w:cs="Times New Roman"/>
          <w:sz w:val="24"/>
          <w:szCs w:val="24"/>
        </w:rPr>
        <w:t>that, as to tho</w:t>
      </w:r>
      <w:r w:rsidR="00D1672E">
        <w:rPr>
          <w:rFonts w:cs="Times New Roman"/>
          <w:sz w:val="24"/>
          <w:szCs w:val="24"/>
        </w:rPr>
        <w:t xml:space="preserve">se subjects that are subject to </w:t>
      </w:r>
      <w:r w:rsidR="00D1672E" w:rsidRPr="003B6870">
        <w:rPr>
          <w:rFonts w:cs="Times New Roman"/>
          <w:sz w:val="24"/>
          <w:szCs w:val="24"/>
        </w:rPr>
        <w:t>regulation by bylaw</w:t>
      </w:r>
      <w:r w:rsidR="00D1672E">
        <w:rPr>
          <w:rFonts w:cs="Times New Roman"/>
          <w:sz w:val="24"/>
          <w:szCs w:val="24"/>
        </w:rPr>
        <w:t>s</w:t>
      </w:r>
      <w:r w:rsidR="00D1672E" w:rsidRPr="003B6870">
        <w:rPr>
          <w:rFonts w:cs="Times New Roman"/>
          <w:sz w:val="24"/>
          <w:szCs w:val="24"/>
        </w:rPr>
        <w:t xml:space="preserve"> under 8 Del. C. § 109(b), the board itself may act unilaterally to adopt bylaws addressing those subjects.</w:t>
      </w:r>
    </w:p>
    <w:p w14:paraId="73BC69F9" w14:textId="7A05F309" w:rsidR="00631CF5" w:rsidRDefault="00631CF5" w:rsidP="00D926F0">
      <w:pPr>
        <w:pStyle w:val="Heading3"/>
        <w:numPr>
          <w:ilvl w:val="1"/>
          <w:numId w:val="7"/>
        </w:numPr>
      </w:pPr>
      <w:r>
        <w:t>The Business Judgment Rule</w:t>
      </w:r>
    </w:p>
    <w:p w14:paraId="4011767E" w14:textId="358B5B0A" w:rsidR="000F39A7" w:rsidRDefault="000F39A7" w:rsidP="000F39A7">
      <w:pPr>
        <w:pStyle w:val="ListParagraph"/>
        <w:numPr>
          <w:ilvl w:val="2"/>
          <w:numId w:val="7"/>
        </w:numPr>
        <w:rPr>
          <w:rFonts w:cs="Times New Roman"/>
          <w:sz w:val="24"/>
          <w:szCs w:val="24"/>
        </w:rPr>
      </w:pPr>
      <w:r>
        <w:rPr>
          <w:rFonts w:cs="Times New Roman"/>
          <w:sz w:val="24"/>
          <w:szCs w:val="24"/>
        </w:rPr>
        <w:t xml:space="preserve"> “Business judgment rule” – “Absent fraud, illegality, a conflict of interest, negligence, or waste, a court will not second-guess the decisions of a board.”</w:t>
      </w:r>
    </w:p>
    <w:p w14:paraId="78FB9C62" w14:textId="77777777" w:rsidR="000F39A7" w:rsidRDefault="000F39A7" w:rsidP="000F39A7">
      <w:pPr>
        <w:pStyle w:val="ListParagraph"/>
        <w:numPr>
          <w:ilvl w:val="2"/>
          <w:numId w:val="7"/>
        </w:numPr>
        <w:rPr>
          <w:rFonts w:cs="Times New Roman"/>
          <w:sz w:val="24"/>
          <w:szCs w:val="24"/>
        </w:rPr>
      </w:pPr>
      <w:r>
        <w:rPr>
          <w:rFonts w:cs="Times New Roman"/>
          <w:sz w:val="24"/>
          <w:szCs w:val="24"/>
        </w:rPr>
        <w:t>Conflict of interest – violation of duty of loyalty</w:t>
      </w:r>
    </w:p>
    <w:p w14:paraId="67AB48EB" w14:textId="77777777" w:rsidR="000F39A7" w:rsidRDefault="000F39A7" w:rsidP="000F39A7">
      <w:pPr>
        <w:pStyle w:val="ListParagraph"/>
        <w:numPr>
          <w:ilvl w:val="2"/>
          <w:numId w:val="7"/>
        </w:numPr>
        <w:rPr>
          <w:rFonts w:cs="Times New Roman"/>
          <w:sz w:val="24"/>
          <w:szCs w:val="24"/>
        </w:rPr>
      </w:pPr>
      <w:r>
        <w:rPr>
          <w:rFonts w:cs="Times New Roman"/>
          <w:sz w:val="24"/>
          <w:szCs w:val="24"/>
        </w:rPr>
        <w:t xml:space="preserve">Negligence (more accurately, gross negligence) – violation of duty of care; </w:t>
      </w:r>
      <w:r w:rsidRPr="009F273E">
        <w:rPr>
          <w:rFonts w:cs="Times New Roman"/>
          <w:sz w:val="24"/>
          <w:szCs w:val="24"/>
        </w:rPr>
        <w:t>not about whether decision was right but about whether you went through proper procedures to get there; judges insist that directors sit down and think through decisions but not that they make right decisions</w:t>
      </w:r>
    </w:p>
    <w:p w14:paraId="3119602D" w14:textId="77777777" w:rsidR="000F39A7" w:rsidRDefault="000F39A7" w:rsidP="000F39A7">
      <w:pPr>
        <w:pStyle w:val="ListParagraph"/>
        <w:numPr>
          <w:ilvl w:val="2"/>
          <w:numId w:val="7"/>
        </w:numPr>
        <w:rPr>
          <w:rFonts w:cs="Times New Roman"/>
          <w:sz w:val="24"/>
          <w:szCs w:val="24"/>
        </w:rPr>
      </w:pPr>
      <w:r>
        <w:rPr>
          <w:rFonts w:cs="Times New Roman"/>
          <w:sz w:val="24"/>
          <w:szCs w:val="24"/>
        </w:rPr>
        <w:t xml:space="preserve">Waste – whether its decision was so inadequate in value that no person of ordinary, sound business judgment would deem it worth that which the corporation was paid. </w:t>
      </w:r>
    </w:p>
    <w:p w14:paraId="6A9A458F" w14:textId="11F393EA" w:rsidR="00F73C7E" w:rsidRPr="00443F62" w:rsidRDefault="00F73C7E" w:rsidP="00D926F0">
      <w:pPr>
        <w:pStyle w:val="Heading3"/>
        <w:numPr>
          <w:ilvl w:val="1"/>
          <w:numId w:val="7"/>
        </w:numPr>
      </w:pPr>
      <w:r w:rsidRPr="00443F62">
        <w:t>Derivative Suit</w:t>
      </w:r>
    </w:p>
    <w:p w14:paraId="3B6B6394" w14:textId="77777777" w:rsidR="00193B65" w:rsidRPr="00443F62" w:rsidRDefault="00193B65" w:rsidP="00193B65">
      <w:pPr>
        <w:pStyle w:val="ListParagraph"/>
        <w:numPr>
          <w:ilvl w:val="2"/>
          <w:numId w:val="7"/>
        </w:numPr>
        <w:rPr>
          <w:rFonts w:cs="Times New Roman"/>
          <w:sz w:val="24"/>
          <w:szCs w:val="24"/>
        </w:rPr>
      </w:pPr>
      <w:r>
        <w:rPr>
          <w:rFonts w:cs="Times New Roman"/>
          <w:sz w:val="24"/>
          <w:szCs w:val="24"/>
        </w:rPr>
        <w:t>Definition – To enable shareholders to circumvent the reluctance of directors to sue themselves or their friends, corporate statutes provide for derivative suits. In these suits, (</w:t>
      </w:r>
      <w:proofErr w:type="spellStart"/>
      <w:r>
        <w:rPr>
          <w:rFonts w:cs="Times New Roman"/>
          <w:sz w:val="24"/>
          <w:szCs w:val="24"/>
        </w:rPr>
        <w:t>i</w:t>
      </w:r>
      <w:proofErr w:type="spellEnd"/>
      <w:r>
        <w:rPr>
          <w:rFonts w:cs="Times New Roman"/>
          <w:sz w:val="24"/>
          <w:szCs w:val="24"/>
        </w:rPr>
        <w:t>) shareholders sue the corporation in equity, (ii) to force it to sue the wrongdoer.</w:t>
      </w:r>
    </w:p>
    <w:p w14:paraId="21D7FC6F" w14:textId="77777777" w:rsidR="00F73C7E" w:rsidRDefault="00F73C7E" w:rsidP="00F73C7E">
      <w:pPr>
        <w:pStyle w:val="ListParagraph"/>
        <w:numPr>
          <w:ilvl w:val="2"/>
          <w:numId w:val="7"/>
        </w:numPr>
        <w:rPr>
          <w:rFonts w:cs="Times New Roman"/>
          <w:sz w:val="24"/>
          <w:szCs w:val="24"/>
        </w:rPr>
      </w:pPr>
      <w:r w:rsidRPr="00443F62">
        <w:rPr>
          <w:rFonts w:cs="Times New Roman"/>
          <w:sz w:val="24"/>
          <w:szCs w:val="24"/>
        </w:rPr>
        <w:t>Preliminary Requirements</w:t>
      </w:r>
      <w:r w:rsidR="00193B65">
        <w:rPr>
          <w:rFonts w:cs="Times New Roman"/>
          <w:sz w:val="24"/>
          <w:szCs w:val="24"/>
        </w:rPr>
        <w:t xml:space="preserve"> (See Rule 23.1 of the Delaware Court of Chancery and FRCP 23.1)</w:t>
      </w:r>
    </w:p>
    <w:p w14:paraId="75FBF5BA" w14:textId="77777777" w:rsidR="00193B65" w:rsidRDefault="00193B65" w:rsidP="00193B65">
      <w:pPr>
        <w:pStyle w:val="ListParagraph"/>
        <w:numPr>
          <w:ilvl w:val="3"/>
          <w:numId w:val="7"/>
        </w:numPr>
        <w:rPr>
          <w:rFonts w:cs="Times New Roman"/>
          <w:sz w:val="24"/>
          <w:szCs w:val="24"/>
        </w:rPr>
      </w:pPr>
      <w:r>
        <w:rPr>
          <w:rFonts w:cs="Times New Roman"/>
          <w:sz w:val="24"/>
          <w:szCs w:val="24"/>
        </w:rPr>
        <w:t>Suit may only be filed by shareholder who held stock at time of contested event.</w:t>
      </w:r>
    </w:p>
    <w:p w14:paraId="5E0EE4BE" w14:textId="06B3D332" w:rsidR="00193B65" w:rsidRDefault="00193B65" w:rsidP="00193B65">
      <w:pPr>
        <w:pStyle w:val="ListParagraph"/>
        <w:numPr>
          <w:ilvl w:val="3"/>
          <w:numId w:val="7"/>
        </w:numPr>
        <w:rPr>
          <w:rFonts w:cs="Times New Roman"/>
          <w:sz w:val="24"/>
          <w:szCs w:val="24"/>
        </w:rPr>
      </w:pPr>
      <w:r>
        <w:rPr>
          <w:rFonts w:cs="Times New Roman"/>
          <w:sz w:val="24"/>
          <w:szCs w:val="24"/>
        </w:rPr>
        <w:t>Shareholder must generally “demand” that a board file the suit itself unless the boa</w:t>
      </w:r>
      <w:r w:rsidR="00FB77B8">
        <w:rPr>
          <w:rFonts w:cs="Times New Roman"/>
          <w:sz w:val="24"/>
          <w:szCs w:val="24"/>
        </w:rPr>
        <w:t>rd faces a conflict of interest.</w:t>
      </w:r>
    </w:p>
    <w:p w14:paraId="7C6A36BE" w14:textId="77777777" w:rsidR="000B3354" w:rsidRDefault="000B3354" w:rsidP="00193B65">
      <w:pPr>
        <w:pStyle w:val="ListParagraph"/>
        <w:numPr>
          <w:ilvl w:val="3"/>
          <w:numId w:val="7"/>
        </w:numPr>
        <w:rPr>
          <w:rFonts w:cs="Times New Roman"/>
          <w:sz w:val="24"/>
          <w:szCs w:val="24"/>
        </w:rPr>
      </w:pPr>
      <w:r>
        <w:rPr>
          <w:rFonts w:cs="Times New Roman"/>
          <w:sz w:val="24"/>
          <w:szCs w:val="24"/>
        </w:rPr>
        <w:t>A shareholder may settle a derivative suit only with the approval of the court.</w:t>
      </w:r>
    </w:p>
    <w:p w14:paraId="11C3228B" w14:textId="77777777" w:rsidR="00F73C7E" w:rsidRDefault="00F73C7E" w:rsidP="00F73C7E">
      <w:pPr>
        <w:pStyle w:val="ListParagraph"/>
        <w:numPr>
          <w:ilvl w:val="2"/>
          <w:numId w:val="7"/>
        </w:numPr>
        <w:rPr>
          <w:rFonts w:cs="Times New Roman"/>
          <w:sz w:val="24"/>
          <w:szCs w:val="24"/>
        </w:rPr>
      </w:pPr>
      <w:r w:rsidRPr="00443F62">
        <w:rPr>
          <w:rFonts w:cs="Times New Roman"/>
          <w:sz w:val="24"/>
          <w:szCs w:val="24"/>
        </w:rPr>
        <w:t>Demand</w:t>
      </w:r>
    </w:p>
    <w:p w14:paraId="0610EA5E" w14:textId="77777777" w:rsidR="000B3354" w:rsidRDefault="000B3354" w:rsidP="000B3354">
      <w:pPr>
        <w:pStyle w:val="ListParagraph"/>
        <w:numPr>
          <w:ilvl w:val="3"/>
          <w:numId w:val="7"/>
        </w:numPr>
        <w:rPr>
          <w:rFonts w:cs="Times New Roman"/>
          <w:sz w:val="24"/>
          <w:szCs w:val="24"/>
        </w:rPr>
      </w:pPr>
      <w:r>
        <w:rPr>
          <w:rFonts w:cs="Times New Roman"/>
          <w:sz w:val="24"/>
          <w:szCs w:val="24"/>
        </w:rPr>
        <w:t>Requirement</w:t>
      </w:r>
    </w:p>
    <w:p w14:paraId="51FBD0A5" w14:textId="6FAB7F45" w:rsidR="000B3354" w:rsidRPr="00FB77B8" w:rsidRDefault="000B3354" w:rsidP="00FB77B8">
      <w:pPr>
        <w:pStyle w:val="ListParagraph"/>
        <w:numPr>
          <w:ilvl w:val="4"/>
          <w:numId w:val="7"/>
        </w:numPr>
        <w:rPr>
          <w:rFonts w:cs="Times New Roman"/>
          <w:sz w:val="24"/>
          <w:szCs w:val="24"/>
        </w:rPr>
      </w:pPr>
      <w:r w:rsidRPr="00FB77B8">
        <w:rPr>
          <w:rFonts w:cs="Times New Roman"/>
          <w:sz w:val="24"/>
          <w:szCs w:val="24"/>
        </w:rPr>
        <w:lastRenderedPageBreak/>
        <w:t>Demand required when no conflict of interest</w:t>
      </w:r>
      <w:r w:rsidR="00FB77B8" w:rsidRPr="00FB77B8">
        <w:rPr>
          <w:rFonts w:cs="Times New Roman"/>
          <w:sz w:val="24"/>
          <w:szCs w:val="24"/>
        </w:rPr>
        <w:t xml:space="preserve">. Where a demand has actually been made, the stockholder making the demand concedes the independence and disinterestedness of a majority of the board to respond. </w:t>
      </w:r>
    </w:p>
    <w:p w14:paraId="44802222" w14:textId="756F1971" w:rsidR="000B3354" w:rsidRPr="00443F62" w:rsidRDefault="00FB77B8" w:rsidP="000B3354">
      <w:pPr>
        <w:pStyle w:val="ListParagraph"/>
        <w:numPr>
          <w:ilvl w:val="4"/>
          <w:numId w:val="7"/>
        </w:numPr>
        <w:rPr>
          <w:rFonts w:cs="Times New Roman"/>
          <w:sz w:val="24"/>
          <w:szCs w:val="24"/>
        </w:rPr>
      </w:pPr>
      <w:r>
        <w:rPr>
          <w:rFonts w:cs="Times New Roman"/>
          <w:sz w:val="24"/>
          <w:szCs w:val="24"/>
        </w:rPr>
        <w:t xml:space="preserve">Demand Futility – </w:t>
      </w:r>
      <w:r w:rsidR="000B3354">
        <w:rPr>
          <w:rFonts w:cs="Times New Roman"/>
          <w:sz w:val="24"/>
          <w:szCs w:val="24"/>
        </w:rPr>
        <w:t>“Demand excused” if board faces a conflict of interest.</w:t>
      </w:r>
    </w:p>
    <w:p w14:paraId="5906334F" w14:textId="5DC2F1C4" w:rsidR="00645111" w:rsidRDefault="00645111" w:rsidP="00FB77B8">
      <w:pPr>
        <w:pStyle w:val="ListParagraph"/>
        <w:numPr>
          <w:ilvl w:val="3"/>
          <w:numId w:val="7"/>
        </w:numPr>
        <w:rPr>
          <w:rFonts w:cs="Times New Roman"/>
          <w:sz w:val="24"/>
          <w:szCs w:val="24"/>
        </w:rPr>
      </w:pPr>
      <w:r>
        <w:rPr>
          <w:rFonts w:cs="Times New Roman"/>
          <w:sz w:val="24"/>
          <w:szCs w:val="24"/>
        </w:rPr>
        <w:t>Law requires shareholders to present most proposed suits to the board (to “demand” that it file suit). Once the shareholder makes this demand, a court judges the board’s refusal to sue</w:t>
      </w:r>
      <w:r w:rsidR="000B3354">
        <w:rPr>
          <w:rFonts w:cs="Times New Roman"/>
          <w:sz w:val="24"/>
          <w:szCs w:val="24"/>
        </w:rPr>
        <w:t xml:space="preserve"> by the business judgment rule</w:t>
      </w:r>
      <w:r w:rsidR="00FB77B8">
        <w:rPr>
          <w:rFonts w:cs="Times New Roman"/>
          <w:sz w:val="24"/>
          <w:szCs w:val="24"/>
        </w:rPr>
        <w:t xml:space="preserve"> </w:t>
      </w:r>
      <w:r w:rsidR="000B3354">
        <w:rPr>
          <w:rFonts w:cs="Times New Roman"/>
          <w:sz w:val="24"/>
          <w:szCs w:val="24"/>
        </w:rPr>
        <w:t>– absent a conflict of interest, negligence, fraud, illegality or waste, a court will defer to the board’s decision not to sue.</w:t>
      </w:r>
    </w:p>
    <w:p w14:paraId="46DCAD84" w14:textId="2C6F428A" w:rsidR="00645111" w:rsidRDefault="000B3354" w:rsidP="00645111">
      <w:pPr>
        <w:pStyle w:val="ListParagraph"/>
        <w:numPr>
          <w:ilvl w:val="3"/>
          <w:numId w:val="7"/>
        </w:numPr>
        <w:rPr>
          <w:rFonts w:cs="Times New Roman"/>
          <w:sz w:val="24"/>
          <w:szCs w:val="24"/>
        </w:rPr>
      </w:pPr>
      <w:r>
        <w:rPr>
          <w:rFonts w:cs="Times New Roman"/>
          <w:sz w:val="24"/>
          <w:szCs w:val="24"/>
        </w:rPr>
        <w:t>If board decides to pursue the claim, that ends the derivative suit.</w:t>
      </w:r>
      <w:r w:rsidR="00FB77B8">
        <w:rPr>
          <w:rFonts w:cs="Times New Roman"/>
          <w:sz w:val="24"/>
          <w:szCs w:val="24"/>
        </w:rPr>
        <w:t xml:space="preserve"> </w:t>
      </w:r>
      <w:r>
        <w:rPr>
          <w:rFonts w:cs="Times New Roman"/>
          <w:sz w:val="24"/>
          <w:szCs w:val="24"/>
        </w:rPr>
        <w:t xml:space="preserve">Where a demand has actually been made, the stockholder making the demand concedes the independence and disinterestedness of a majority of the board to respond. </w:t>
      </w:r>
    </w:p>
    <w:p w14:paraId="1AF97FD1" w14:textId="77777777" w:rsidR="008921EC" w:rsidRDefault="008921EC" w:rsidP="008921EC">
      <w:pPr>
        <w:rPr>
          <w:rFonts w:cs="Times New Roman"/>
          <w:szCs w:val="24"/>
        </w:rPr>
      </w:pPr>
    </w:p>
    <w:p w14:paraId="70A926C0" w14:textId="77777777" w:rsidR="008921EC" w:rsidRPr="008921EC" w:rsidRDefault="008921EC" w:rsidP="008921EC">
      <w:pPr>
        <w:rPr>
          <w:rFonts w:cs="Times New Roman"/>
          <w:szCs w:val="24"/>
        </w:rPr>
      </w:pPr>
      <w:r w:rsidRPr="00443F62">
        <w:rPr>
          <w:rFonts w:cs="Times New Roman"/>
          <w:noProof/>
          <w:szCs w:val="24"/>
        </w:rPr>
        <w:drawing>
          <wp:inline distT="0" distB="0" distL="0" distR="0" wp14:anchorId="7B413EC1" wp14:editId="6094B1AC">
            <wp:extent cx="6438900" cy="2027582"/>
            <wp:effectExtent l="0" t="38100" r="0" b="4889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1A2E198" w14:textId="2A3A7286" w:rsidR="005731B8" w:rsidRPr="005731B8" w:rsidRDefault="00214316" w:rsidP="00D926F0">
      <w:pPr>
        <w:pStyle w:val="Heading3"/>
        <w:numPr>
          <w:ilvl w:val="1"/>
          <w:numId w:val="7"/>
        </w:numPr>
      </w:pPr>
      <w:r>
        <w:t>Demand Futility</w:t>
      </w:r>
    </w:p>
    <w:p w14:paraId="6EEEAE62" w14:textId="6780C178" w:rsidR="00554ED0" w:rsidRPr="00195A01" w:rsidRDefault="00554ED0" w:rsidP="00554ED0">
      <w:pPr>
        <w:pStyle w:val="ListParagraph"/>
        <w:numPr>
          <w:ilvl w:val="2"/>
          <w:numId w:val="7"/>
        </w:numPr>
        <w:rPr>
          <w:rFonts w:cs="Times New Roman"/>
          <w:sz w:val="24"/>
          <w:szCs w:val="24"/>
        </w:rPr>
      </w:pPr>
      <w:r>
        <w:rPr>
          <w:rFonts w:cs="Times New Roman"/>
          <w:sz w:val="24"/>
          <w:szCs w:val="24"/>
        </w:rPr>
        <w:t>Definition – “</w:t>
      </w:r>
      <w:r w:rsidRPr="00195A01">
        <w:rPr>
          <w:rFonts w:cs="Times New Roman"/>
          <w:sz w:val="24"/>
          <w:szCs w:val="24"/>
        </w:rPr>
        <w:t>the right of a stockholder to prosecute a derivative suit is limited to situations where the stockholder has demanded that the directors pursue the corporate claim and they have wrongfully refused to do so or where demand is excused because the directors are incapable of making an impartial decision regarding such litigation.”</w:t>
      </w:r>
      <w:r>
        <w:rPr>
          <w:rFonts w:cs="Times New Roman"/>
          <w:sz w:val="24"/>
          <w:szCs w:val="24"/>
        </w:rPr>
        <w:t xml:space="preserve"> </w:t>
      </w:r>
      <w:r w:rsidRPr="00BF77B3">
        <w:rPr>
          <w:rFonts w:cs="Times New Roman"/>
          <w:b/>
          <w:i/>
          <w:sz w:val="24"/>
          <w:szCs w:val="24"/>
        </w:rPr>
        <w:t xml:space="preserve">In re China </w:t>
      </w:r>
      <w:proofErr w:type="spellStart"/>
      <w:r w:rsidRPr="00BF77B3">
        <w:rPr>
          <w:rFonts w:cs="Times New Roman"/>
          <w:b/>
          <w:i/>
          <w:sz w:val="24"/>
          <w:szCs w:val="24"/>
        </w:rPr>
        <w:t>Agritech</w:t>
      </w:r>
      <w:proofErr w:type="spellEnd"/>
      <w:r w:rsidRPr="00BF77B3">
        <w:rPr>
          <w:rFonts w:cs="Times New Roman"/>
          <w:b/>
          <w:i/>
          <w:sz w:val="24"/>
          <w:szCs w:val="24"/>
        </w:rPr>
        <w:t>, Inc.</w:t>
      </w:r>
    </w:p>
    <w:p w14:paraId="214B44B9" w14:textId="438478AF" w:rsidR="00195A01" w:rsidRPr="00195A01" w:rsidRDefault="00554ED0" w:rsidP="00554ED0">
      <w:pPr>
        <w:pStyle w:val="ListParagraph"/>
        <w:numPr>
          <w:ilvl w:val="2"/>
          <w:numId w:val="7"/>
        </w:numPr>
        <w:rPr>
          <w:rFonts w:cs="Times New Roman"/>
          <w:sz w:val="24"/>
          <w:szCs w:val="24"/>
        </w:rPr>
      </w:pPr>
      <w:r>
        <w:rPr>
          <w:rFonts w:cs="Times New Roman"/>
          <w:sz w:val="24"/>
          <w:szCs w:val="24"/>
        </w:rPr>
        <w:t>Two T</w:t>
      </w:r>
      <w:r w:rsidR="00195A01" w:rsidRPr="00195A01">
        <w:rPr>
          <w:rFonts w:cs="Times New Roman"/>
          <w:sz w:val="24"/>
          <w:szCs w:val="24"/>
        </w:rPr>
        <w:t xml:space="preserve">ests </w:t>
      </w:r>
      <w:r>
        <w:rPr>
          <w:rFonts w:cs="Times New Roman"/>
          <w:sz w:val="24"/>
          <w:szCs w:val="24"/>
        </w:rPr>
        <w:t>(</w:t>
      </w:r>
      <w:r w:rsidRPr="00BF77B3">
        <w:rPr>
          <w:rFonts w:cs="Times New Roman"/>
          <w:b/>
          <w:i/>
          <w:sz w:val="24"/>
          <w:szCs w:val="24"/>
        </w:rPr>
        <w:t xml:space="preserve">In re China </w:t>
      </w:r>
      <w:proofErr w:type="spellStart"/>
      <w:r w:rsidRPr="00BF77B3">
        <w:rPr>
          <w:rFonts w:cs="Times New Roman"/>
          <w:b/>
          <w:i/>
          <w:sz w:val="24"/>
          <w:szCs w:val="24"/>
        </w:rPr>
        <w:t>Agritech</w:t>
      </w:r>
      <w:proofErr w:type="spellEnd"/>
      <w:r w:rsidRPr="00BF77B3">
        <w:rPr>
          <w:rFonts w:cs="Times New Roman"/>
          <w:b/>
          <w:i/>
          <w:sz w:val="24"/>
          <w:szCs w:val="24"/>
        </w:rPr>
        <w:t>, Inc</w:t>
      </w:r>
      <w:r w:rsidRPr="00D90791">
        <w:rPr>
          <w:rFonts w:cs="Times New Roman"/>
          <w:i/>
          <w:sz w:val="24"/>
          <w:szCs w:val="24"/>
        </w:rPr>
        <w:t>.</w:t>
      </w:r>
      <w:r>
        <w:rPr>
          <w:rFonts w:cs="Times New Roman"/>
          <w:sz w:val="24"/>
          <w:szCs w:val="24"/>
        </w:rPr>
        <w:t>)</w:t>
      </w:r>
    </w:p>
    <w:p w14:paraId="31B802B4" w14:textId="77777777" w:rsidR="00195A01" w:rsidRDefault="00195A01" w:rsidP="00554ED0">
      <w:pPr>
        <w:pStyle w:val="ListParagraph"/>
        <w:numPr>
          <w:ilvl w:val="3"/>
          <w:numId w:val="7"/>
        </w:numPr>
        <w:rPr>
          <w:rFonts w:cs="Times New Roman"/>
          <w:sz w:val="24"/>
          <w:szCs w:val="24"/>
        </w:rPr>
      </w:pPr>
      <w:r>
        <w:rPr>
          <w:rFonts w:cs="Times New Roman"/>
          <w:sz w:val="24"/>
          <w:szCs w:val="24"/>
        </w:rPr>
        <w:t>Aronson test</w:t>
      </w:r>
    </w:p>
    <w:p w14:paraId="5F982E05" w14:textId="3BC2CFF1" w:rsidR="00195A01" w:rsidRPr="00195A01" w:rsidRDefault="00195A01" w:rsidP="00554ED0">
      <w:pPr>
        <w:pStyle w:val="ListParagraph"/>
        <w:numPr>
          <w:ilvl w:val="4"/>
          <w:numId w:val="7"/>
        </w:numPr>
        <w:rPr>
          <w:rFonts w:cs="Times New Roman"/>
          <w:sz w:val="24"/>
          <w:szCs w:val="24"/>
        </w:rPr>
      </w:pPr>
      <w:r>
        <w:rPr>
          <w:rFonts w:cs="Times New Roman"/>
          <w:sz w:val="24"/>
          <w:szCs w:val="24"/>
        </w:rPr>
        <w:t xml:space="preserve">Applicability – </w:t>
      </w:r>
      <w:r w:rsidRPr="00195A01">
        <w:rPr>
          <w:rFonts w:cs="Times New Roman"/>
          <w:sz w:val="24"/>
          <w:szCs w:val="24"/>
        </w:rPr>
        <w:t xml:space="preserve">applies when a derivative plaintiff challenges an earlier board decision made by </w:t>
      </w:r>
      <w:r w:rsidR="005E55B8">
        <w:rPr>
          <w:rFonts w:cs="Times New Roman"/>
          <w:sz w:val="24"/>
          <w:szCs w:val="24"/>
        </w:rPr>
        <w:t>a majority of the</w:t>
      </w:r>
      <w:r w:rsidRPr="00195A01">
        <w:rPr>
          <w:rFonts w:cs="Times New Roman"/>
          <w:sz w:val="24"/>
          <w:szCs w:val="24"/>
        </w:rPr>
        <w:t xml:space="preserve"> same directors who remain in office at the time suit is filed. </w:t>
      </w:r>
    </w:p>
    <w:p w14:paraId="6C2A5439" w14:textId="559D6A28" w:rsidR="00195A01" w:rsidRDefault="00554ED0" w:rsidP="00554ED0">
      <w:pPr>
        <w:pStyle w:val="ListParagraph"/>
        <w:numPr>
          <w:ilvl w:val="4"/>
          <w:numId w:val="7"/>
        </w:numPr>
        <w:rPr>
          <w:rFonts w:cs="Times New Roman"/>
          <w:sz w:val="24"/>
          <w:szCs w:val="24"/>
        </w:rPr>
      </w:pPr>
      <w:r>
        <w:rPr>
          <w:rFonts w:cs="Times New Roman"/>
          <w:sz w:val="24"/>
          <w:szCs w:val="24"/>
        </w:rPr>
        <w:t xml:space="preserve">Test – </w:t>
      </w:r>
      <w:r w:rsidR="00195A01" w:rsidRPr="00195A01">
        <w:rPr>
          <w:rFonts w:cs="Times New Roman"/>
          <w:sz w:val="24"/>
          <w:szCs w:val="24"/>
        </w:rPr>
        <w:t xml:space="preserve">“must decide whether, under the particularized facts alleged, a reasonable doubt is created that: (1) the directors are disinterested and independent [duty of loyalty] </w:t>
      </w:r>
      <w:r w:rsidR="00C26F0C">
        <w:rPr>
          <w:rFonts w:cs="Times New Roman"/>
          <w:sz w:val="24"/>
          <w:szCs w:val="24"/>
        </w:rPr>
        <w:t xml:space="preserve">[with respect to the decision that the derivative action would challenge] </w:t>
      </w:r>
      <w:r w:rsidR="00195A01" w:rsidRPr="00195A01">
        <w:rPr>
          <w:rFonts w:cs="Times New Roman"/>
          <w:sz w:val="24"/>
          <w:szCs w:val="24"/>
        </w:rPr>
        <w:t>and (2) the challenged transaction was otherwise the product of a valid exercise of business judgment.” [duty of care]</w:t>
      </w:r>
    </w:p>
    <w:p w14:paraId="167D51B1" w14:textId="1EC1EFA2" w:rsidR="005E55B8" w:rsidRPr="00554ED0" w:rsidRDefault="00554ED0" w:rsidP="00554ED0">
      <w:pPr>
        <w:pStyle w:val="ListParagraph"/>
        <w:numPr>
          <w:ilvl w:val="4"/>
          <w:numId w:val="7"/>
        </w:numPr>
        <w:rPr>
          <w:rFonts w:cs="Times New Roman"/>
          <w:sz w:val="24"/>
          <w:szCs w:val="24"/>
        </w:rPr>
      </w:pPr>
      <w:r w:rsidRPr="00554ED0">
        <w:rPr>
          <w:rFonts w:cs="Times New Roman"/>
          <w:sz w:val="24"/>
          <w:szCs w:val="24"/>
        </w:rPr>
        <w:t xml:space="preserve">Example: </w:t>
      </w:r>
      <w:r w:rsidRPr="00554ED0">
        <w:rPr>
          <w:rFonts w:cs="Times New Roman"/>
          <w:i/>
          <w:sz w:val="24"/>
          <w:szCs w:val="24"/>
        </w:rPr>
        <w:t>China</w:t>
      </w:r>
      <w:r w:rsidRPr="00554ED0">
        <w:rPr>
          <w:rFonts w:cs="Times New Roman"/>
          <w:sz w:val="24"/>
          <w:szCs w:val="24"/>
        </w:rPr>
        <w:t xml:space="preserve"> </w:t>
      </w:r>
      <w:proofErr w:type="spellStart"/>
      <w:r w:rsidR="005E55B8" w:rsidRPr="00554ED0">
        <w:rPr>
          <w:rFonts w:cs="Times New Roman"/>
          <w:i/>
          <w:sz w:val="24"/>
          <w:szCs w:val="24"/>
        </w:rPr>
        <w:t>Agritech</w:t>
      </w:r>
      <w:proofErr w:type="spellEnd"/>
      <w:r w:rsidR="005E55B8" w:rsidRPr="00554ED0">
        <w:rPr>
          <w:rFonts w:cs="Times New Roman"/>
          <w:sz w:val="24"/>
          <w:szCs w:val="24"/>
        </w:rPr>
        <w:t xml:space="preserve"> court does NOT apply because there was never a vote on monitoring system. Therefore, no decision was made by previous board and Rales applies. </w:t>
      </w:r>
    </w:p>
    <w:p w14:paraId="60453E5F" w14:textId="77777777" w:rsidR="00195A01" w:rsidRDefault="00195A01" w:rsidP="00554ED0">
      <w:pPr>
        <w:pStyle w:val="ListParagraph"/>
        <w:numPr>
          <w:ilvl w:val="3"/>
          <w:numId w:val="7"/>
        </w:numPr>
        <w:rPr>
          <w:rFonts w:cs="Times New Roman"/>
          <w:sz w:val="24"/>
          <w:szCs w:val="24"/>
        </w:rPr>
      </w:pPr>
      <w:r w:rsidRPr="00195A01">
        <w:rPr>
          <w:rFonts w:cs="Times New Roman"/>
          <w:sz w:val="24"/>
          <w:szCs w:val="24"/>
        </w:rPr>
        <w:t>Rales test</w:t>
      </w:r>
    </w:p>
    <w:p w14:paraId="16EA5CCD" w14:textId="77777777" w:rsidR="00C26F0C" w:rsidRDefault="00195A01" w:rsidP="00554ED0">
      <w:pPr>
        <w:pStyle w:val="ListParagraph"/>
        <w:numPr>
          <w:ilvl w:val="4"/>
          <w:numId w:val="7"/>
        </w:numPr>
        <w:rPr>
          <w:rFonts w:cs="Times New Roman"/>
          <w:sz w:val="24"/>
          <w:szCs w:val="24"/>
        </w:rPr>
      </w:pPr>
      <w:r>
        <w:rPr>
          <w:rFonts w:cs="Times New Roman"/>
          <w:sz w:val="24"/>
          <w:szCs w:val="24"/>
        </w:rPr>
        <w:t xml:space="preserve">Applicability </w:t>
      </w:r>
    </w:p>
    <w:p w14:paraId="69927324" w14:textId="55921B5D" w:rsidR="00195A01" w:rsidRPr="00195A01" w:rsidRDefault="00195A01" w:rsidP="00554ED0">
      <w:pPr>
        <w:pStyle w:val="ListParagraph"/>
        <w:numPr>
          <w:ilvl w:val="5"/>
          <w:numId w:val="7"/>
        </w:numPr>
        <w:rPr>
          <w:rFonts w:cs="Times New Roman"/>
          <w:sz w:val="24"/>
          <w:szCs w:val="24"/>
        </w:rPr>
      </w:pPr>
      <w:r w:rsidRPr="00195A01">
        <w:rPr>
          <w:rFonts w:cs="Times New Roman"/>
          <w:sz w:val="24"/>
          <w:szCs w:val="24"/>
        </w:rPr>
        <w:t xml:space="preserve">The Delaware Supreme Court envisioned that the Rales test would be used in three principal scenarios: (1) where a business decision was made by the board of a company, but </w:t>
      </w:r>
      <w:r w:rsidRPr="005E55B8">
        <w:rPr>
          <w:rFonts w:cs="Times New Roman"/>
          <w:sz w:val="24"/>
          <w:szCs w:val="24"/>
          <w:u w:val="single"/>
        </w:rPr>
        <w:t>a majority of the directors making the decision have been replaced</w:t>
      </w:r>
      <w:r w:rsidRPr="00195A01">
        <w:rPr>
          <w:rFonts w:cs="Times New Roman"/>
          <w:sz w:val="24"/>
          <w:szCs w:val="24"/>
        </w:rPr>
        <w:t>; (2) where the subject of the derivative suit is not a business decision of the board</w:t>
      </w:r>
      <w:r w:rsidR="00172D2E">
        <w:rPr>
          <w:rFonts w:cs="Times New Roman"/>
          <w:sz w:val="24"/>
          <w:szCs w:val="24"/>
        </w:rPr>
        <w:t xml:space="preserve"> [aka </w:t>
      </w:r>
      <w:r w:rsidR="00172D2E" w:rsidRPr="005E55B8">
        <w:rPr>
          <w:rFonts w:cs="Times New Roman"/>
          <w:sz w:val="24"/>
          <w:szCs w:val="24"/>
          <w:highlight w:val="yellow"/>
          <w:u w:val="single"/>
        </w:rPr>
        <w:t>the board didn’t make a decision</w:t>
      </w:r>
      <w:r w:rsidR="00172D2E">
        <w:rPr>
          <w:rFonts w:cs="Times New Roman"/>
          <w:sz w:val="24"/>
          <w:szCs w:val="24"/>
        </w:rPr>
        <w:t>]</w:t>
      </w:r>
      <w:r w:rsidRPr="00195A01">
        <w:rPr>
          <w:rFonts w:cs="Times New Roman"/>
          <w:sz w:val="24"/>
          <w:szCs w:val="24"/>
        </w:rPr>
        <w:t>; and (3) where ... the decision being challenged was made by the board of a different corporation.</w:t>
      </w:r>
    </w:p>
    <w:p w14:paraId="699248F9" w14:textId="77777777" w:rsidR="00195A01" w:rsidRDefault="00195A01" w:rsidP="00554ED0">
      <w:pPr>
        <w:pStyle w:val="ListParagraph"/>
        <w:numPr>
          <w:ilvl w:val="5"/>
          <w:numId w:val="7"/>
        </w:numPr>
        <w:rPr>
          <w:rFonts w:cs="Times New Roman"/>
          <w:sz w:val="24"/>
          <w:szCs w:val="24"/>
        </w:rPr>
      </w:pPr>
      <w:r w:rsidRPr="00195A01">
        <w:rPr>
          <w:rFonts w:cs="Times New Roman"/>
          <w:sz w:val="24"/>
          <w:szCs w:val="24"/>
        </w:rPr>
        <w:lastRenderedPageBreak/>
        <w:t xml:space="preserve"> A director cannot consider a litigation demand under Rales if the director is interested in the alleged wrongdoing, not independent, or would face a “substantial likelihood” of liability if suit were filed. </w:t>
      </w:r>
    </w:p>
    <w:p w14:paraId="281407A1" w14:textId="2C065EA9" w:rsidR="00195A01" w:rsidRPr="00195A01" w:rsidRDefault="00195A01" w:rsidP="00554ED0">
      <w:pPr>
        <w:pStyle w:val="ListParagraph"/>
        <w:numPr>
          <w:ilvl w:val="6"/>
          <w:numId w:val="7"/>
        </w:numPr>
        <w:rPr>
          <w:rFonts w:cs="Times New Roman"/>
          <w:sz w:val="24"/>
          <w:szCs w:val="24"/>
        </w:rPr>
      </w:pPr>
      <w:r w:rsidRPr="00195A01">
        <w:rPr>
          <w:rFonts w:cs="Times New Roman"/>
          <w:sz w:val="24"/>
          <w:szCs w:val="24"/>
        </w:rPr>
        <w:t>A director lacks independence when the director is unable to base his or her decisions on the corporate merits of the issue before the board. Close family relationships, like the parent-child relationship, create a reasonable doubt as to the independence of a director.</w:t>
      </w:r>
    </w:p>
    <w:p w14:paraId="19CF0C83" w14:textId="043705C3" w:rsidR="00214316" w:rsidRDefault="00195A01" w:rsidP="00554ED0">
      <w:pPr>
        <w:pStyle w:val="ListParagraph"/>
        <w:numPr>
          <w:ilvl w:val="6"/>
          <w:numId w:val="7"/>
        </w:numPr>
        <w:rPr>
          <w:rFonts w:cs="Times New Roman"/>
          <w:sz w:val="24"/>
          <w:szCs w:val="24"/>
        </w:rPr>
      </w:pPr>
      <w:r w:rsidRPr="00195A01">
        <w:rPr>
          <w:rFonts w:cs="Times New Roman"/>
          <w:sz w:val="24"/>
          <w:szCs w:val="24"/>
        </w:rPr>
        <w:t>To show that a director faces a “substantial risk of liability,” a plaintiff does not have to demonstrate a reasonable probability of success on the claim…The plaintiff need only “make a threshold showing, through the allegation of particularized facts, that their claims have some merit.”</w:t>
      </w:r>
    </w:p>
    <w:p w14:paraId="14AA6CBC" w14:textId="126AEA08" w:rsidR="00C26F0C" w:rsidRPr="00195A01" w:rsidRDefault="00C26F0C" w:rsidP="00554ED0">
      <w:pPr>
        <w:pStyle w:val="ListParagraph"/>
        <w:numPr>
          <w:ilvl w:val="4"/>
          <w:numId w:val="7"/>
        </w:numPr>
        <w:rPr>
          <w:rFonts w:cs="Times New Roman"/>
          <w:sz w:val="24"/>
          <w:szCs w:val="24"/>
        </w:rPr>
      </w:pPr>
      <w:r>
        <w:rPr>
          <w:rFonts w:cs="Times New Roman"/>
          <w:sz w:val="24"/>
          <w:szCs w:val="24"/>
        </w:rPr>
        <w:t>Test – “whether or not the particularized factual allegations of a derivative stockholder complaint create a reasonable doubt that, as of the time the complaint is filed, the board of directors could have properly exercised its independent and disinterested business judgment in responding to a demand.”</w:t>
      </w:r>
    </w:p>
    <w:p w14:paraId="003D39AD" w14:textId="334DF0F3" w:rsidR="00F73C7E" w:rsidRPr="00443F62" w:rsidRDefault="00F73C7E" w:rsidP="00D926F0">
      <w:pPr>
        <w:pStyle w:val="Heading3"/>
        <w:numPr>
          <w:ilvl w:val="1"/>
          <w:numId w:val="7"/>
        </w:numPr>
      </w:pPr>
      <w:r w:rsidRPr="00443F62">
        <w:t>Derivative v. Direct</w:t>
      </w:r>
    </w:p>
    <w:p w14:paraId="47DA406B" w14:textId="77777777" w:rsidR="00F73C7E" w:rsidRPr="00443F62" w:rsidRDefault="00F73C7E" w:rsidP="00F73C7E">
      <w:pPr>
        <w:pStyle w:val="ListParagraph"/>
        <w:numPr>
          <w:ilvl w:val="2"/>
          <w:numId w:val="7"/>
        </w:numPr>
        <w:rPr>
          <w:rFonts w:cs="Times New Roman"/>
          <w:sz w:val="24"/>
          <w:szCs w:val="24"/>
        </w:rPr>
      </w:pPr>
      <w:r w:rsidRPr="00443F62">
        <w:rPr>
          <w:rFonts w:cs="Times New Roman"/>
          <w:sz w:val="24"/>
          <w:szCs w:val="24"/>
        </w:rPr>
        <w:t>The Distinction</w:t>
      </w:r>
      <w:r w:rsidR="007A67FD">
        <w:rPr>
          <w:rFonts w:cs="Times New Roman"/>
          <w:sz w:val="24"/>
          <w:szCs w:val="24"/>
        </w:rPr>
        <w:t xml:space="preserve"> – if</w:t>
      </w:r>
      <w:r w:rsidR="00645111">
        <w:rPr>
          <w:rFonts w:cs="Times New Roman"/>
          <w:sz w:val="24"/>
          <w:szCs w:val="24"/>
        </w:rPr>
        <w:t xml:space="preserve"> a CEO steals from the shareholders themselves, they have a “direct” claim against the miscreant. If the CEO steals from the firm, they have only a “derivative” claim. </w:t>
      </w:r>
    </w:p>
    <w:p w14:paraId="1AE626E9" w14:textId="77777777" w:rsidR="00F73C7E" w:rsidRDefault="00F43134" w:rsidP="00F43134">
      <w:pPr>
        <w:pStyle w:val="ListParagraph"/>
        <w:numPr>
          <w:ilvl w:val="2"/>
          <w:numId w:val="7"/>
        </w:numPr>
        <w:rPr>
          <w:rFonts w:cs="Times New Roman"/>
          <w:sz w:val="24"/>
          <w:szCs w:val="24"/>
        </w:rPr>
      </w:pPr>
      <w:r w:rsidRPr="00F43134">
        <w:rPr>
          <w:rFonts w:cs="Times New Roman"/>
          <w:sz w:val="24"/>
          <w:szCs w:val="24"/>
        </w:rPr>
        <w:t>Delaware Supreme Court test in determining whether a stockholder’s claim is derivative or direct: (1) who suffered the alleged harm, the corporation or the suing stockholders, individually; and (2) who would receive the benefit of any recovery or other remedy, the corporation or the stockholders, individually.</w:t>
      </w:r>
    </w:p>
    <w:p w14:paraId="717F3CD1" w14:textId="38FC1677" w:rsidR="00645111" w:rsidRPr="00BF77B3" w:rsidRDefault="00F43134" w:rsidP="00BF77B3">
      <w:pPr>
        <w:pStyle w:val="ListParagraph"/>
        <w:numPr>
          <w:ilvl w:val="2"/>
          <w:numId w:val="7"/>
        </w:numPr>
        <w:rPr>
          <w:rFonts w:cs="Times New Roman"/>
          <w:sz w:val="24"/>
          <w:szCs w:val="24"/>
        </w:rPr>
      </w:pPr>
      <w:r>
        <w:rPr>
          <w:rFonts w:cs="Times New Roman"/>
          <w:sz w:val="24"/>
          <w:szCs w:val="24"/>
        </w:rPr>
        <w:t>NY test for determining</w:t>
      </w:r>
      <w:r w:rsidR="00BF77B3">
        <w:rPr>
          <w:rFonts w:cs="Times New Roman"/>
          <w:sz w:val="24"/>
          <w:szCs w:val="24"/>
        </w:rPr>
        <w:t xml:space="preserve"> whether derivative or direct – </w:t>
      </w:r>
      <w:r w:rsidR="00645111" w:rsidRPr="00BF77B3">
        <w:rPr>
          <w:rFonts w:cs="Times New Roman"/>
          <w:b/>
          <w:i/>
          <w:sz w:val="24"/>
          <w:szCs w:val="24"/>
        </w:rPr>
        <w:t>Eisenberg v. Flying Tiger Line, Inc. (2d Cir. 1971)</w:t>
      </w:r>
    </w:p>
    <w:p w14:paraId="394D0F85" w14:textId="6D54D271" w:rsidR="00F43134" w:rsidRDefault="00F43134" w:rsidP="00BF77B3">
      <w:pPr>
        <w:pStyle w:val="ListParagraph"/>
        <w:numPr>
          <w:ilvl w:val="3"/>
          <w:numId w:val="7"/>
        </w:numPr>
        <w:rPr>
          <w:rFonts w:cs="Times New Roman"/>
          <w:sz w:val="24"/>
          <w:szCs w:val="24"/>
        </w:rPr>
      </w:pPr>
      <w:r>
        <w:rPr>
          <w:rFonts w:cs="Times New Roman"/>
          <w:sz w:val="24"/>
          <w:szCs w:val="24"/>
        </w:rPr>
        <w:t xml:space="preserve">Synopsis: The Flying Tiger Corporation interposed a holding company between itself (the operating company) </w:t>
      </w:r>
      <w:r w:rsidR="00554ED0">
        <w:rPr>
          <w:rFonts w:cs="Times New Roman"/>
          <w:sz w:val="24"/>
          <w:szCs w:val="24"/>
        </w:rPr>
        <w:t xml:space="preserve">and its shareholders. Eisenberg’s </w:t>
      </w:r>
      <w:r>
        <w:rPr>
          <w:rFonts w:cs="Times New Roman"/>
          <w:sz w:val="24"/>
          <w:szCs w:val="24"/>
        </w:rPr>
        <w:t xml:space="preserve">interest in the operating company </w:t>
      </w:r>
      <w:r w:rsidR="00554ED0">
        <w:rPr>
          <w:rFonts w:cs="Times New Roman"/>
          <w:sz w:val="24"/>
          <w:szCs w:val="24"/>
        </w:rPr>
        <w:t xml:space="preserve">was </w:t>
      </w:r>
      <w:r>
        <w:rPr>
          <w:rFonts w:cs="Times New Roman"/>
          <w:sz w:val="24"/>
          <w:szCs w:val="24"/>
        </w:rPr>
        <w:t xml:space="preserve">replaced by an interest in a holding company. That holding company, in turn, owned all of the shares of the operating company. Eisenberg brought suit to enjoin the reorganization, because it diluted his voting rights as a minority shareholder. Flying Tiger replied that the suit was derivative and demanded that he post bond required under NY law. 2d Cir. held suit direct </w:t>
      </w:r>
      <w:r w:rsidR="00055090">
        <w:rPr>
          <w:rFonts w:cs="Times New Roman"/>
          <w:sz w:val="24"/>
          <w:szCs w:val="24"/>
        </w:rPr>
        <w:t xml:space="preserve">because it concerned voting rights </w:t>
      </w:r>
      <w:r>
        <w:rPr>
          <w:rFonts w:cs="Times New Roman"/>
          <w:sz w:val="24"/>
          <w:szCs w:val="24"/>
        </w:rPr>
        <w:t>and let it proceed without posting bond.</w:t>
      </w:r>
    </w:p>
    <w:p w14:paraId="5C5922E1" w14:textId="6A1A30A2" w:rsidR="00F43134" w:rsidRDefault="00F43134" w:rsidP="00BF77B3">
      <w:pPr>
        <w:pStyle w:val="ListParagraph"/>
        <w:numPr>
          <w:ilvl w:val="3"/>
          <w:numId w:val="7"/>
        </w:numPr>
        <w:rPr>
          <w:rFonts w:cs="Times New Roman"/>
          <w:sz w:val="24"/>
          <w:szCs w:val="24"/>
        </w:rPr>
      </w:pPr>
      <w:r>
        <w:rPr>
          <w:rFonts w:cs="Times New Roman"/>
          <w:sz w:val="24"/>
          <w:szCs w:val="24"/>
        </w:rPr>
        <w:t>Tool</w:t>
      </w:r>
      <w:r w:rsidR="00554ED0">
        <w:rPr>
          <w:rFonts w:cs="Times New Roman"/>
          <w:sz w:val="24"/>
          <w:szCs w:val="24"/>
        </w:rPr>
        <w:t>:</w:t>
      </w:r>
    </w:p>
    <w:p w14:paraId="629BE91A" w14:textId="24563AED" w:rsidR="00F43134" w:rsidRPr="00F43134" w:rsidRDefault="00A20FA2" w:rsidP="00BF77B3">
      <w:pPr>
        <w:pStyle w:val="ListParagraph"/>
        <w:numPr>
          <w:ilvl w:val="4"/>
          <w:numId w:val="7"/>
        </w:numPr>
        <w:rPr>
          <w:rFonts w:cs="Times New Roman"/>
          <w:sz w:val="24"/>
          <w:szCs w:val="24"/>
        </w:rPr>
      </w:pPr>
      <w:r>
        <w:rPr>
          <w:rFonts w:cs="Times New Roman"/>
          <w:sz w:val="24"/>
          <w:szCs w:val="24"/>
        </w:rPr>
        <w:t>N.Y. Bus.</w:t>
      </w:r>
      <w:r w:rsidR="00F43134" w:rsidRPr="00F43134">
        <w:rPr>
          <w:rFonts w:cs="Times New Roman"/>
          <w:sz w:val="24"/>
          <w:szCs w:val="24"/>
        </w:rPr>
        <w:t xml:space="preserve"> </w:t>
      </w:r>
      <w:r>
        <w:rPr>
          <w:rFonts w:cs="Times New Roman"/>
          <w:sz w:val="24"/>
          <w:szCs w:val="24"/>
        </w:rPr>
        <w:t>Corp.</w:t>
      </w:r>
      <w:r w:rsidR="00F43134" w:rsidRPr="00F43134">
        <w:rPr>
          <w:rFonts w:cs="Times New Roman"/>
          <w:sz w:val="24"/>
          <w:szCs w:val="24"/>
        </w:rPr>
        <w:t xml:space="preserve"> Law § 627 </w:t>
      </w:r>
      <w:r w:rsidR="00554ED0">
        <w:rPr>
          <w:rFonts w:cs="Times New Roman"/>
          <w:sz w:val="24"/>
          <w:szCs w:val="24"/>
        </w:rPr>
        <w:t>– must post bond if derivative suit.</w:t>
      </w:r>
    </w:p>
    <w:p w14:paraId="124A82B5" w14:textId="1A5C1DD1" w:rsidR="00F43134" w:rsidRDefault="00F43134" w:rsidP="00BF77B3">
      <w:pPr>
        <w:pStyle w:val="ListParagraph"/>
        <w:numPr>
          <w:ilvl w:val="4"/>
          <w:numId w:val="7"/>
        </w:numPr>
        <w:rPr>
          <w:rFonts w:cs="Times New Roman"/>
          <w:sz w:val="24"/>
          <w:szCs w:val="24"/>
        </w:rPr>
      </w:pPr>
      <w:r w:rsidRPr="00F43134">
        <w:rPr>
          <w:rFonts w:cs="Times New Roman"/>
          <w:sz w:val="24"/>
          <w:szCs w:val="24"/>
        </w:rPr>
        <w:t>“</w:t>
      </w:r>
      <w:proofErr w:type="gramStart"/>
      <w:r w:rsidRPr="00F43134">
        <w:rPr>
          <w:rFonts w:cs="Times New Roman"/>
          <w:sz w:val="24"/>
          <w:szCs w:val="24"/>
        </w:rPr>
        <w:t>if</w:t>
      </w:r>
      <w:proofErr w:type="gramEnd"/>
      <w:r w:rsidRPr="00F43134">
        <w:rPr>
          <w:rFonts w:cs="Times New Roman"/>
          <w:sz w:val="24"/>
          <w:szCs w:val="24"/>
        </w:rPr>
        <w:t xml:space="preserve"> the gravamen of the complaint is injury to the corporati</w:t>
      </w:r>
      <w:r w:rsidR="00554ED0">
        <w:rPr>
          <w:rFonts w:cs="Times New Roman"/>
          <w:sz w:val="24"/>
          <w:szCs w:val="24"/>
        </w:rPr>
        <w:t xml:space="preserve">on the suit is derivative, but </w:t>
      </w:r>
      <w:r w:rsidRPr="00F43134">
        <w:rPr>
          <w:rFonts w:cs="Times New Roman"/>
          <w:sz w:val="24"/>
          <w:szCs w:val="24"/>
        </w:rPr>
        <w:t xml:space="preserve">if the injury is one to the plaintiff as a stockholder and to him individually and not to the corporation, the suit is individual in nature and may take the form of </w:t>
      </w:r>
      <w:r>
        <w:rPr>
          <w:rFonts w:cs="Times New Roman"/>
          <w:sz w:val="24"/>
          <w:szCs w:val="24"/>
        </w:rPr>
        <w:t>a representative class action.”</w:t>
      </w:r>
    </w:p>
    <w:p w14:paraId="1AB6D16A" w14:textId="163030B3" w:rsidR="00055090" w:rsidRDefault="00055090" w:rsidP="00055090">
      <w:pPr>
        <w:pStyle w:val="ListParagraph"/>
        <w:numPr>
          <w:ilvl w:val="2"/>
          <w:numId w:val="7"/>
        </w:numPr>
        <w:rPr>
          <w:rFonts w:cs="Times New Roman"/>
          <w:sz w:val="24"/>
          <w:szCs w:val="24"/>
        </w:rPr>
      </w:pPr>
      <w:r>
        <w:rPr>
          <w:rFonts w:cs="Times New Roman"/>
          <w:sz w:val="24"/>
          <w:szCs w:val="24"/>
        </w:rPr>
        <w:t>Typical Case Law</w:t>
      </w:r>
    </w:p>
    <w:p w14:paraId="728C94AA" w14:textId="2316527F" w:rsidR="00055090" w:rsidRDefault="00055090" w:rsidP="00055090">
      <w:pPr>
        <w:pStyle w:val="ListParagraph"/>
        <w:numPr>
          <w:ilvl w:val="3"/>
          <w:numId w:val="7"/>
        </w:numPr>
        <w:rPr>
          <w:rFonts w:cs="Times New Roman"/>
          <w:sz w:val="24"/>
          <w:szCs w:val="24"/>
        </w:rPr>
      </w:pPr>
      <w:r>
        <w:rPr>
          <w:rFonts w:cs="Times New Roman"/>
          <w:sz w:val="24"/>
          <w:szCs w:val="24"/>
        </w:rPr>
        <w:t xml:space="preserve">Direct –voting rights, </w:t>
      </w:r>
      <w:r w:rsidR="00723F8D">
        <w:rPr>
          <w:rFonts w:cs="Times New Roman"/>
          <w:sz w:val="24"/>
          <w:szCs w:val="24"/>
        </w:rPr>
        <w:t xml:space="preserve">allocation of value among the classes of stock, </w:t>
      </w:r>
      <w:r>
        <w:rPr>
          <w:rFonts w:cs="Times New Roman"/>
          <w:sz w:val="24"/>
          <w:szCs w:val="24"/>
        </w:rPr>
        <w:t>preemptive rights, dividends, or the right to inspect corporate books.</w:t>
      </w:r>
    </w:p>
    <w:p w14:paraId="6747660B" w14:textId="4B76AEA2" w:rsidR="00055090" w:rsidRDefault="00055090" w:rsidP="00055090">
      <w:pPr>
        <w:pStyle w:val="ListParagraph"/>
        <w:numPr>
          <w:ilvl w:val="3"/>
          <w:numId w:val="7"/>
        </w:numPr>
        <w:rPr>
          <w:rFonts w:cs="Times New Roman"/>
          <w:sz w:val="24"/>
          <w:szCs w:val="24"/>
        </w:rPr>
      </w:pPr>
      <w:r>
        <w:rPr>
          <w:rFonts w:cs="Times New Roman"/>
          <w:sz w:val="24"/>
          <w:szCs w:val="24"/>
        </w:rPr>
        <w:t>Derivative –violation of duties of care or loyalty</w:t>
      </w:r>
      <w:r w:rsidR="00723F8D">
        <w:rPr>
          <w:rFonts w:cs="Times New Roman"/>
          <w:sz w:val="24"/>
          <w:szCs w:val="24"/>
        </w:rPr>
        <w:t>, loss to the corporation</w:t>
      </w:r>
    </w:p>
    <w:p w14:paraId="4F8521AF" w14:textId="77777777" w:rsidR="00A20FA2" w:rsidRDefault="00A20FA2" w:rsidP="00A20FA2">
      <w:pPr>
        <w:pStyle w:val="ListParagraph"/>
        <w:numPr>
          <w:ilvl w:val="2"/>
          <w:numId w:val="7"/>
        </w:numPr>
        <w:rPr>
          <w:rFonts w:cs="Times New Roman"/>
          <w:sz w:val="24"/>
          <w:szCs w:val="24"/>
        </w:rPr>
      </w:pPr>
      <w:r>
        <w:rPr>
          <w:rFonts w:cs="Times New Roman"/>
          <w:sz w:val="24"/>
          <w:szCs w:val="24"/>
        </w:rPr>
        <w:t>Why It Matters</w:t>
      </w:r>
    </w:p>
    <w:p w14:paraId="416A1ECD" w14:textId="77777777" w:rsidR="00A20FA2" w:rsidRDefault="00A20FA2" w:rsidP="00A20FA2">
      <w:pPr>
        <w:pStyle w:val="ListParagraph"/>
        <w:numPr>
          <w:ilvl w:val="3"/>
          <w:numId w:val="7"/>
        </w:numPr>
        <w:rPr>
          <w:rFonts w:cs="Times New Roman"/>
          <w:sz w:val="24"/>
          <w:szCs w:val="24"/>
        </w:rPr>
      </w:pPr>
      <w:r>
        <w:rPr>
          <w:rFonts w:cs="Times New Roman"/>
          <w:sz w:val="24"/>
          <w:szCs w:val="24"/>
        </w:rPr>
        <w:t xml:space="preserve">Shareholders like Eisenberg in </w:t>
      </w:r>
      <w:r>
        <w:rPr>
          <w:rFonts w:cs="Times New Roman"/>
          <w:i/>
          <w:sz w:val="24"/>
          <w:szCs w:val="24"/>
        </w:rPr>
        <w:t>Flying Tiger</w:t>
      </w:r>
      <w:r>
        <w:rPr>
          <w:rFonts w:cs="Times New Roman"/>
          <w:sz w:val="24"/>
          <w:szCs w:val="24"/>
        </w:rPr>
        <w:t xml:space="preserve"> disguise suits for corporate wrongs as direct suits to avoid the bond-posting requirement.</w:t>
      </w:r>
    </w:p>
    <w:p w14:paraId="1F2C6B5A" w14:textId="77777777" w:rsidR="00A20FA2" w:rsidRDefault="00A20FA2" w:rsidP="00A20FA2">
      <w:pPr>
        <w:pStyle w:val="ListParagraph"/>
        <w:numPr>
          <w:ilvl w:val="3"/>
          <w:numId w:val="7"/>
        </w:numPr>
        <w:rPr>
          <w:rFonts w:cs="Times New Roman"/>
          <w:sz w:val="24"/>
          <w:szCs w:val="24"/>
        </w:rPr>
      </w:pPr>
      <w:r>
        <w:rPr>
          <w:rFonts w:cs="Times New Roman"/>
          <w:sz w:val="24"/>
          <w:szCs w:val="24"/>
        </w:rPr>
        <w:t>N.Y. Bus.</w:t>
      </w:r>
      <w:r w:rsidRPr="00F43134">
        <w:rPr>
          <w:rFonts w:cs="Times New Roman"/>
          <w:sz w:val="24"/>
          <w:szCs w:val="24"/>
        </w:rPr>
        <w:t xml:space="preserve"> </w:t>
      </w:r>
      <w:r>
        <w:rPr>
          <w:rFonts w:cs="Times New Roman"/>
          <w:sz w:val="24"/>
          <w:szCs w:val="24"/>
        </w:rPr>
        <w:t>Corp.</w:t>
      </w:r>
      <w:r w:rsidRPr="00F43134">
        <w:rPr>
          <w:rFonts w:cs="Times New Roman"/>
          <w:sz w:val="24"/>
          <w:szCs w:val="24"/>
        </w:rPr>
        <w:t xml:space="preserve"> Law § 627</w:t>
      </w:r>
    </w:p>
    <w:p w14:paraId="061F1D1D" w14:textId="7C4EC93D" w:rsidR="00A20FA2" w:rsidRDefault="00A20FA2" w:rsidP="00A20FA2">
      <w:pPr>
        <w:pStyle w:val="ListParagraph"/>
        <w:numPr>
          <w:ilvl w:val="4"/>
          <w:numId w:val="7"/>
        </w:numPr>
        <w:rPr>
          <w:rFonts w:cs="Times New Roman"/>
          <w:sz w:val="24"/>
          <w:szCs w:val="24"/>
        </w:rPr>
      </w:pPr>
      <w:r>
        <w:rPr>
          <w:rFonts w:cs="Times New Roman"/>
          <w:sz w:val="24"/>
          <w:szCs w:val="24"/>
        </w:rPr>
        <w:t>P must file a bond onl</w:t>
      </w:r>
      <w:r w:rsidR="00554ED0">
        <w:rPr>
          <w:rFonts w:cs="Times New Roman"/>
          <w:sz w:val="24"/>
          <w:szCs w:val="24"/>
        </w:rPr>
        <w:t>y in derivative suits</w:t>
      </w:r>
      <w:r>
        <w:rPr>
          <w:rFonts w:cs="Times New Roman"/>
          <w:sz w:val="24"/>
          <w:szCs w:val="24"/>
        </w:rPr>
        <w:t xml:space="preserve">. </w:t>
      </w:r>
    </w:p>
    <w:p w14:paraId="72AC8499" w14:textId="08FEAECD" w:rsidR="00A20FA2" w:rsidRDefault="00A20FA2" w:rsidP="00A20FA2">
      <w:pPr>
        <w:pStyle w:val="ListParagraph"/>
        <w:numPr>
          <w:ilvl w:val="4"/>
          <w:numId w:val="7"/>
        </w:numPr>
        <w:rPr>
          <w:rFonts w:cs="Times New Roman"/>
          <w:sz w:val="24"/>
          <w:szCs w:val="24"/>
        </w:rPr>
      </w:pPr>
      <w:r>
        <w:rPr>
          <w:rFonts w:cs="Times New Roman"/>
          <w:sz w:val="24"/>
          <w:szCs w:val="24"/>
        </w:rPr>
        <w:t>P need not file it if they hold more than 5% of firm’s stock or stock wor</w:t>
      </w:r>
      <w:r w:rsidR="00714487">
        <w:rPr>
          <w:rFonts w:cs="Times New Roman"/>
          <w:sz w:val="24"/>
          <w:szCs w:val="24"/>
        </w:rPr>
        <w:t>th more than $50K</w:t>
      </w:r>
    </w:p>
    <w:p w14:paraId="5F67E215" w14:textId="25D4ED50" w:rsidR="00A20FA2" w:rsidRDefault="00A20FA2" w:rsidP="00A20FA2">
      <w:pPr>
        <w:pStyle w:val="ListParagraph"/>
        <w:numPr>
          <w:ilvl w:val="4"/>
          <w:numId w:val="7"/>
        </w:numPr>
        <w:rPr>
          <w:rFonts w:cs="Times New Roman"/>
          <w:sz w:val="24"/>
          <w:szCs w:val="24"/>
        </w:rPr>
      </w:pPr>
      <w:r>
        <w:rPr>
          <w:rFonts w:cs="Times New Roman"/>
          <w:sz w:val="24"/>
          <w:szCs w:val="24"/>
        </w:rPr>
        <w:t>If the rule applies, D firm may demand that P post a bond for</w:t>
      </w:r>
      <w:r w:rsidR="00554ED0">
        <w:rPr>
          <w:rFonts w:cs="Times New Roman"/>
          <w:sz w:val="24"/>
          <w:szCs w:val="24"/>
        </w:rPr>
        <w:t xml:space="preserve"> its legal expenses</w:t>
      </w:r>
      <w:r>
        <w:rPr>
          <w:rFonts w:cs="Times New Roman"/>
          <w:sz w:val="24"/>
          <w:szCs w:val="24"/>
        </w:rPr>
        <w:t xml:space="preserve">. </w:t>
      </w:r>
    </w:p>
    <w:p w14:paraId="2F592D40" w14:textId="3CCE513B" w:rsidR="00A20FA2" w:rsidRDefault="00A20FA2" w:rsidP="00A20FA2">
      <w:pPr>
        <w:pStyle w:val="ListParagraph"/>
        <w:numPr>
          <w:ilvl w:val="4"/>
          <w:numId w:val="7"/>
        </w:numPr>
        <w:rPr>
          <w:rFonts w:cs="Times New Roman"/>
          <w:sz w:val="24"/>
          <w:szCs w:val="24"/>
        </w:rPr>
      </w:pPr>
      <w:r>
        <w:rPr>
          <w:rFonts w:cs="Times New Roman"/>
          <w:sz w:val="24"/>
          <w:szCs w:val="24"/>
        </w:rPr>
        <w:t>The bond must cover not just the fir</w:t>
      </w:r>
      <w:r w:rsidR="00554ED0">
        <w:rPr>
          <w:rFonts w:cs="Times New Roman"/>
          <w:sz w:val="24"/>
          <w:szCs w:val="24"/>
        </w:rPr>
        <w:t>m’s own expenses</w:t>
      </w:r>
      <w:r>
        <w:rPr>
          <w:rFonts w:cs="Times New Roman"/>
          <w:sz w:val="24"/>
          <w:szCs w:val="24"/>
        </w:rPr>
        <w:t>, but those of the other Ds for which it will becom</w:t>
      </w:r>
      <w:r w:rsidR="00554ED0">
        <w:rPr>
          <w:rFonts w:cs="Times New Roman"/>
          <w:sz w:val="24"/>
          <w:szCs w:val="24"/>
        </w:rPr>
        <w:t>e liable as well</w:t>
      </w:r>
      <w:r>
        <w:rPr>
          <w:rFonts w:cs="Times New Roman"/>
          <w:sz w:val="24"/>
          <w:szCs w:val="24"/>
        </w:rPr>
        <w:t xml:space="preserve">. </w:t>
      </w:r>
    </w:p>
    <w:p w14:paraId="0B29C021" w14:textId="43887FCF" w:rsidR="00A20FA2" w:rsidRPr="00A20FA2" w:rsidRDefault="00A20FA2" w:rsidP="00A20FA2">
      <w:pPr>
        <w:pStyle w:val="ListParagraph"/>
        <w:numPr>
          <w:ilvl w:val="4"/>
          <w:numId w:val="7"/>
        </w:numPr>
        <w:rPr>
          <w:rFonts w:cs="Times New Roman"/>
          <w:sz w:val="24"/>
          <w:szCs w:val="24"/>
        </w:rPr>
      </w:pPr>
      <w:r>
        <w:rPr>
          <w:rFonts w:cs="Times New Roman"/>
          <w:sz w:val="24"/>
          <w:szCs w:val="24"/>
        </w:rPr>
        <w:lastRenderedPageBreak/>
        <w:t>At the end of the litigation, the court will order the bond paid to t</w:t>
      </w:r>
      <w:r w:rsidR="00554ED0">
        <w:rPr>
          <w:rFonts w:cs="Times New Roman"/>
          <w:sz w:val="24"/>
          <w:szCs w:val="24"/>
        </w:rPr>
        <w:t>he firm to cover those costs.</w:t>
      </w:r>
    </w:p>
    <w:p w14:paraId="5BBC573A" w14:textId="2EC25DDD" w:rsidR="00F73C7E" w:rsidRPr="008716F6" w:rsidRDefault="00F73C7E" w:rsidP="00D926F0">
      <w:pPr>
        <w:pStyle w:val="Heading2"/>
        <w:numPr>
          <w:ilvl w:val="0"/>
          <w:numId w:val="7"/>
        </w:numPr>
      </w:pPr>
      <w:r w:rsidRPr="008716F6">
        <w:t>Shareholders and Corporate Purpose</w:t>
      </w:r>
    </w:p>
    <w:p w14:paraId="03A18B67" w14:textId="65676BC9" w:rsidR="008716F6" w:rsidRPr="00BF77B3" w:rsidRDefault="008716F6" w:rsidP="00BF77B3">
      <w:pPr>
        <w:pStyle w:val="Heading3"/>
        <w:numPr>
          <w:ilvl w:val="1"/>
          <w:numId w:val="7"/>
        </w:numPr>
        <w:rPr>
          <w:rFonts w:cs="Times New Roman"/>
          <w:i/>
        </w:rPr>
      </w:pPr>
      <w:r>
        <w:t>Primary</w:t>
      </w:r>
      <w:r w:rsidRPr="00443F62">
        <w:t xml:space="preserve"> Purpose</w:t>
      </w:r>
      <w:r w:rsidR="00BF77B3">
        <w:t xml:space="preserve"> is</w:t>
      </w:r>
      <w:r w:rsidR="00BF77B3">
        <w:rPr>
          <w:rFonts w:cs="Times New Roman"/>
        </w:rPr>
        <w:t xml:space="preserve"> to Benefit S</w:t>
      </w:r>
      <w:r>
        <w:rPr>
          <w:rFonts w:cs="Times New Roman"/>
        </w:rPr>
        <w:t xml:space="preserve">hareholders – </w:t>
      </w:r>
      <w:r w:rsidRPr="00BF77B3">
        <w:rPr>
          <w:rFonts w:cs="Times New Roman"/>
          <w:i/>
        </w:rPr>
        <w:t>Dodge v. Ford Motor Co. (Mich. 1919)</w:t>
      </w:r>
    </w:p>
    <w:p w14:paraId="676D983A" w14:textId="77777777" w:rsidR="008716F6" w:rsidRPr="00EC442C" w:rsidRDefault="008716F6" w:rsidP="00BF77B3">
      <w:pPr>
        <w:pStyle w:val="ListParagraph"/>
        <w:numPr>
          <w:ilvl w:val="2"/>
          <w:numId w:val="7"/>
        </w:numPr>
        <w:rPr>
          <w:rFonts w:cs="Times New Roman"/>
          <w:sz w:val="24"/>
          <w:szCs w:val="24"/>
        </w:rPr>
      </w:pPr>
      <w:r w:rsidRPr="00EC442C">
        <w:rPr>
          <w:rFonts w:cs="Times New Roman"/>
          <w:sz w:val="24"/>
          <w:szCs w:val="24"/>
        </w:rPr>
        <w:t>Syno</w:t>
      </w:r>
      <w:r>
        <w:rPr>
          <w:rFonts w:cs="Times New Roman"/>
          <w:sz w:val="24"/>
          <w:szCs w:val="24"/>
        </w:rPr>
        <w:t>psis: Shareholders, Dodge brothers</w:t>
      </w:r>
      <w:r w:rsidRPr="00EC442C">
        <w:rPr>
          <w:rFonts w:cs="Times New Roman"/>
          <w:sz w:val="24"/>
          <w:szCs w:val="24"/>
        </w:rPr>
        <w:t xml:space="preserve"> (P), </w:t>
      </w:r>
      <w:r>
        <w:rPr>
          <w:rFonts w:cs="Times New Roman"/>
          <w:sz w:val="24"/>
          <w:szCs w:val="24"/>
        </w:rPr>
        <w:t>sued to force</w:t>
      </w:r>
      <w:r w:rsidRPr="00EC442C">
        <w:rPr>
          <w:rFonts w:cs="Times New Roman"/>
          <w:sz w:val="24"/>
          <w:szCs w:val="24"/>
        </w:rPr>
        <w:t xml:space="preserve"> Ford Motor Company (D), </w:t>
      </w:r>
      <w:r>
        <w:rPr>
          <w:rFonts w:cs="Times New Roman"/>
          <w:sz w:val="24"/>
          <w:szCs w:val="24"/>
        </w:rPr>
        <w:t xml:space="preserve">with Henry Ford as CEO, </w:t>
      </w:r>
      <w:r w:rsidRPr="00EC442C">
        <w:rPr>
          <w:rFonts w:cs="Times New Roman"/>
          <w:sz w:val="24"/>
          <w:szCs w:val="24"/>
        </w:rPr>
        <w:t xml:space="preserve">to pay a more substantial dividend </w:t>
      </w:r>
      <w:r>
        <w:rPr>
          <w:rFonts w:cs="Times New Roman"/>
          <w:sz w:val="24"/>
          <w:szCs w:val="24"/>
        </w:rPr>
        <w:t>and enjoin the new River Rouge complex</w:t>
      </w:r>
      <w:r w:rsidRPr="00EC442C">
        <w:rPr>
          <w:rFonts w:cs="Times New Roman"/>
          <w:sz w:val="24"/>
          <w:szCs w:val="24"/>
        </w:rPr>
        <w:t>.</w:t>
      </w:r>
      <w:r>
        <w:rPr>
          <w:rFonts w:cs="Times New Roman"/>
          <w:sz w:val="24"/>
          <w:szCs w:val="24"/>
        </w:rPr>
        <w:t xml:space="preserve"> Court held that </w:t>
      </w:r>
      <w:r w:rsidRPr="00EC442C">
        <w:rPr>
          <w:rFonts w:cs="Times New Roman"/>
          <w:sz w:val="24"/>
          <w:szCs w:val="24"/>
        </w:rPr>
        <w:t xml:space="preserve">Ps are entitled to a more equitable-sized dividend, but the court will not interfere with D’s business judgments regarding the price set on the manufactured products or the decision to expand the business. </w:t>
      </w:r>
      <w:r w:rsidRPr="00EC442C">
        <w:rPr>
          <w:rFonts w:cs="Times New Roman"/>
          <w:sz w:val="24"/>
          <w:szCs w:val="24"/>
          <w:u w:val="single"/>
        </w:rPr>
        <w:t>Courts generally evaluate dividends by the business judgment rule. But the court found that “the refusal to declare and pay further dividends appears to be not an exercise of discretion on the part of the directors, but an arbitrary refusal to do what the circumstances required to be done.”</w:t>
      </w:r>
    </w:p>
    <w:p w14:paraId="7275D08B" w14:textId="77777777" w:rsidR="008716F6" w:rsidRDefault="008716F6" w:rsidP="00BF77B3">
      <w:pPr>
        <w:pStyle w:val="ListParagraph"/>
        <w:numPr>
          <w:ilvl w:val="2"/>
          <w:numId w:val="7"/>
        </w:numPr>
        <w:rPr>
          <w:rFonts w:cs="Times New Roman"/>
          <w:sz w:val="24"/>
          <w:szCs w:val="24"/>
        </w:rPr>
      </w:pPr>
      <w:r>
        <w:rPr>
          <w:rFonts w:cs="Times New Roman"/>
          <w:sz w:val="24"/>
          <w:szCs w:val="24"/>
        </w:rPr>
        <w:t>Tool:</w:t>
      </w:r>
      <w:r w:rsidRPr="00EC442C">
        <w:rPr>
          <w:rFonts w:cs="Times New Roman"/>
          <w:sz w:val="24"/>
          <w:szCs w:val="24"/>
        </w:rPr>
        <w:t xml:space="preserve"> </w:t>
      </w:r>
    </w:p>
    <w:p w14:paraId="2CCE5EC8" w14:textId="77777777" w:rsidR="008716F6" w:rsidRDefault="008716F6" w:rsidP="00BF77B3">
      <w:pPr>
        <w:pStyle w:val="ListParagraph"/>
        <w:numPr>
          <w:ilvl w:val="3"/>
          <w:numId w:val="7"/>
        </w:numPr>
        <w:rPr>
          <w:rFonts w:cs="Times New Roman"/>
          <w:sz w:val="24"/>
          <w:szCs w:val="24"/>
        </w:rPr>
      </w:pPr>
      <w:r w:rsidRPr="00EC442C">
        <w:rPr>
          <w:rFonts w:cs="Times New Roman"/>
          <w:sz w:val="24"/>
          <w:szCs w:val="24"/>
        </w:rPr>
        <w:t>“It is a well-recognized principle of law that the directors of a corporation, and they alone, have the power to declare a dividend of the earnings of the corporation, and to determine its amount… Courts of equity will not interfere in the management of the directors unless it is clearly made to appear that they are guilty of fraud or misappropriation of the corporate funds, or refuse to declare a dividend when the corporation has a surplus of net profits which it can, without detriment to its business, divide among its stockholders, and when a refusal to do so would amount to such an abuse of discretion as would constitute a fraud, or breach of that good faith which they are bound to exercise towards the stockholders.”</w:t>
      </w:r>
    </w:p>
    <w:p w14:paraId="0416E2EB" w14:textId="77777777" w:rsidR="008716F6" w:rsidRDefault="008716F6" w:rsidP="00BF77B3">
      <w:pPr>
        <w:pStyle w:val="ListParagraph"/>
        <w:numPr>
          <w:ilvl w:val="3"/>
          <w:numId w:val="7"/>
        </w:numPr>
        <w:rPr>
          <w:rFonts w:cs="Times New Roman"/>
          <w:sz w:val="24"/>
          <w:szCs w:val="24"/>
        </w:rPr>
      </w:pPr>
      <w:r>
        <w:rPr>
          <w:rFonts w:cs="Times New Roman"/>
          <w:sz w:val="24"/>
          <w:szCs w:val="24"/>
        </w:rPr>
        <w:t>“[I]t is not within the lawful powers of a board of directors to shape and conduct the affairs of a corporation for the merely incidental benefit of shareholders and for the primary purpose of benefiting other, and no one will contend that, if the avowed purpose of the defendant directors was to sacrifice the interests of shareholders, it would not be the duty of the courts to intervene.”</w:t>
      </w:r>
    </w:p>
    <w:p w14:paraId="222F7B15" w14:textId="47035098" w:rsidR="00F73C7E" w:rsidRPr="00443F62" w:rsidRDefault="00F73C7E" w:rsidP="00D926F0">
      <w:pPr>
        <w:pStyle w:val="Heading3"/>
        <w:numPr>
          <w:ilvl w:val="1"/>
          <w:numId w:val="7"/>
        </w:numPr>
      </w:pPr>
      <w:r w:rsidRPr="00443F62">
        <w:t>Charitable Giving</w:t>
      </w:r>
    </w:p>
    <w:p w14:paraId="17459FF4" w14:textId="7122278C" w:rsidR="00EF1F87" w:rsidRPr="008716F6" w:rsidRDefault="008716F6" w:rsidP="008716F6">
      <w:pPr>
        <w:pStyle w:val="ListParagraph"/>
        <w:numPr>
          <w:ilvl w:val="2"/>
          <w:numId w:val="7"/>
        </w:numPr>
        <w:rPr>
          <w:rFonts w:cs="Times New Roman"/>
          <w:sz w:val="24"/>
          <w:szCs w:val="24"/>
        </w:rPr>
      </w:pPr>
      <w:r>
        <w:rPr>
          <w:rFonts w:cs="Times New Roman"/>
          <w:sz w:val="24"/>
          <w:szCs w:val="24"/>
        </w:rPr>
        <w:t xml:space="preserve">Rule – </w:t>
      </w:r>
      <w:r w:rsidR="00EF1F87" w:rsidRPr="008716F6">
        <w:rPr>
          <w:rFonts w:cs="Times New Roman"/>
          <w:sz w:val="24"/>
          <w:szCs w:val="24"/>
        </w:rPr>
        <w:t>“Every corporation created under this chapter shall have the power to</w:t>
      </w:r>
      <w:proofErr w:type="gramStart"/>
      <w:r w:rsidR="00EF1F87" w:rsidRPr="008716F6">
        <w:rPr>
          <w:rFonts w:cs="Times New Roman"/>
          <w:sz w:val="24"/>
          <w:szCs w:val="24"/>
        </w:rPr>
        <w:t>…(</w:t>
      </w:r>
      <w:proofErr w:type="gramEnd"/>
      <w:r w:rsidR="00EF1F87" w:rsidRPr="008716F6">
        <w:rPr>
          <w:rFonts w:cs="Times New Roman"/>
          <w:sz w:val="24"/>
          <w:szCs w:val="24"/>
        </w:rPr>
        <w:t xml:space="preserve">9) Make donation for the public welfare or for charitable, scientific or educational purposes, and in time of war or other national emergency in aid thereof…” </w:t>
      </w:r>
      <w:r w:rsidRPr="008716F6">
        <w:rPr>
          <w:rFonts w:cs="Times New Roman"/>
          <w:sz w:val="24"/>
          <w:szCs w:val="24"/>
        </w:rPr>
        <w:t>Del. Gen. Corp. L. § 122.</w:t>
      </w:r>
    </w:p>
    <w:p w14:paraId="65160385" w14:textId="6F8274AC" w:rsidR="00EF1F87" w:rsidRDefault="008716F6" w:rsidP="008716F6">
      <w:pPr>
        <w:pStyle w:val="ListParagraph"/>
        <w:numPr>
          <w:ilvl w:val="2"/>
          <w:numId w:val="7"/>
        </w:numPr>
        <w:rPr>
          <w:rFonts w:cs="Times New Roman"/>
          <w:sz w:val="24"/>
          <w:szCs w:val="24"/>
        </w:rPr>
      </w:pPr>
      <w:r>
        <w:rPr>
          <w:rFonts w:cs="Times New Roman"/>
          <w:sz w:val="24"/>
          <w:szCs w:val="24"/>
        </w:rPr>
        <w:t>Application – C</w:t>
      </w:r>
      <w:r w:rsidR="00EF1F87" w:rsidRPr="00EF1F87">
        <w:rPr>
          <w:rFonts w:cs="Times New Roman"/>
          <w:sz w:val="24"/>
          <w:szCs w:val="24"/>
        </w:rPr>
        <w:t>ourt</w:t>
      </w:r>
      <w:r>
        <w:rPr>
          <w:rFonts w:cs="Times New Roman"/>
          <w:sz w:val="24"/>
          <w:szCs w:val="24"/>
        </w:rPr>
        <w:t xml:space="preserve">s have been extremely tolerant </w:t>
      </w:r>
      <w:r w:rsidR="00EF1F87" w:rsidRPr="00EF1F87">
        <w:rPr>
          <w:rFonts w:cs="Times New Roman"/>
          <w:sz w:val="24"/>
          <w:szCs w:val="24"/>
        </w:rPr>
        <w:t>in accepting the business judgment of the officers</w:t>
      </w:r>
      <w:r>
        <w:rPr>
          <w:rFonts w:cs="Times New Roman"/>
          <w:sz w:val="24"/>
          <w:szCs w:val="24"/>
        </w:rPr>
        <w:t xml:space="preserve"> and directors of corporations </w:t>
      </w:r>
      <w:r w:rsidR="00EF1F87" w:rsidRPr="00EF1F87">
        <w:rPr>
          <w:rFonts w:cs="Times New Roman"/>
          <w:sz w:val="24"/>
          <w:szCs w:val="24"/>
        </w:rPr>
        <w:t>about whether a charitable donation w</w:t>
      </w:r>
      <w:r>
        <w:rPr>
          <w:rFonts w:cs="Times New Roman"/>
          <w:sz w:val="24"/>
          <w:szCs w:val="24"/>
        </w:rPr>
        <w:t>ill be good for the corporation.</w:t>
      </w:r>
    </w:p>
    <w:p w14:paraId="1891E1C8" w14:textId="77777777" w:rsidR="00234005" w:rsidRPr="00BF77B3" w:rsidRDefault="00234005" w:rsidP="00234005">
      <w:pPr>
        <w:pStyle w:val="ListParagraph"/>
        <w:numPr>
          <w:ilvl w:val="2"/>
          <w:numId w:val="7"/>
        </w:numPr>
        <w:rPr>
          <w:rFonts w:cs="Times New Roman"/>
          <w:b/>
          <w:sz w:val="24"/>
          <w:szCs w:val="24"/>
        </w:rPr>
      </w:pPr>
      <w:r w:rsidRPr="00BF77B3">
        <w:rPr>
          <w:rFonts w:cs="Times New Roman"/>
          <w:b/>
          <w:i/>
          <w:sz w:val="24"/>
          <w:szCs w:val="24"/>
        </w:rPr>
        <w:t>A.P. Smith Mfg. Co. v. Barlow (US 1953)</w:t>
      </w:r>
    </w:p>
    <w:p w14:paraId="2F8F6EAE" w14:textId="7AC2DEB2" w:rsidR="00EF1F87" w:rsidRPr="00443F62" w:rsidRDefault="00234005" w:rsidP="00EF1F87">
      <w:pPr>
        <w:pStyle w:val="ListParagraph"/>
        <w:numPr>
          <w:ilvl w:val="3"/>
          <w:numId w:val="7"/>
        </w:numPr>
        <w:rPr>
          <w:rFonts w:cs="Times New Roman"/>
          <w:sz w:val="24"/>
          <w:szCs w:val="24"/>
        </w:rPr>
      </w:pPr>
      <w:r>
        <w:rPr>
          <w:rFonts w:cs="Times New Roman"/>
          <w:sz w:val="24"/>
          <w:szCs w:val="24"/>
        </w:rPr>
        <w:t>Background: NJ</w:t>
      </w:r>
      <w:r w:rsidR="00EF1F87">
        <w:rPr>
          <w:rFonts w:cs="Times New Roman"/>
          <w:sz w:val="24"/>
          <w:szCs w:val="24"/>
        </w:rPr>
        <w:t xml:space="preserve"> did not pass </w:t>
      </w:r>
      <w:r>
        <w:rPr>
          <w:rFonts w:cs="Times New Roman"/>
          <w:sz w:val="24"/>
          <w:szCs w:val="24"/>
        </w:rPr>
        <w:t xml:space="preserve">statute authorizing charitable gifts </w:t>
      </w:r>
      <w:r w:rsidR="00EF1F87">
        <w:rPr>
          <w:rFonts w:cs="Times New Roman"/>
          <w:sz w:val="24"/>
          <w:szCs w:val="24"/>
        </w:rPr>
        <w:t>until 1930 but many companies had charters that dated from earlier years. These firms needed assurance that the 1930 law applied to them too</w:t>
      </w:r>
      <w:r>
        <w:rPr>
          <w:rFonts w:cs="Times New Roman"/>
          <w:sz w:val="24"/>
          <w:szCs w:val="24"/>
        </w:rPr>
        <w:t xml:space="preserve">. </w:t>
      </w:r>
    </w:p>
    <w:p w14:paraId="2C95C574" w14:textId="77777777" w:rsidR="00EF1F87" w:rsidRDefault="00EF1F87" w:rsidP="00EF1F87">
      <w:pPr>
        <w:pStyle w:val="ListParagraph"/>
        <w:numPr>
          <w:ilvl w:val="3"/>
          <w:numId w:val="7"/>
        </w:numPr>
        <w:rPr>
          <w:rFonts w:cs="Times New Roman"/>
          <w:sz w:val="24"/>
          <w:szCs w:val="24"/>
        </w:rPr>
      </w:pPr>
      <w:r>
        <w:rPr>
          <w:rFonts w:cs="Times New Roman"/>
          <w:sz w:val="24"/>
          <w:szCs w:val="24"/>
        </w:rPr>
        <w:t xml:space="preserve">Synopsis: </w:t>
      </w:r>
      <w:r w:rsidRPr="00EF1F87">
        <w:rPr>
          <w:rFonts w:cs="Times New Roman"/>
          <w:sz w:val="24"/>
          <w:szCs w:val="24"/>
        </w:rPr>
        <w:t xml:space="preserve">A.P. Smith, a fire hydrant firm, (D) donated $1,500 to Princeton. Shareholder Barlow (P) sued to stop the gift. Although a state statute allows corporations to contribute to charities, D asserts that (1) the corporation’s certificate of incorporation does not allow the gift, and (2) the corporation was incorporated prior to the NJ statute that authorizes the gift-giving. </w:t>
      </w:r>
    </w:p>
    <w:p w14:paraId="08C4CE7B" w14:textId="77777777" w:rsidR="00EF1F87" w:rsidRDefault="00EF1F87" w:rsidP="00EF1F87">
      <w:pPr>
        <w:pStyle w:val="ListParagraph"/>
        <w:numPr>
          <w:ilvl w:val="3"/>
          <w:numId w:val="7"/>
        </w:numPr>
        <w:rPr>
          <w:rFonts w:cs="Times New Roman"/>
          <w:sz w:val="24"/>
          <w:szCs w:val="24"/>
        </w:rPr>
      </w:pPr>
      <w:r>
        <w:rPr>
          <w:rFonts w:cs="Times New Roman"/>
          <w:sz w:val="24"/>
          <w:szCs w:val="24"/>
        </w:rPr>
        <w:t xml:space="preserve">Tool: </w:t>
      </w:r>
      <w:r w:rsidRPr="00EF1F87">
        <w:rPr>
          <w:rFonts w:cs="Times New Roman"/>
          <w:sz w:val="24"/>
          <w:szCs w:val="24"/>
        </w:rPr>
        <w:t>Corporate gift-giving is an allowable method of increasing goodwill, but the gift should be less than 1% of capital and surplus and directed to an institution owning no more than 10% of the company stock.</w:t>
      </w:r>
      <w:r>
        <w:rPr>
          <w:rFonts w:cs="Times New Roman"/>
          <w:sz w:val="24"/>
          <w:szCs w:val="24"/>
        </w:rPr>
        <w:t xml:space="preserve"> </w:t>
      </w:r>
    </w:p>
    <w:p w14:paraId="01320846" w14:textId="77777777" w:rsidR="00EF1F87" w:rsidRPr="00EF1F87" w:rsidRDefault="00EF1F87" w:rsidP="00EF1F87">
      <w:pPr>
        <w:pStyle w:val="ListParagraph"/>
        <w:numPr>
          <w:ilvl w:val="3"/>
          <w:numId w:val="7"/>
        </w:numPr>
        <w:rPr>
          <w:rFonts w:cs="Times New Roman"/>
          <w:sz w:val="24"/>
          <w:szCs w:val="24"/>
        </w:rPr>
      </w:pPr>
      <w:r w:rsidRPr="00EF1F87">
        <w:rPr>
          <w:rFonts w:cs="Times New Roman"/>
          <w:sz w:val="24"/>
          <w:szCs w:val="24"/>
        </w:rPr>
        <w:t>Note: The court did not accept Ds’ reasoning that the donation was not allowed because the corporation preceded the statute authorizing the gift-giving. The court explained that the potentially infinite lifespan of corporations would lead to corporations a varying ages to live under various sets of laws.</w:t>
      </w:r>
    </w:p>
    <w:p w14:paraId="0B09F911" w14:textId="64D7A59F" w:rsidR="00EC442C" w:rsidRPr="00BF77B3" w:rsidRDefault="008716F6" w:rsidP="00BF77B3">
      <w:pPr>
        <w:pStyle w:val="Heading3"/>
        <w:numPr>
          <w:ilvl w:val="1"/>
          <w:numId w:val="7"/>
        </w:numPr>
      </w:pPr>
      <w:r>
        <w:t>Altruistic Purpose Permitted</w:t>
      </w:r>
      <w:r w:rsidR="00BF77B3">
        <w:t xml:space="preserve"> – </w:t>
      </w:r>
      <w:proofErr w:type="spellStart"/>
      <w:r w:rsidR="00EC442C" w:rsidRPr="00BF77B3">
        <w:rPr>
          <w:rFonts w:cs="Times New Roman"/>
          <w:i/>
        </w:rPr>
        <w:t>Schlensky</w:t>
      </w:r>
      <w:proofErr w:type="spellEnd"/>
      <w:r w:rsidR="00EC442C" w:rsidRPr="00BF77B3">
        <w:rPr>
          <w:rFonts w:cs="Times New Roman"/>
          <w:i/>
        </w:rPr>
        <w:t xml:space="preserve"> v. Wrigley (Ill. App. 1968)</w:t>
      </w:r>
    </w:p>
    <w:p w14:paraId="18A4AC56" w14:textId="77777777" w:rsidR="00EC442C" w:rsidRDefault="00723911" w:rsidP="00BF77B3">
      <w:pPr>
        <w:pStyle w:val="ListParagraph"/>
        <w:numPr>
          <w:ilvl w:val="2"/>
          <w:numId w:val="7"/>
        </w:numPr>
        <w:rPr>
          <w:rFonts w:cs="Times New Roman"/>
          <w:sz w:val="24"/>
          <w:szCs w:val="24"/>
        </w:rPr>
      </w:pPr>
      <w:r>
        <w:rPr>
          <w:rFonts w:cs="Times New Roman"/>
          <w:sz w:val="24"/>
          <w:szCs w:val="24"/>
        </w:rPr>
        <w:t xml:space="preserve">Synopsis: </w:t>
      </w:r>
      <w:r w:rsidR="00EC442C" w:rsidRPr="00EC442C">
        <w:rPr>
          <w:rFonts w:cs="Times New Roman"/>
          <w:sz w:val="24"/>
          <w:szCs w:val="24"/>
        </w:rPr>
        <w:t xml:space="preserve">William </w:t>
      </w:r>
      <w:proofErr w:type="spellStart"/>
      <w:r w:rsidR="00EC442C" w:rsidRPr="00EC442C">
        <w:rPr>
          <w:rFonts w:cs="Times New Roman"/>
          <w:sz w:val="24"/>
          <w:szCs w:val="24"/>
        </w:rPr>
        <w:t>Shlensky</w:t>
      </w:r>
      <w:proofErr w:type="spellEnd"/>
      <w:r w:rsidR="00EC442C" w:rsidRPr="00EC442C">
        <w:rPr>
          <w:rFonts w:cs="Times New Roman"/>
          <w:sz w:val="24"/>
          <w:szCs w:val="24"/>
        </w:rPr>
        <w:t xml:space="preserve"> (P) filed a derivative action against director, Phillip Wrigley (D) (owns 80% of stock), </w:t>
      </w:r>
      <w:r w:rsidR="00EC442C">
        <w:rPr>
          <w:rFonts w:cs="Times New Roman"/>
          <w:sz w:val="24"/>
          <w:szCs w:val="24"/>
        </w:rPr>
        <w:t xml:space="preserve">owner of the Cubs, </w:t>
      </w:r>
      <w:r w:rsidR="00EC442C" w:rsidRPr="00EC442C">
        <w:rPr>
          <w:rFonts w:cs="Times New Roman"/>
          <w:sz w:val="24"/>
          <w:szCs w:val="24"/>
        </w:rPr>
        <w:t>to force the installation of lights for night baseball</w:t>
      </w:r>
      <w:r w:rsidR="00EC442C">
        <w:rPr>
          <w:rFonts w:cs="Times New Roman"/>
          <w:sz w:val="24"/>
          <w:szCs w:val="24"/>
        </w:rPr>
        <w:t xml:space="preserve"> at Wrigley field</w:t>
      </w:r>
      <w:r w:rsidR="00EC442C" w:rsidRPr="00EC442C">
        <w:rPr>
          <w:rFonts w:cs="Times New Roman"/>
          <w:sz w:val="24"/>
          <w:szCs w:val="24"/>
        </w:rPr>
        <w:t>.</w:t>
      </w:r>
      <w:r>
        <w:rPr>
          <w:rFonts w:cs="Times New Roman"/>
          <w:sz w:val="24"/>
          <w:szCs w:val="24"/>
        </w:rPr>
        <w:t xml:space="preserve"> </w:t>
      </w:r>
      <w:r w:rsidRPr="00723911">
        <w:rPr>
          <w:rFonts w:cs="Times New Roman"/>
          <w:sz w:val="24"/>
          <w:szCs w:val="24"/>
        </w:rPr>
        <w:t xml:space="preserve">D did not install </w:t>
      </w:r>
      <w:r>
        <w:rPr>
          <w:rFonts w:cs="Times New Roman"/>
          <w:sz w:val="24"/>
          <w:szCs w:val="24"/>
        </w:rPr>
        <w:t>lights</w:t>
      </w:r>
      <w:r w:rsidRPr="00723911">
        <w:rPr>
          <w:rFonts w:cs="Times New Roman"/>
          <w:sz w:val="24"/>
          <w:szCs w:val="24"/>
        </w:rPr>
        <w:t xml:space="preserve"> because he was concerned that night baseball would be detrimental to the surrounding neighborhood. P argued that the team was losing money, and that the other Chicago </w:t>
      </w:r>
      <w:r w:rsidRPr="00723911">
        <w:rPr>
          <w:rFonts w:cs="Times New Roman"/>
          <w:sz w:val="24"/>
          <w:szCs w:val="24"/>
        </w:rPr>
        <w:lastRenderedPageBreak/>
        <w:t>team, the White Sox, had higher attendance during the weekdays because they played at night. Therefore, reasoned P, the Cubs would draw more people with weekday night games. P asserts that D’s first concern should be with the shareholders rather than the neighborhood.</w:t>
      </w:r>
      <w:r>
        <w:rPr>
          <w:rFonts w:cs="Times New Roman"/>
          <w:sz w:val="24"/>
          <w:szCs w:val="24"/>
        </w:rPr>
        <w:t xml:space="preserve"> Court did not overturn D’s decisions to not install lights applying the business judgment rule. </w:t>
      </w:r>
      <w:r w:rsidRPr="00723911">
        <w:rPr>
          <w:rFonts w:cs="Times New Roman"/>
          <w:sz w:val="24"/>
          <w:szCs w:val="24"/>
        </w:rPr>
        <w:t>The court cited some reasons why the light installation could be detrimental, such as lowering the property value of the park itself, a lack of proof on behalf of P that financing would be available for lights and would be certain to be offset by increasing revenues.</w:t>
      </w:r>
    </w:p>
    <w:p w14:paraId="00742AB3" w14:textId="77777777" w:rsidR="00723911" w:rsidRPr="00EC442C" w:rsidRDefault="00723911" w:rsidP="00BF77B3">
      <w:pPr>
        <w:pStyle w:val="ListParagraph"/>
        <w:numPr>
          <w:ilvl w:val="2"/>
          <w:numId w:val="7"/>
        </w:numPr>
        <w:rPr>
          <w:rFonts w:cs="Times New Roman"/>
          <w:sz w:val="24"/>
          <w:szCs w:val="24"/>
        </w:rPr>
      </w:pPr>
      <w:r w:rsidRPr="00723911">
        <w:rPr>
          <w:rFonts w:cs="Times New Roman"/>
          <w:sz w:val="24"/>
          <w:szCs w:val="24"/>
        </w:rPr>
        <w:t>Tool: “The response which courts make to such applications is that it is not their function to resolve for corporations questions of policy and business management. The directors are chosen to pass upon such questions and their judgment unless shown to be tainted with fraud is accepted as final. The judgment of the directors of corporations enjoys the benefit of a presumption that it was formed in good faith and was designed to promote the best interests of the corporation they serve.”</w:t>
      </w:r>
    </w:p>
    <w:p w14:paraId="0396C523" w14:textId="2B8A518A" w:rsidR="00F73C7E" w:rsidRPr="00443F62" w:rsidRDefault="00F73C7E" w:rsidP="00D926F0">
      <w:pPr>
        <w:pStyle w:val="Heading2"/>
        <w:numPr>
          <w:ilvl w:val="0"/>
          <w:numId w:val="7"/>
        </w:numPr>
      </w:pPr>
      <w:r w:rsidRPr="00443F62">
        <w:t>Shareholders and Corporate Liability</w:t>
      </w:r>
    </w:p>
    <w:p w14:paraId="4A15745B" w14:textId="313F7EA7" w:rsidR="00F73C7E" w:rsidRPr="00443F62" w:rsidRDefault="00F73C7E" w:rsidP="00D926F0">
      <w:pPr>
        <w:pStyle w:val="Heading3"/>
        <w:numPr>
          <w:ilvl w:val="1"/>
          <w:numId w:val="7"/>
        </w:numPr>
      </w:pPr>
      <w:r w:rsidRPr="00443F62">
        <w:t>In Tort</w:t>
      </w:r>
      <w:r w:rsidR="00815DBC">
        <w:t xml:space="preserve"> </w:t>
      </w:r>
    </w:p>
    <w:p w14:paraId="341DA594" w14:textId="46D5281A" w:rsidR="00AE482F" w:rsidRPr="00AE482F" w:rsidRDefault="00AE482F" w:rsidP="00815DBC">
      <w:pPr>
        <w:pStyle w:val="ListParagraph"/>
        <w:numPr>
          <w:ilvl w:val="2"/>
          <w:numId w:val="7"/>
        </w:numPr>
        <w:rPr>
          <w:rFonts w:cs="Times New Roman"/>
          <w:i/>
          <w:sz w:val="24"/>
          <w:szCs w:val="24"/>
        </w:rPr>
      </w:pPr>
      <w:r>
        <w:rPr>
          <w:rFonts w:cs="Times New Roman"/>
          <w:sz w:val="24"/>
          <w:szCs w:val="24"/>
        </w:rPr>
        <w:t xml:space="preserve">Veil-piercing allowed under tort law – if a </w:t>
      </w:r>
      <w:r w:rsidRPr="000E116E">
        <w:rPr>
          <w:rFonts w:cs="Times New Roman"/>
          <w:b/>
          <w:sz w:val="24"/>
          <w:szCs w:val="24"/>
          <w:u w:val="single"/>
        </w:rPr>
        <w:t>shareholder</w:t>
      </w:r>
      <w:r>
        <w:rPr>
          <w:rFonts w:cs="Times New Roman"/>
          <w:sz w:val="24"/>
          <w:szCs w:val="24"/>
        </w:rPr>
        <w:t xml:space="preserve"> has </w:t>
      </w:r>
      <w:r w:rsidRPr="0096420B">
        <w:rPr>
          <w:rFonts w:cs="Times New Roman"/>
          <w:b/>
          <w:sz w:val="24"/>
          <w:szCs w:val="24"/>
          <w:u w:val="single"/>
        </w:rPr>
        <w:t>ignored corporate formalities</w:t>
      </w:r>
      <w:r>
        <w:rPr>
          <w:rFonts w:cs="Times New Roman"/>
          <w:sz w:val="24"/>
          <w:szCs w:val="24"/>
        </w:rPr>
        <w:t>, he lacked the legal authority to run the corporation. If the employees obeyed him anyway, they must have obeyed him in his individual (not corporate) capacity. And if they obeyed him in his individual capacity, they acted as his personal “servant.” As their “master,” he then becomes liable for their tor</w:t>
      </w:r>
      <w:r w:rsidR="006B2EE1">
        <w:rPr>
          <w:rFonts w:cs="Times New Roman"/>
          <w:sz w:val="24"/>
          <w:szCs w:val="24"/>
        </w:rPr>
        <w:t>t</w:t>
      </w:r>
      <w:r>
        <w:rPr>
          <w:rFonts w:cs="Times New Roman"/>
          <w:sz w:val="24"/>
          <w:szCs w:val="24"/>
        </w:rPr>
        <w:t xml:space="preserve">s under </w:t>
      </w:r>
      <w:proofErr w:type="spellStart"/>
      <w:r>
        <w:rPr>
          <w:rFonts w:cs="Times New Roman"/>
          <w:sz w:val="24"/>
          <w:szCs w:val="24"/>
        </w:rPr>
        <w:t>respondeat</w:t>
      </w:r>
      <w:proofErr w:type="spellEnd"/>
      <w:r>
        <w:rPr>
          <w:rFonts w:cs="Times New Roman"/>
          <w:sz w:val="24"/>
          <w:szCs w:val="24"/>
        </w:rPr>
        <w:t xml:space="preserve"> superior. </w:t>
      </w:r>
    </w:p>
    <w:p w14:paraId="7065E32C" w14:textId="68EF7E82" w:rsidR="00AE482F" w:rsidRDefault="00AE482F" w:rsidP="00815DBC">
      <w:pPr>
        <w:pStyle w:val="ListParagraph"/>
        <w:numPr>
          <w:ilvl w:val="2"/>
          <w:numId w:val="7"/>
        </w:numPr>
        <w:rPr>
          <w:rFonts w:cs="Times New Roman"/>
          <w:i/>
          <w:sz w:val="24"/>
          <w:szCs w:val="24"/>
        </w:rPr>
      </w:pPr>
      <w:r>
        <w:rPr>
          <w:rFonts w:cs="Times New Roman"/>
          <w:sz w:val="24"/>
          <w:szCs w:val="24"/>
        </w:rPr>
        <w:t>“Scumbag rule” – judges do not check corporate formalities and then hold shareholders liable if the firm ignores them and absolve them if instead it follows the rules. They ask whether the shareholder is a scu</w:t>
      </w:r>
      <w:r w:rsidR="006B2EE1">
        <w:rPr>
          <w:rFonts w:cs="Times New Roman"/>
          <w:sz w:val="24"/>
          <w:szCs w:val="24"/>
        </w:rPr>
        <w:t xml:space="preserve">mbag. If he is not, they absolve </w:t>
      </w:r>
      <w:r>
        <w:rPr>
          <w:rFonts w:cs="Times New Roman"/>
          <w:sz w:val="24"/>
          <w:szCs w:val="24"/>
        </w:rPr>
        <w:t xml:space="preserve">him. If he is, they scour corporate documents for evidence of missed formalities. If they find a missed formality, they hold him liable. In the rare case when they can’t find a missing formality, like in </w:t>
      </w:r>
      <w:proofErr w:type="spellStart"/>
      <w:r w:rsidRPr="00AE482F">
        <w:rPr>
          <w:rFonts w:cs="Times New Roman"/>
          <w:i/>
          <w:sz w:val="24"/>
          <w:szCs w:val="24"/>
        </w:rPr>
        <w:t>Walkovsky</w:t>
      </w:r>
      <w:proofErr w:type="spellEnd"/>
      <w:r>
        <w:rPr>
          <w:rFonts w:cs="Times New Roman"/>
          <w:sz w:val="24"/>
          <w:szCs w:val="24"/>
        </w:rPr>
        <w:t xml:space="preserve">, they let the shareholder go. </w:t>
      </w:r>
    </w:p>
    <w:p w14:paraId="0FC908F9" w14:textId="77777777" w:rsidR="00815DBC" w:rsidRPr="00815DBC" w:rsidRDefault="00815DBC" w:rsidP="00815DBC">
      <w:pPr>
        <w:pStyle w:val="ListParagraph"/>
        <w:numPr>
          <w:ilvl w:val="2"/>
          <w:numId w:val="7"/>
        </w:numPr>
        <w:rPr>
          <w:rFonts w:cs="Times New Roman"/>
          <w:i/>
          <w:sz w:val="24"/>
          <w:szCs w:val="24"/>
        </w:rPr>
      </w:pPr>
      <w:proofErr w:type="spellStart"/>
      <w:r w:rsidRPr="00815DBC">
        <w:rPr>
          <w:rFonts w:cs="Times New Roman"/>
          <w:i/>
          <w:sz w:val="24"/>
          <w:szCs w:val="24"/>
        </w:rPr>
        <w:t>Walkovszky</w:t>
      </w:r>
      <w:proofErr w:type="spellEnd"/>
      <w:r w:rsidRPr="00815DBC">
        <w:rPr>
          <w:rFonts w:cs="Times New Roman"/>
          <w:i/>
          <w:sz w:val="24"/>
          <w:szCs w:val="24"/>
        </w:rPr>
        <w:t xml:space="preserve"> v. Carlton (NY 1966)</w:t>
      </w:r>
    </w:p>
    <w:p w14:paraId="2E69E0D8" w14:textId="77777777" w:rsidR="00AE482F" w:rsidRDefault="00AE482F" w:rsidP="00AE482F">
      <w:pPr>
        <w:pStyle w:val="ListParagraph"/>
        <w:numPr>
          <w:ilvl w:val="3"/>
          <w:numId w:val="7"/>
        </w:numPr>
        <w:rPr>
          <w:rFonts w:cs="Times New Roman"/>
          <w:sz w:val="24"/>
          <w:szCs w:val="24"/>
        </w:rPr>
      </w:pPr>
      <w:r w:rsidRPr="00AE482F">
        <w:rPr>
          <w:rFonts w:cs="Times New Roman"/>
          <w:sz w:val="24"/>
          <w:szCs w:val="24"/>
        </w:rPr>
        <w:t xml:space="preserve">Synopsis: </w:t>
      </w:r>
      <w:proofErr w:type="spellStart"/>
      <w:r>
        <w:rPr>
          <w:rFonts w:cs="Times New Roman"/>
          <w:sz w:val="24"/>
          <w:szCs w:val="24"/>
        </w:rPr>
        <w:t>Walkovszky</w:t>
      </w:r>
      <w:proofErr w:type="spellEnd"/>
      <w:r>
        <w:rPr>
          <w:rFonts w:cs="Times New Roman"/>
          <w:sz w:val="24"/>
          <w:szCs w:val="24"/>
        </w:rPr>
        <w:t xml:space="preserve"> (P)</w:t>
      </w:r>
      <w:r w:rsidRPr="00AE482F">
        <w:rPr>
          <w:rFonts w:cs="Times New Roman"/>
          <w:sz w:val="24"/>
          <w:szCs w:val="24"/>
        </w:rPr>
        <w:t xml:space="preserve"> was injured by a taxi owned by a corporation of which </w:t>
      </w:r>
      <w:r>
        <w:rPr>
          <w:rFonts w:cs="Times New Roman"/>
          <w:sz w:val="24"/>
          <w:szCs w:val="24"/>
        </w:rPr>
        <w:t>Carlton (D)</w:t>
      </w:r>
      <w:r w:rsidRPr="00AE482F">
        <w:rPr>
          <w:rFonts w:cs="Times New Roman"/>
          <w:sz w:val="24"/>
          <w:szCs w:val="24"/>
        </w:rPr>
        <w:t xml:space="preserve"> was a stockholder. </w:t>
      </w:r>
      <w:r>
        <w:rPr>
          <w:rFonts w:cs="Times New Roman"/>
          <w:sz w:val="24"/>
          <w:szCs w:val="24"/>
        </w:rPr>
        <w:t>D</w:t>
      </w:r>
      <w:r w:rsidRPr="00AE482F">
        <w:rPr>
          <w:rFonts w:cs="Times New Roman"/>
          <w:sz w:val="24"/>
          <w:szCs w:val="24"/>
        </w:rPr>
        <w:t xml:space="preserve"> was a </w:t>
      </w:r>
      <w:r>
        <w:rPr>
          <w:rFonts w:cs="Times New Roman"/>
          <w:sz w:val="24"/>
          <w:szCs w:val="24"/>
        </w:rPr>
        <w:t xml:space="preserve">single </w:t>
      </w:r>
      <w:r w:rsidRPr="00AE482F">
        <w:rPr>
          <w:rFonts w:cs="Times New Roman"/>
          <w:sz w:val="24"/>
          <w:szCs w:val="24"/>
        </w:rPr>
        <w:t>shareholder in ten separate corporati</w:t>
      </w:r>
      <w:r>
        <w:rPr>
          <w:rFonts w:cs="Times New Roman"/>
          <w:sz w:val="24"/>
          <w:szCs w:val="24"/>
        </w:rPr>
        <w:t>ons wherein each corporation had</w:t>
      </w:r>
      <w:r w:rsidRPr="00AE482F">
        <w:rPr>
          <w:rFonts w:cs="Times New Roman"/>
          <w:sz w:val="24"/>
          <w:szCs w:val="24"/>
        </w:rPr>
        <w:t xml:space="preserve"> two cabs registered in its name. Each cab has only $10,000 worth of insurance coverage, which is the statutory minimum. </w:t>
      </w:r>
      <w:r>
        <w:rPr>
          <w:rFonts w:cs="Times New Roman"/>
          <w:sz w:val="24"/>
          <w:szCs w:val="24"/>
        </w:rPr>
        <w:t>P</w:t>
      </w:r>
      <w:r w:rsidRPr="00AE482F">
        <w:rPr>
          <w:rFonts w:cs="Times New Roman"/>
          <w:sz w:val="24"/>
          <w:szCs w:val="24"/>
        </w:rPr>
        <w:t xml:space="preserve"> contends that Defendant was fraudulently holding out the corporations as separate entities when they actually work as one large corporation.</w:t>
      </w:r>
      <w:r>
        <w:rPr>
          <w:rFonts w:cs="Times New Roman"/>
          <w:sz w:val="24"/>
          <w:szCs w:val="24"/>
        </w:rPr>
        <w:t xml:space="preserve"> P</w:t>
      </w:r>
      <w:r w:rsidRPr="00AE482F">
        <w:rPr>
          <w:rFonts w:cs="Times New Roman"/>
          <w:sz w:val="24"/>
          <w:szCs w:val="24"/>
        </w:rPr>
        <w:t xml:space="preserve"> sought to hold </w:t>
      </w:r>
      <w:r>
        <w:rPr>
          <w:rFonts w:cs="Times New Roman"/>
          <w:sz w:val="24"/>
          <w:szCs w:val="24"/>
        </w:rPr>
        <w:t>D</w:t>
      </w:r>
      <w:r w:rsidRPr="00AE482F">
        <w:rPr>
          <w:rFonts w:cs="Times New Roman"/>
          <w:sz w:val="24"/>
          <w:szCs w:val="24"/>
        </w:rPr>
        <w:t xml:space="preserve"> personally liable for his injuries.</w:t>
      </w:r>
      <w:r>
        <w:rPr>
          <w:rFonts w:cs="Times New Roman"/>
          <w:sz w:val="24"/>
          <w:szCs w:val="24"/>
        </w:rPr>
        <w:t xml:space="preserve"> Court held that D</w:t>
      </w:r>
      <w:r w:rsidRPr="00AE482F">
        <w:rPr>
          <w:rFonts w:cs="Times New Roman"/>
          <w:sz w:val="24"/>
          <w:szCs w:val="24"/>
        </w:rPr>
        <w:t xml:space="preserve"> would be held liable under the </w:t>
      </w:r>
      <w:proofErr w:type="spellStart"/>
      <w:r w:rsidRPr="00AE482F">
        <w:rPr>
          <w:rFonts w:cs="Times New Roman"/>
          <w:sz w:val="24"/>
          <w:szCs w:val="24"/>
        </w:rPr>
        <w:t>respondeat</w:t>
      </w:r>
      <w:proofErr w:type="spellEnd"/>
      <w:r w:rsidRPr="00AE482F">
        <w:rPr>
          <w:rFonts w:cs="Times New Roman"/>
          <w:sz w:val="24"/>
          <w:szCs w:val="24"/>
        </w:rPr>
        <w:t xml:space="preserve"> superior doctrine </w:t>
      </w:r>
      <w:r w:rsidRPr="00AE482F">
        <w:rPr>
          <w:rFonts w:cs="Times New Roman"/>
          <w:sz w:val="24"/>
          <w:szCs w:val="24"/>
          <w:u w:val="single"/>
        </w:rPr>
        <w:t>if he controlled the corporation for his personal benefit at the expense of the corporations benefit.</w:t>
      </w:r>
      <w:r w:rsidRPr="00AE482F">
        <w:rPr>
          <w:rFonts w:cs="Times New Roman"/>
          <w:sz w:val="24"/>
          <w:szCs w:val="24"/>
        </w:rPr>
        <w:t xml:space="preserve"> </w:t>
      </w:r>
      <w:r>
        <w:rPr>
          <w:rFonts w:cs="Times New Roman"/>
          <w:sz w:val="24"/>
          <w:szCs w:val="24"/>
        </w:rPr>
        <w:t>P</w:t>
      </w:r>
      <w:r w:rsidRPr="00AE482F">
        <w:rPr>
          <w:rFonts w:cs="Times New Roman"/>
          <w:sz w:val="24"/>
          <w:szCs w:val="24"/>
        </w:rPr>
        <w:t xml:space="preserve"> did not</w:t>
      </w:r>
      <w:r>
        <w:rPr>
          <w:rFonts w:cs="Times New Roman"/>
          <w:sz w:val="24"/>
          <w:szCs w:val="24"/>
        </w:rPr>
        <w:t xml:space="preserve"> offer proof to make that claim and nothing D did was fraudulent.</w:t>
      </w:r>
    </w:p>
    <w:p w14:paraId="2EE394A3" w14:textId="42AD5332" w:rsidR="00AE482F" w:rsidRPr="00AE482F" w:rsidRDefault="00AE482F" w:rsidP="00AE482F">
      <w:pPr>
        <w:pStyle w:val="ListParagraph"/>
        <w:numPr>
          <w:ilvl w:val="3"/>
          <w:numId w:val="7"/>
        </w:numPr>
        <w:rPr>
          <w:rFonts w:cs="Times New Roman"/>
          <w:sz w:val="24"/>
          <w:szCs w:val="24"/>
        </w:rPr>
      </w:pPr>
      <w:r w:rsidRPr="00AE482F">
        <w:rPr>
          <w:rFonts w:cs="Times New Roman"/>
          <w:sz w:val="24"/>
          <w:szCs w:val="24"/>
        </w:rPr>
        <w:t>Tool: “In determining whether liability should be extended to reach assets beyond those belonging to the corporation, we are guided… by ‘general rules of agency’… In other words, whenever anyone uses control of the corporation to further his own rather than the corporation's business, he will be liable for the corporation</w:t>
      </w:r>
      <w:r w:rsidR="006B2EE1">
        <w:rPr>
          <w:rFonts w:cs="Times New Roman"/>
          <w:sz w:val="24"/>
          <w:szCs w:val="24"/>
        </w:rPr>
        <w:t xml:space="preserve">'s acts ‘upon the principle of </w:t>
      </w:r>
      <w:proofErr w:type="spellStart"/>
      <w:r w:rsidR="006B2EE1">
        <w:rPr>
          <w:rFonts w:cs="Times New Roman"/>
          <w:sz w:val="24"/>
          <w:szCs w:val="24"/>
        </w:rPr>
        <w:t>r</w:t>
      </w:r>
      <w:r w:rsidRPr="00AE482F">
        <w:rPr>
          <w:rFonts w:cs="Times New Roman"/>
          <w:sz w:val="24"/>
          <w:szCs w:val="24"/>
        </w:rPr>
        <w:t>espondeat</w:t>
      </w:r>
      <w:proofErr w:type="spellEnd"/>
      <w:r w:rsidRPr="00AE482F">
        <w:rPr>
          <w:rFonts w:cs="Times New Roman"/>
          <w:sz w:val="24"/>
          <w:szCs w:val="24"/>
        </w:rPr>
        <w:t xml:space="preserve"> superior applicable even where the agent is a natural person’.” </w:t>
      </w:r>
    </w:p>
    <w:p w14:paraId="6BCA06B5" w14:textId="22730CE0" w:rsidR="00F73C7E" w:rsidRPr="00AE482F" w:rsidRDefault="00F73C7E" w:rsidP="00D926F0">
      <w:pPr>
        <w:pStyle w:val="Heading3"/>
        <w:numPr>
          <w:ilvl w:val="1"/>
          <w:numId w:val="7"/>
        </w:numPr>
      </w:pPr>
      <w:r w:rsidRPr="00443F62">
        <w:t>In Contract</w:t>
      </w:r>
    </w:p>
    <w:p w14:paraId="40703142" w14:textId="6BF2634E" w:rsidR="00885D16" w:rsidRDefault="00885D16" w:rsidP="00885D16">
      <w:pPr>
        <w:pStyle w:val="ListParagraph"/>
        <w:numPr>
          <w:ilvl w:val="2"/>
          <w:numId w:val="7"/>
        </w:numPr>
        <w:rPr>
          <w:rFonts w:cs="Times New Roman"/>
          <w:sz w:val="24"/>
          <w:szCs w:val="24"/>
        </w:rPr>
      </w:pPr>
      <w:r>
        <w:rPr>
          <w:rFonts w:cs="Times New Roman"/>
          <w:sz w:val="24"/>
          <w:szCs w:val="24"/>
        </w:rPr>
        <w:t>Van Dorn</w:t>
      </w:r>
      <w:r w:rsidRPr="00885D16">
        <w:rPr>
          <w:rFonts w:cs="Times New Roman"/>
          <w:sz w:val="24"/>
          <w:szCs w:val="24"/>
        </w:rPr>
        <w:t xml:space="preserve"> test for p</w:t>
      </w:r>
      <w:r>
        <w:rPr>
          <w:rFonts w:cs="Times New Roman"/>
          <w:sz w:val="24"/>
          <w:szCs w:val="24"/>
        </w:rPr>
        <w:t>iercing the corporate veil (</w:t>
      </w:r>
      <w:r w:rsidRPr="00885D16">
        <w:rPr>
          <w:rFonts w:cs="Times New Roman"/>
          <w:i/>
          <w:sz w:val="24"/>
          <w:szCs w:val="24"/>
        </w:rPr>
        <w:t>See Sea-Land</w:t>
      </w:r>
      <w:r>
        <w:rPr>
          <w:rFonts w:cs="Times New Roman"/>
          <w:sz w:val="24"/>
          <w:szCs w:val="24"/>
        </w:rPr>
        <w:t>)</w:t>
      </w:r>
      <w:r w:rsidR="000E116E">
        <w:rPr>
          <w:rFonts w:cs="Times New Roman"/>
          <w:sz w:val="24"/>
          <w:szCs w:val="24"/>
        </w:rPr>
        <w:t xml:space="preserve"> to make </w:t>
      </w:r>
      <w:r w:rsidR="000E116E" w:rsidRPr="000E116E">
        <w:rPr>
          <w:rFonts w:cs="Times New Roman"/>
          <w:b/>
          <w:sz w:val="24"/>
          <w:szCs w:val="24"/>
          <w:u w:val="single"/>
        </w:rPr>
        <w:t>shareholder</w:t>
      </w:r>
      <w:r w:rsidR="000E116E">
        <w:rPr>
          <w:rFonts w:cs="Times New Roman"/>
          <w:sz w:val="24"/>
          <w:szCs w:val="24"/>
        </w:rPr>
        <w:t xml:space="preserve"> liable</w:t>
      </w:r>
      <w:r>
        <w:rPr>
          <w:rFonts w:cs="Times New Roman"/>
          <w:sz w:val="24"/>
          <w:szCs w:val="24"/>
        </w:rPr>
        <w:t xml:space="preserve">: </w:t>
      </w:r>
    </w:p>
    <w:p w14:paraId="2B1E9336" w14:textId="77777777" w:rsidR="00885D16" w:rsidRDefault="00885D16" w:rsidP="00885D16">
      <w:pPr>
        <w:pStyle w:val="ListParagraph"/>
        <w:numPr>
          <w:ilvl w:val="3"/>
          <w:numId w:val="7"/>
        </w:numPr>
        <w:rPr>
          <w:rFonts w:cs="Times New Roman"/>
          <w:sz w:val="24"/>
          <w:szCs w:val="24"/>
        </w:rPr>
      </w:pPr>
      <w:r>
        <w:rPr>
          <w:rFonts w:cs="Times New Roman"/>
          <w:sz w:val="24"/>
          <w:szCs w:val="24"/>
        </w:rPr>
        <w:t xml:space="preserve">First, </w:t>
      </w:r>
      <w:r w:rsidRPr="00885D16">
        <w:rPr>
          <w:rFonts w:cs="Times New Roman"/>
          <w:sz w:val="24"/>
          <w:szCs w:val="24"/>
        </w:rPr>
        <w:t>there must be such unity of interest and ownership that the separate personalities of the corporation and the individual [or other co</w:t>
      </w:r>
      <w:r>
        <w:rPr>
          <w:rFonts w:cs="Times New Roman"/>
          <w:sz w:val="24"/>
          <w:szCs w:val="24"/>
        </w:rPr>
        <w:t>rporation] no longer exist</w:t>
      </w:r>
    </w:p>
    <w:p w14:paraId="4F02371D" w14:textId="77777777" w:rsidR="00D55312" w:rsidRDefault="00D55312" w:rsidP="00D55312">
      <w:pPr>
        <w:pStyle w:val="ListParagraph"/>
        <w:numPr>
          <w:ilvl w:val="4"/>
          <w:numId w:val="7"/>
        </w:numPr>
        <w:rPr>
          <w:rFonts w:cs="Times New Roman"/>
          <w:sz w:val="24"/>
          <w:szCs w:val="24"/>
        </w:rPr>
      </w:pPr>
      <w:r>
        <w:rPr>
          <w:rFonts w:cs="Times New Roman"/>
          <w:sz w:val="24"/>
          <w:szCs w:val="24"/>
        </w:rPr>
        <w:t>Factors for first element: (</w:t>
      </w:r>
      <w:r w:rsidRPr="00D55312">
        <w:rPr>
          <w:rFonts w:cs="Times New Roman"/>
          <w:sz w:val="24"/>
          <w:szCs w:val="24"/>
        </w:rPr>
        <w:t xml:space="preserve">1) the failure to maintain adequate corporate records or to comply with corporate formalities, (2) the commingling of funds or assets, (3) undercapitalization, and (4) one corporation treating the assets of </w:t>
      </w:r>
      <w:r>
        <w:rPr>
          <w:rFonts w:cs="Times New Roman"/>
          <w:sz w:val="24"/>
          <w:szCs w:val="24"/>
        </w:rPr>
        <w:t>another corporation as its own.</w:t>
      </w:r>
    </w:p>
    <w:p w14:paraId="2B4E3D71" w14:textId="440A2B46" w:rsidR="00A060E0" w:rsidRPr="00D55312" w:rsidRDefault="00A060E0" w:rsidP="00A060E0">
      <w:pPr>
        <w:pStyle w:val="ListParagraph"/>
        <w:numPr>
          <w:ilvl w:val="5"/>
          <w:numId w:val="7"/>
        </w:numPr>
        <w:rPr>
          <w:rFonts w:cs="Times New Roman"/>
          <w:sz w:val="24"/>
          <w:szCs w:val="24"/>
        </w:rPr>
      </w:pPr>
      <w:r>
        <w:rPr>
          <w:rFonts w:cs="Times New Roman"/>
          <w:sz w:val="24"/>
          <w:szCs w:val="24"/>
        </w:rPr>
        <w:t xml:space="preserve">Third factor – probably means deliberate undercapitalization. Corporate piercing only exists when undercapitalized to a certain extent so this factor must mean when it is done deliberately. </w:t>
      </w:r>
    </w:p>
    <w:p w14:paraId="23092BBA" w14:textId="77777777" w:rsidR="00885D16" w:rsidRDefault="00885D16" w:rsidP="00885D16">
      <w:pPr>
        <w:pStyle w:val="ListParagraph"/>
        <w:numPr>
          <w:ilvl w:val="3"/>
          <w:numId w:val="7"/>
        </w:numPr>
        <w:rPr>
          <w:rFonts w:cs="Times New Roman"/>
          <w:sz w:val="24"/>
          <w:szCs w:val="24"/>
        </w:rPr>
      </w:pPr>
      <w:r>
        <w:rPr>
          <w:rFonts w:cs="Times New Roman"/>
          <w:sz w:val="24"/>
          <w:szCs w:val="24"/>
        </w:rPr>
        <w:lastRenderedPageBreak/>
        <w:t>Second,</w:t>
      </w:r>
      <w:r w:rsidRPr="00885D16">
        <w:rPr>
          <w:rFonts w:cs="Times New Roman"/>
          <w:sz w:val="24"/>
          <w:szCs w:val="24"/>
        </w:rPr>
        <w:t xml:space="preserve"> circumstances must be such that adherence to the fiction of separate corporate existence would sanction a fraud </w:t>
      </w:r>
      <w:r w:rsidR="00D55312">
        <w:rPr>
          <w:rFonts w:cs="Times New Roman"/>
          <w:sz w:val="24"/>
          <w:szCs w:val="24"/>
        </w:rPr>
        <w:t xml:space="preserve">[(intentional wrong)] </w:t>
      </w:r>
      <w:r w:rsidRPr="00B928E9">
        <w:rPr>
          <w:rFonts w:cs="Times New Roman"/>
          <w:b/>
          <w:sz w:val="24"/>
          <w:szCs w:val="24"/>
          <w:u w:val="single"/>
        </w:rPr>
        <w:t>or</w:t>
      </w:r>
      <w:r w:rsidRPr="00885D16">
        <w:rPr>
          <w:rFonts w:cs="Times New Roman"/>
          <w:sz w:val="24"/>
          <w:szCs w:val="24"/>
        </w:rPr>
        <w:t xml:space="preserve"> promote injustice.”</w:t>
      </w:r>
    </w:p>
    <w:p w14:paraId="31DF5065" w14:textId="77777777" w:rsidR="00D55312" w:rsidRDefault="00D55312" w:rsidP="00D55312">
      <w:pPr>
        <w:pStyle w:val="ListParagraph"/>
        <w:numPr>
          <w:ilvl w:val="4"/>
          <w:numId w:val="7"/>
        </w:numPr>
        <w:rPr>
          <w:rFonts w:cs="Times New Roman"/>
          <w:sz w:val="24"/>
          <w:szCs w:val="24"/>
        </w:rPr>
      </w:pPr>
      <w:r>
        <w:rPr>
          <w:rFonts w:cs="Times New Roman"/>
          <w:sz w:val="24"/>
          <w:szCs w:val="24"/>
        </w:rPr>
        <w:t xml:space="preserve">OR, not both required. </w:t>
      </w:r>
    </w:p>
    <w:p w14:paraId="5F1BF3A7" w14:textId="77777777" w:rsidR="00D55312" w:rsidRDefault="00D55312" w:rsidP="00D55312">
      <w:pPr>
        <w:pStyle w:val="ListParagraph"/>
        <w:numPr>
          <w:ilvl w:val="4"/>
          <w:numId w:val="7"/>
        </w:numPr>
        <w:rPr>
          <w:rFonts w:cs="Times New Roman"/>
          <w:sz w:val="24"/>
          <w:szCs w:val="24"/>
        </w:rPr>
      </w:pPr>
      <w:r>
        <w:rPr>
          <w:rFonts w:cs="Times New Roman"/>
          <w:sz w:val="24"/>
          <w:szCs w:val="24"/>
        </w:rPr>
        <w:t>Unsatisfied judgment alone does not satisfy injustice prong. After all, creditors try to pierce the corporate veil only when corporations cannot pay.</w:t>
      </w:r>
    </w:p>
    <w:p w14:paraId="4E5F3A04" w14:textId="77777777" w:rsidR="00D55312" w:rsidRDefault="00D55312" w:rsidP="00D55312">
      <w:pPr>
        <w:pStyle w:val="ListParagraph"/>
        <w:numPr>
          <w:ilvl w:val="4"/>
          <w:numId w:val="7"/>
        </w:numPr>
        <w:rPr>
          <w:rFonts w:cs="Times New Roman"/>
          <w:sz w:val="24"/>
          <w:szCs w:val="24"/>
        </w:rPr>
      </w:pPr>
      <w:r w:rsidRPr="00885D16">
        <w:rPr>
          <w:rFonts w:cs="Times New Roman"/>
          <w:sz w:val="24"/>
          <w:szCs w:val="24"/>
        </w:rPr>
        <w:t>“courts that properly have pierced corporate veils to avoid “promoting injustice” have found that, unless it did so, some “wrong” beyond a creditor's inability to collect would result: the common sense rules of adverse possession would be undermined; former partners would be permitted to skirt the legal rules concerning monetary obligations; a party would be unjustly enriched; a parent corporation that caused a sub's liabilities and its inability to pay for them would escape those liabilities; or an intentional scheme to squirrel assets into a liability-free corporation while heaping liabilities upon an asset-free corporation would be successful.”</w:t>
      </w:r>
    </w:p>
    <w:p w14:paraId="364177F5" w14:textId="77777777" w:rsidR="00F44A92" w:rsidRDefault="00F44A92" w:rsidP="00D55312">
      <w:pPr>
        <w:pStyle w:val="ListParagraph"/>
        <w:numPr>
          <w:ilvl w:val="4"/>
          <w:numId w:val="7"/>
        </w:numPr>
        <w:rPr>
          <w:rFonts w:cs="Times New Roman"/>
          <w:sz w:val="24"/>
          <w:szCs w:val="24"/>
        </w:rPr>
      </w:pPr>
      <w:r>
        <w:rPr>
          <w:rFonts w:cs="Times New Roman"/>
          <w:sz w:val="24"/>
          <w:szCs w:val="24"/>
        </w:rPr>
        <w:t>Asset shuffling – 7</w:t>
      </w:r>
      <w:r w:rsidRPr="00F44A92">
        <w:rPr>
          <w:rFonts w:cs="Times New Roman"/>
          <w:sz w:val="24"/>
          <w:szCs w:val="24"/>
          <w:vertAlign w:val="superscript"/>
        </w:rPr>
        <w:t>th</w:t>
      </w:r>
      <w:r>
        <w:rPr>
          <w:rFonts w:cs="Times New Roman"/>
          <w:sz w:val="24"/>
          <w:szCs w:val="24"/>
        </w:rPr>
        <w:t xml:space="preserve"> Cir. on </w:t>
      </w:r>
      <w:proofErr w:type="spellStart"/>
      <w:r>
        <w:rPr>
          <w:rFonts w:cs="Times New Roman"/>
          <w:sz w:val="24"/>
          <w:szCs w:val="24"/>
        </w:rPr>
        <w:t>reappeal</w:t>
      </w:r>
      <w:proofErr w:type="spellEnd"/>
      <w:r>
        <w:rPr>
          <w:rFonts w:cs="Times New Roman"/>
          <w:sz w:val="24"/>
          <w:szCs w:val="24"/>
        </w:rPr>
        <w:t xml:space="preserve"> from remand found that asset shuffling led to injustice because thus Sea-Land could not intelligently decide whether to extend credit and Marchese was unjustly enriched. </w:t>
      </w:r>
    </w:p>
    <w:p w14:paraId="08A3B6F1" w14:textId="77777777" w:rsidR="00D55312" w:rsidRDefault="00D55312" w:rsidP="00D55312">
      <w:pPr>
        <w:pStyle w:val="ListParagraph"/>
        <w:numPr>
          <w:ilvl w:val="4"/>
          <w:numId w:val="7"/>
        </w:numPr>
        <w:rPr>
          <w:rFonts w:cs="Times New Roman"/>
          <w:sz w:val="24"/>
          <w:szCs w:val="24"/>
        </w:rPr>
      </w:pPr>
      <w:r>
        <w:rPr>
          <w:rFonts w:cs="Times New Roman"/>
          <w:sz w:val="24"/>
          <w:szCs w:val="24"/>
        </w:rPr>
        <w:t xml:space="preserve">This prong is important because courts do not pierce the corporate veils merely because a shareholder missed some corporate formalities. Too many firms miss them for innocuous reasons. </w:t>
      </w:r>
    </w:p>
    <w:p w14:paraId="0BADF33A" w14:textId="77777777" w:rsidR="00F44A92" w:rsidRPr="00D55312" w:rsidRDefault="00F44A92" w:rsidP="00D55312">
      <w:pPr>
        <w:pStyle w:val="ListParagraph"/>
        <w:numPr>
          <w:ilvl w:val="4"/>
          <w:numId w:val="7"/>
        </w:numPr>
        <w:rPr>
          <w:rFonts w:cs="Times New Roman"/>
          <w:sz w:val="24"/>
          <w:szCs w:val="24"/>
        </w:rPr>
      </w:pPr>
      <w:r>
        <w:rPr>
          <w:rFonts w:cs="Times New Roman"/>
          <w:sz w:val="24"/>
          <w:szCs w:val="24"/>
        </w:rPr>
        <w:t xml:space="preserve">Why fraud or injustice? Fraud is an intentional act and intent is a question of fact. Claimants will usually need to go to a jury to show fraud. Whether to pierce the veil, however, generally arises at pretrial. Adding injustice lets courts resolve the question without impaneling a jury. </w:t>
      </w:r>
    </w:p>
    <w:p w14:paraId="2B58A9F9" w14:textId="77777777" w:rsidR="00885D16" w:rsidRPr="0096420B" w:rsidRDefault="00885D16" w:rsidP="00885D16">
      <w:pPr>
        <w:pStyle w:val="ListParagraph"/>
        <w:numPr>
          <w:ilvl w:val="2"/>
          <w:numId w:val="7"/>
        </w:numPr>
        <w:rPr>
          <w:rFonts w:cs="Times New Roman"/>
          <w:b/>
          <w:sz w:val="24"/>
          <w:szCs w:val="24"/>
        </w:rPr>
      </w:pPr>
      <w:r w:rsidRPr="0096420B">
        <w:rPr>
          <w:rFonts w:cs="Times New Roman"/>
          <w:b/>
          <w:i/>
          <w:sz w:val="24"/>
          <w:szCs w:val="24"/>
        </w:rPr>
        <w:t>Sea-Land Services, Inc. v. Pepper Source (7th Cir. 1991)</w:t>
      </w:r>
    </w:p>
    <w:p w14:paraId="037D8E40" w14:textId="77777777" w:rsidR="00885D16" w:rsidRPr="0096514D" w:rsidRDefault="00885D16" w:rsidP="00885D16">
      <w:pPr>
        <w:pStyle w:val="ListParagraph"/>
        <w:numPr>
          <w:ilvl w:val="3"/>
          <w:numId w:val="7"/>
        </w:numPr>
        <w:rPr>
          <w:rFonts w:cs="Times New Roman"/>
          <w:sz w:val="24"/>
          <w:szCs w:val="24"/>
          <w:u w:val="single"/>
        </w:rPr>
      </w:pPr>
      <w:r>
        <w:rPr>
          <w:rFonts w:cs="Times New Roman"/>
          <w:sz w:val="24"/>
          <w:szCs w:val="24"/>
        </w:rPr>
        <w:t xml:space="preserve">Synopsis: Sea-Land Services (P) delivered a shipment of peppers to Pepper Source (D), but was never paid. Marchese was the sole shareholder of D and several other corporations. He was the co-owner of an additional corporation, Tie-Net. P sued to hold D, Marchese, and other corporations liable. </w:t>
      </w:r>
      <w:r w:rsidRPr="00885D16">
        <w:rPr>
          <w:rFonts w:cs="Times New Roman"/>
          <w:sz w:val="24"/>
          <w:szCs w:val="24"/>
        </w:rPr>
        <w:t>P asserted that the corporations were shells wherein Marchese shifted money around the different entities to avoid creditors collecting from the corporations. Evidence was presented that showed Marchese treated the corporate accounts as his own personal account, and he frequently shifted money around.</w:t>
      </w:r>
      <w:r>
        <w:rPr>
          <w:rFonts w:cs="Times New Roman"/>
          <w:sz w:val="24"/>
          <w:szCs w:val="24"/>
        </w:rPr>
        <w:t xml:space="preserve"> Court held that </w:t>
      </w:r>
      <w:r w:rsidR="00D55312">
        <w:rPr>
          <w:rFonts w:cs="Times New Roman"/>
          <w:sz w:val="24"/>
          <w:szCs w:val="24"/>
        </w:rPr>
        <w:t xml:space="preserve">unity-of-interest test met, but </w:t>
      </w:r>
      <w:r>
        <w:rPr>
          <w:rFonts w:cs="Times New Roman"/>
          <w:sz w:val="24"/>
          <w:szCs w:val="24"/>
        </w:rPr>
        <w:t>P did not provide sufficient evidence to establish second prong of Van Dorn test.</w:t>
      </w:r>
      <w:r w:rsidR="00D55312">
        <w:rPr>
          <w:rFonts w:cs="Times New Roman"/>
          <w:sz w:val="24"/>
          <w:szCs w:val="24"/>
        </w:rPr>
        <w:t xml:space="preserve"> Unsatisfied judgment alone did not show injustice. </w:t>
      </w:r>
      <w:r w:rsidR="0086223D">
        <w:rPr>
          <w:rFonts w:cs="Times New Roman"/>
          <w:sz w:val="24"/>
          <w:szCs w:val="24"/>
        </w:rPr>
        <w:t xml:space="preserve">Does not allow P to reverse pierce Tie-Net because </w:t>
      </w:r>
      <w:r w:rsidR="0086223D" w:rsidRPr="0096514D">
        <w:rPr>
          <w:rFonts w:cs="Times New Roman"/>
          <w:sz w:val="24"/>
          <w:szCs w:val="24"/>
          <w:u w:val="single"/>
        </w:rPr>
        <w:t>D only owns 50% so no unity of interest.</w:t>
      </w:r>
    </w:p>
    <w:p w14:paraId="02C6EA19" w14:textId="43416B82" w:rsidR="00885D16" w:rsidRPr="00D55312" w:rsidRDefault="00885D16" w:rsidP="00D55312">
      <w:pPr>
        <w:pStyle w:val="ListParagraph"/>
        <w:numPr>
          <w:ilvl w:val="3"/>
          <w:numId w:val="7"/>
        </w:numPr>
        <w:rPr>
          <w:rFonts w:cs="Times New Roman"/>
          <w:sz w:val="24"/>
          <w:szCs w:val="24"/>
        </w:rPr>
      </w:pPr>
      <w:r>
        <w:rPr>
          <w:rFonts w:cs="Times New Roman"/>
          <w:sz w:val="24"/>
          <w:szCs w:val="24"/>
        </w:rPr>
        <w:t xml:space="preserve">Tool: </w:t>
      </w:r>
      <w:r w:rsidR="00D55312">
        <w:rPr>
          <w:rFonts w:cs="Times New Roman"/>
          <w:sz w:val="24"/>
          <w:szCs w:val="24"/>
        </w:rPr>
        <w:t>Van Dorn Test supra.</w:t>
      </w:r>
      <w:r w:rsidR="00C22E4C">
        <w:rPr>
          <w:rFonts w:cs="Times New Roman"/>
          <w:sz w:val="24"/>
          <w:szCs w:val="24"/>
        </w:rPr>
        <w:t xml:space="preserve"> 50% ownership is not unity of interest.</w:t>
      </w:r>
    </w:p>
    <w:p w14:paraId="585BC657" w14:textId="4E915FD3" w:rsidR="00F73C7E" w:rsidRPr="00443F62" w:rsidRDefault="00F73C7E" w:rsidP="00D926F0">
      <w:pPr>
        <w:pStyle w:val="Heading3"/>
        <w:numPr>
          <w:ilvl w:val="1"/>
          <w:numId w:val="7"/>
        </w:numPr>
      </w:pPr>
      <w:r w:rsidRPr="00443F62">
        <w:t>Dividends</w:t>
      </w:r>
    </w:p>
    <w:p w14:paraId="53D4DA49" w14:textId="5A026D99" w:rsidR="00F73C7E" w:rsidRDefault="00CB43F2" w:rsidP="00F73C7E">
      <w:pPr>
        <w:pStyle w:val="ListParagraph"/>
        <w:numPr>
          <w:ilvl w:val="2"/>
          <w:numId w:val="7"/>
        </w:numPr>
        <w:rPr>
          <w:rFonts w:cs="Times New Roman"/>
          <w:sz w:val="24"/>
          <w:szCs w:val="24"/>
        </w:rPr>
      </w:pPr>
      <w:r>
        <w:rPr>
          <w:rFonts w:cs="Times New Roman"/>
          <w:sz w:val="24"/>
          <w:szCs w:val="24"/>
        </w:rPr>
        <w:t>Rule</w:t>
      </w:r>
    </w:p>
    <w:p w14:paraId="439CDA67" w14:textId="2F6C2EBD" w:rsidR="00D50250" w:rsidRDefault="00D50250" w:rsidP="00D50250">
      <w:pPr>
        <w:pStyle w:val="ListParagraph"/>
        <w:numPr>
          <w:ilvl w:val="3"/>
          <w:numId w:val="7"/>
        </w:numPr>
        <w:rPr>
          <w:rFonts w:cs="Times New Roman"/>
          <w:sz w:val="24"/>
          <w:szCs w:val="24"/>
        </w:rPr>
      </w:pPr>
      <w:r>
        <w:rPr>
          <w:rFonts w:cs="Times New Roman"/>
          <w:sz w:val="24"/>
          <w:szCs w:val="24"/>
        </w:rPr>
        <w:t>Corporations need not pay dividends</w:t>
      </w:r>
    </w:p>
    <w:p w14:paraId="73737569" w14:textId="664E23CF" w:rsidR="00D50250" w:rsidRDefault="00D50250" w:rsidP="00D50250">
      <w:pPr>
        <w:pStyle w:val="ListParagraph"/>
        <w:numPr>
          <w:ilvl w:val="3"/>
          <w:numId w:val="7"/>
        </w:numPr>
        <w:rPr>
          <w:rFonts w:cs="Times New Roman"/>
          <w:sz w:val="24"/>
          <w:szCs w:val="24"/>
        </w:rPr>
      </w:pPr>
      <w:r>
        <w:rPr>
          <w:rFonts w:cs="Times New Roman"/>
          <w:sz w:val="24"/>
          <w:szCs w:val="24"/>
        </w:rPr>
        <w:t xml:space="preserve">Should a firm issue “preferred stock,” it must first pay dividends on the “preferred” shares before paying any on the “common.” </w:t>
      </w:r>
    </w:p>
    <w:p w14:paraId="12F86313" w14:textId="2A335F00" w:rsidR="00C73A32" w:rsidRDefault="00C73A32" w:rsidP="00C73A32">
      <w:pPr>
        <w:pStyle w:val="ListParagraph"/>
        <w:numPr>
          <w:ilvl w:val="3"/>
          <w:numId w:val="7"/>
        </w:numPr>
        <w:rPr>
          <w:rFonts w:cs="Times New Roman"/>
          <w:sz w:val="24"/>
          <w:szCs w:val="24"/>
        </w:rPr>
      </w:pPr>
      <w:r w:rsidRPr="00C73A32">
        <w:rPr>
          <w:rFonts w:cs="Times New Roman"/>
          <w:sz w:val="24"/>
          <w:szCs w:val="24"/>
        </w:rPr>
        <w:t xml:space="preserve">Par value – relevant only when a company first issues stick (initial sale) – person who buys it first must pay at least par value. If the person doesn’t pay par value, the company can sue the person later to get par. </w:t>
      </w:r>
    </w:p>
    <w:p w14:paraId="45B5B0D8" w14:textId="15760D25" w:rsidR="00D50250" w:rsidRDefault="00D50250" w:rsidP="00D50250">
      <w:pPr>
        <w:pStyle w:val="ListParagraph"/>
        <w:numPr>
          <w:ilvl w:val="3"/>
          <w:numId w:val="7"/>
        </w:numPr>
        <w:rPr>
          <w:rFonts w:cs="Times New Roman"/>
          <w:sz w:val="24"/>
          <w:szCs w:val="24"/>
        </w:rPr>
      </w:pPr>
      <w:r w:rsidRPr="00D50250">
        <w:rPr>
          <w:rFonts w:cs="Times New Roman"/>
          <w:sz w:val="24"/>
          <w:szCs w:val="24"/>
        </w:rPr>
        <w:t>Directors cannot pay dividends whenever they please. Directors may pay dividends if the firm meets one of two tests (</w:t>
      </w:r>
      <w:r>
        <w:rPr>
          <w:rFonts w:cs="Times New Roman"/>
          <w:sz w:val="24"/>
          <w:szCs w:val="24"/>
        </w:rPr>
        <w:t xml:space="preserve">Delaware statutes): </w:t>
      </w:r>
    </w:p>
    <w:p w14:paraId="5741B01D" w14:textId="25642288" w:rsidR="00D50250" w:rsidRPr="00CB43F2" w:rsidRDefault="00D50250" w:rsidP="00CB43F2">
      <w:pPr>
        <w:pStyle w:val="ListParagraph"/>
        <w:numPr>
          <w:ilvl w:val="4"/>
          <w:numId w:val="7"/>
        </w:numPr>
        <w:rPr>
          <w:rFonts w:cs="Times New Roman"/>
          <w:sz w:val="24"/>
          <w:szCs w:val="24"/>
        </w:rPr>
      </w:pPr>
      <w:r>
        <w:rPr>
          <w:rFonts w:cs="Times New Roman"/>
          <w:sz w:val="24"/>
          <w:szCs w:val="24"/>
        </w:rPr>
        <w:t xml:space="preserve">If the </w:t>
      </w:r>
      <w:r w:rsidR="00CB43F2">
        <w:rPr>
          <w:rFonts w:cs="Times New Roman"/>
          <w:sz w:val="24"/>
          <w:szCs w:val="24"/>
        </w:rPr>
        <w:t>firm has a large enough surplus (</w:t>
      </w:r>
      <w:r w:rsidRPr="00CB43F2">
        <w:rPr>
          <w:rFonts w:cs="Times New Roman"/>
          <w:sz w:val="24"/>
          <w:szCs w:val="24"/>
        </w:rPr>
        <w:t>diff</w:t>
      </w:r>
      <w:r w:rsidR="00CB43F2">
        <w:rPr>
          <w:rFonts w:cs="Times New Roman"/>
          <w:sz w:val="24"/>
          <w:szCs w:val="24"/>
        </w:rPr>
        <w:t>erence between the net assets and legal capital)</w:t>
      </w:r>
    </w:p>
    <w:p w14:paraId="7B2A856C" w14:textId="3E4A1D40" w:rsidR="00D50250" w:rsidRDefault="00D50250" w:rsidP="00D50250">
      <w:pPr>
        <w:pStyle w:val="ListParagraph"/>
        <w:numPr>
          <w:ilvl w:val="5"/>
          <w:numId w:val="7"/>
        </w:numPr>
        <w:rPr>
          <w:rFonts w:cs="Times New Roman"/>
          <w:sz w:val="24"/>
          <w:szCs w:val="24"/>
        </w:rPr>
      </w:pPr>
      <w:r>
        <w:rPr>
          <w:rFonts w:cs="Times New Roman"/>
          <w:sz w:val="24"/>
          <w:szCs w:val="24"/>
        </w:rPr>
        <w:t>Net assets – difference between its total assets and total liabilities</w:t>
      </w:r>
    </w:p>
    <w:p w14:paraId="40DECC22" w14:textId="077BD36A" w:rsidR="00D50250" w:rsidRDefault="00D50250" w:rsidP="00D50250">
      <w:pPr>
        <w:pStyle w:val="ListParagraph"/>
        <w:numPr>
          <w:ilvl w:val="5"/>
          <w:numId w:val="7"/>
        </w:numPr>
        <w:rPr>
          <w:rFonts w:cs="Times New Roman"/>
          <w:sz w:val="24"/>
          <w:szCs w:val="24"/>
        </w:rPr>
      </w:pPr>
      <w:r>
        <w:rPr>
          <w:rFonts w:cs="Times New Roman"/>
          <w:sz w:val="24"/>
          <w:szCs w:val="24"/>
        </w:rPr>
        <w:t>Legal capita</w:t>
      </w:r>
      <w:r w:rsidR="00CB43F2">
        <w:rPr>
          <w:rFonts w:cs="Times New Roman"/>
          <w:sz w:val="24"/>
          <w:szCs w:val="24"/>
        </w:rPr>
        <w:t>l</w:t>
      </w:r>
      <w:r>
        <w:rPr>
          <w:rFonts w:cs="Times New Roman"/>
          <w:sz w:val="24"/>
          <w:szCs w:val="24"/>
        </w:rPr>
        <w:t xml:space="preserve"> – (a) for shares with par value, the number of shares outstanding times the per-share par value; and (b) for shares that do not have par value, whatever portion of the cash received on the issuance of the stock the board decides to designate as legal capital. </w:t>
      </w:r>
    </w:p>
    <w:p w14:paraId="6CE3100B" w14:textId="16E63571" w:rsidR="00D50250" w:rsidRPr="00D50250" w:rsidRDefault="00D50250" w:rsidP="00D50250">
      <w:pPr>
        <w:pStyle w:val="ListParagraph"/>
        <w:numPr>
          <w:ilvl w:val="4"/>
          <w:numId w:val="7"/>
        </w:numPr>
        <w:rPr>
          <w:rFonts w:cs="Times New Roman"/>
          <w:sz w:val="24"/>
          <w:szCs w:val="24"/>
        </w:rPr>
      </w:pPr>
      <w:r>
        <w:rPr>
          <w:rFonts w:cs="Times New Roman"/>
          <w:sz w:val="24"/>
          <w:szCs w:val="24"/>
        </w:rPr>
        <w:t xml:space="preserve">Out of profits – either the current fiscal year or the preceding one. </w:t>
      </w:r>
    </w:p>
    <w:p w14:paraId="27C704D4" w14:textId="189CDFEF" w:rsidR="00F73C7E" w:rsidRDefault="00F73C7E" w:rsidP="00F73C7E">
      <w:pPr>
        <w:pStyle w:val="ListParagraph"/>
        <w:numPr>
          <w:ilvl w:val="2"/>
          <w:numId w:val="7"/>
        </w:numPr>
        <w:rPr>
          <w:rFonts w:cs="Times New Roman"/>
          <w:sz w:val="24"/>
          <w:szCs w:val="24"/>
        </w:rPr>
      </w:pPr>
      <w:r w:rsidRPr="00443F62">
        <w:rPr>
          <w:rFonts w:cs="Times New Roman"/>
          <w:sz w:val="24"/>
          <w:szCs w:val="24"/>
        </w:rPr>
        <w:t>Economics</w:t>
      </w:r>
    </w:p>
    <w:p w14:paraId="554789EC" w14:textId="4F1475E5" w:rsidR="00D50250" w:rsidRDefault="00D50250" w:rsidP="00D50250">
      <w:pPr>
        <w:pStyle w:val="ListParagraph"/>
        <w:numPr>
          <w:ilvl w:val="3"/>
          <w:numId w:val="7"/>
        </w:numPr>
        <w:rPr>
          <w:rFonts w:cs="Times New Roman"/>
          <w:sz w:val="24"/>
          <w:szCs w:val="24"/>
        </w:rPr>
      </w:pPr>
      <w:r>
        <w:rPr>
          <w:rFonts w:cs="Times New Roman"/>
          <w:sz w:val="24"/>
          <w:szCs w:val="24"/>
        </w:rPr>
        <w:lastRenderedPageBreak/>
        <w:t>When a firm pays a dividend, the price of the stock will fall. The shareholder, though, will have the cash in his pocket. Shareholder can buy more stock with cash if wishes to have money invested or can sell stock if wants cash.</w:t>
      </w:r>
    </w:p>
    <w:p w14:paraId="4141E92A" w14:textId="5EFBB086" w:rsidR="00D50250" w:rsidRPr="00443F62" w:rsidRDefault="00D50250" w:rsidP="00D50250">
      <w:pPr>
        <w:pStyle w:val="ListParagraph"/>
        <w:numPr>
          <w:ilvl w:val="3"/>
          <w:numId w:val="7"/>
        </w:numPr>
        <w:rPr>
          <w:rFonts w:cs="Times New Roman"/>
          <w:sz w:val="24"/>
          <w:szCs w:val="24"/>
        </w:rPr>
      </w:pPr>
      <w:r>
        <w:rPr>
          <w:rFonts w:cs="Times New Roman"/>
          <w:sz w:val="24"/>
          <w:szCs w:val="24"/>
        </w:rPr>
        <w:t>Paying out dividends doesn’t make any difference for shareholders but this is without considering tax implications and managers decisions to pursue good projects.</w:t>
      </w:r>
    </w:p>
    <w:p w14:paraId="3B195AC1" w14:textId="77777777" w:rsidR="003C0A28" w:rsidRPr="00443F62" w:rsidRDefault="003C0A28" w:rsidP="009052E6">
      <w:pPr>
        <w:pStyle w:val="Style2"/>
      </w:pPr>
    </w:p>
    <w:p w14:paraId="624152CB" w14:textId="38577A80" w:rsidR="00B77A5D" w:rsidRPr="00CB43F2" w:rsidRDefault="00B77A5D" w:rsidP="00CB43F2">
      <w:pPr>
        <w:pStyle w:val="Heading1"/>
      </w:pPr>
      <w:r w:rsidRPr="00D200FC">
        <w:t>FIDUCIARY DUTIES</w:t>
      </w:r>
      <w:r w:rsidR="004B7A88">
        <w:t xml:space="preserve"> OF DIRECTORS</w:t>
      </w:r>
      <w:r w:rsidR="005F3048">
        <w:t>/SHAREHOLDERS</w:t>
      </w:r>
    </w:p>
    <w:p w14:paraId="7679164B" w14:textId="7A3F0713" w:rsidR="00B77A5D" w:rsidRDefault="00D200FC" w:rsidP="00D926F0">
      <w:pPr>
        <w:pStyle w:val="Heading2"/>
        <w:numPr>
          <w:ilvl w:val="0"/>
          <w:numId w:val="9"/>
        </w:numPr>
      </w:pPr>
      <w:r>
        <w:t>Business Judgment Rule</w:t>
      </w:r>
    </w:p>
    <w:p w14:paraId="28EB26E3" w14:textId="6E0C1346" w:rsidR="00D926F0" w:rsidRDefault="00D200FC" w:rsidP="00D926F0">
      <w:pPr>
        <w:pStyle w:val="Heading3"/>
        <w:numPr>
          <w:ilvl w:val="1"/>
          <w:numId w:val="9"/>
        </w:numPr>
      </w:pPr>
      <w:r>
        <w:t>Rule</w:t>
      </w:r>
    </w:p>
    <w:p w14:paraId="687891C1" w14:textId="08CF2944" w:rsidR="00C6367E" w:rsidRPr="00D200FC" w:rsidRDefault="00D22404" w:rsidP="00D200FC">
      <w:pPr>
        <w:pStyle w:val="ListParagraph"/>
        <w:numPr>
          <w:ilvl w:val="2"/>
          <w:numId w:val="9"/>
        </w:numPr>
        <w:rPr>
          <w:rFonts w:cs="Times New Roman"/>
          <w:sz w:val="24"/>
          <w:szCs w:val="24"/>
        </w:rPr>
      </w:pPr>
      <w:r>
        <w:rPr>
          <w:rFonts w:cs="Times New Roman"/>
          <w:sz w:val="24"/>
          <w:szCs w:val="24"/>
        </w:rPr>
        <w:t>Absent evidence of fraud, illegality, conflict of interest, negligence, or waste, courts will defer to the business judgment of the board.</w:t>
      </w:r>
    </w:p>
    <w:p w14:paraId="190BA86F" w14:textId="77777777" w:rsidR="00D22404" w:rsidRDefault="00D22404" w:rsidP="00D22404">
      <w:pPr>
        <w:pStyle w:val="ListParagraph"/>
        <w:numPr>
          <w:ilvl w:val="2"/>
          <w:numId w:val="9"/>
        </w:numPr>
        <w:rPr>
          <w:rFonts w:cs="Times New Roman"/>
          <w:sz w:val="24"/>
          <w:szCs w:val="24"/>
        </w:rPr>
      </w:pPr>
      <w:r>
        <w:rPr>
          <w:rFonts w:cs="Times New Roman"/>
          <w:sz w:val="24"/>
          <w:szCs w:val="24"/>
        </w:rPr>
        <w:t>Negligence – Duty of Care – amount of care which ordinarily careful and prudent men would use in similar circumstances – closer to gross negligence</w:t>
      </w:r>
    </w:p>
    <w:p w14:paraId="4FE23422" w14:textId="7603B401" w:rsidR="00D22404" w:rsidRDefault="00D22404" w:rsidP="00D22404">
      <w:pPr>
        <w:pStyle w:val="ListParagraph"/>
        <w:numPr>
          <w:ilvl w:val="2"/>
          <w:numId w:val="9"/>
        </w:numPr>
        <w:rPr>
          <w:rFonts w:cs="Times New Roman"/>
          <w:sz w:val="24"/>
          <w:szCs w:val="24"/>
        </w:rPr>
      </w:pPr>
      <w:r>
        <w:rPr>
          <w:rFonts w:cs="Times New Roman"/>
          <w:sz w:val="24"/>
          <w:szCs w:val="24"/>
        </w:rPr>
        <w:t xml:space="preserve">Conflict of Interest – Duty of Loyalty – A director or officer who secretly deals with his own firm breaches his duty of loyalty. The corporation can ratify the conflict. But if it does not, it can void the transaction, sue him for damages, and demand that he disgorge his profits. </w:t>
      </w:r>
    </w:p>
    <w:p w14:paraId="705DCBFA" w14:textId="6933A752" w:rsidR="00F87059" w:rsidRPr="00CB6749" w:rsidRDefault="00F87059" w:rsidP="00F87059">
      <w:pPr>
        <w:pStyle w:val="Heading3"/>
        <w:numPr>
          <w:ilvl w:val="1"/>
          <w:numId w:val="9"/>
        </w:numPr>
      </w:pPr>
      <w:proofErr w:type="spellStart"/>
      <w:r w:rsidRPr="00CB6749">
        <w:t>Kamin</w:t>
      </w:r>
      <w:proofErr w:type="spellEnd"/>
      <w:r w:rsidRPr="00CB6749">
        <w:t xml:space="preserve"> v. American Express Company (1st Dept. 1976)</w:t>
      </w:r>
    </w:p>
    <w:p w14:paraId="5967162D" w14:textId="77777777" w:rsidR="00F87059" w:rsidRDefault="00F87059" w:rsidP="00F87059">
      <w:pPr>
        <w:pStyle w:val="ListParagraph"/>
        <w:numPr>
          <w:ilvl w:val="2"/>
          <w:numId w:val="9"/>
        </w:numPr>
        <w:rPr>
          <w:rFonts w:cs="Times New Roman"/>
          <w:sz w:val="24"/>
          <w:szCs w:val="24"/>
        </w:rPr>
      </w:pPr>
      <w:r>
        <w:rPr>
          <w:rFonts w:cs="Times New Roman"/>
          <w:sz w:val="24"/>
          <w:szCs w:val="24"/>
        </w:rPr>
        <w:t>Synopsis: Amex shareholders brought a derivative suit to challenge the board’s decision to distribute DLJ shares as a dividend in kind. The shareholders argued that the firm’s strategy cost it $8M in taxes it could avoid only if it sold the shares first; the board replied that a sale would generate an accounting loss that would cause its stock price to plummet (and note also the inside directors’ salaries). Court found potential conflict of interest with salaries (board members’ salaries tied to accounting books) to be speculative (so no violation of duty of loyalty) and that board met its duty of care by calling a meeting, hearing both sides of the argument, and making a decision. With no conflict of interest or negligence, court cited the business judgment rule and approved the board’s decision.</w:t>
      </w:r>
    </w:p>
    <w:p w14:paraId="62CAACF7" w14:textId="77777777" w:rsidR="00F87059" w:rsidRDefault="00F87059" w:rsidP="00F87059">
      <w:pPr>
        <w:pStyle w:val="ListParagraph"/>
        <w:numPr>
          <w:ilvl w:val="2"/>
          <w:numId w:val="9"/>
        </w:numPr>
        <w:rPr>
          <w:rFonts w:cs="Times New Roman"/>
          <w:sz w:val="24"/>
          <w:szCs w:val="24"/>
        </w:rPr>
      </w:pPr>
      <w:r>
        <w:rPr>
          <w:rFonts w:cs="Times New Roman"/>
          <w:sz w:val="24"/>
          <w:szCs w:val="24"/>
        </w:rPr>
        <w:t xml:space="preserve">Tool: Business Judgment Rule. </w:t>
      </w:r>
    </w:p>
    <w:p w14:paraId="75ECD051" w14:textId="34F0397A" w:rsidR="002527F7" w:rsidRPr="002527F7" w:rsidRDefault="00C6367E" w:rsidP="002527F7">
      <w:pPr>
        <w:pStyle w:val="Heading2"/>
        <w:numPr>
          <w:ilvl w:val="0"/>
          <w:numId w:val="9"/>
        </w:numPr>
      </w:pPr>
      <w:r>
        <w:t>Duty of Care</w:t>
      </w:r>
    </w:p>
    <w:p w14:paraId="469F8195" w14:textId="7F9B651E" w:rsidR="00A92192" w:rsidRPr="00F87059" w:rsidRDefault="00C6367E" w:rsidP="00F87059">
      <w:pPr>
        <w:pStyle w:val="Heading3"/>
        <w:numPr>
          <w:ilvl w:val="1"/>
          <w:numId w:val="9"/>
        </w:numPr>
      </w:pPr>
      <w:r>
        <w:t>The Basic Rule</w:t>
      </w:r>
      <w:r w:rsidR="00F87059">
        <w:t xml:space="preserve"> – </w:t>
      </w:r>
      <w:r w:rsidR="00A92192" w:rsidRPr="00F87059">
        <w:rPr>
          <w:rFonts w:cs="Times New Roman"/>
          <w:i/>
        </w:rPr>
        <w:t>Francis v. United Jersey Bank (NJ 1981)</w:t>
      </w:r>
    </w:p>
    <w:p w14:paraId="44324B0E" w14:textId="77777777" w:rsidR="00D12B66" w:rsidRDefault="00D12B66" w:rsidP="00F87059">
      <w:pPr>
        <w:pStyle w:val="ListParagraph"/>
        <w:numPr>
          <w:ilvl w:val="2"/>
          <w:numId w:val="9"/>
        </w:numPr>
        <w:rPr>
          <w:rFonts w:cs="Times New Roman"/>
          <w:sz w:val="24"/>
          <w:szCs w:val="24"/>
        </w:rPr>
      </w:pPr>
      <w:r>
        <w:rPr>
          <w:rFonts w:cs="Times New Roman"/>
          <w:sz w:val="24"/>
          <w:szCs w:val="24"/>
        </w:rPr>
        <w:t xml:space="preserve">Synopsis: For the creditors, P&amp;B’s bankruptcy trustee (P) sued </w:t>
      </w:r>
      <w:r w:rsidRPr="00D12B66">
        <w:rPr>
          <w:rFonts w:cs="Times New Roman"/>
          <w:sz w:val="24"/>
          <w:szCs w:val="24"/>
        </w:rPr>
        <w:t xml:space="preserve">the executrix of the estate </w:t>
      </w:r>
      <w:r>
        <w:rPr>
          <w:rFonts w:cs="Times New Roman"/>
          <w:sz w:val="24"/>
          <w:szCs w:val="24"/>
        </w:rPr>
        <w:t xml:space="preserve">Lillian Pritchard (D) for negligence as director of P&amp;B. P sued on theory that Lillian’s sons would not have been able to steal from P&amp;B. Court held that Lillian breached duty of care. Although she was bedridden and alcoholic, she should have resigned. </w:t>
      </w:r>
    </w:p>
    <w:p w14:paraId="4B6B8B7E" w14:textId="77777777" w:rsidR="00D12B66" w:rsidRDefault="00D12B66" w:rsidP="00F87059">
      <w:pPr>
        <w:pStyle w:val="ListParagraph"/>
        <w:numPr>
          <w:ilvl w:val="2"/>
          <w:numId w:val="9"/>
        </w:numPr>
        <w:rPr>
          <w:rFonts w:cs="Times New Roman"/>
          <w:sz w:val="24"/>
          <w:szCs w:val="24"/>
        </w:rPr>
      </w:pPr>
      <w:r>
        <w:rPr>
          <w:rFonts w:cs="Times New Roman"/>
          <w:sz w:val="24"/>
          <w:szCs w:val="24"/>
        </w:rPr>
        <w:t>Tool:</w:t>
      </w:r>
    </w:p>
    <w:p w14:paraId="137D7181" w14:textId="77777777" w:rsidR="00D12B66" w:rsidRDefault="00D12B66" w:rsidP="00F87059">
      <w:pPr>
        <w:pStyle w:val="ListParagraph"/>
        <w:numPr>
          <w:ilvl w:val="3"/>
          <w:numId w:val="9"/>
        </w:numPr>
        <w:rPr>
          <w:rFonts w:cs="Times New Roman"/>
          <w:sz w:val="24"/>
          <w:szCs w:val="24"/>
        </w:rPr>
      </w:pPr>
      <w:r>
        <w:rPr>
          <w:rFonts w:cs="Times New Roman"/>
          <w:sz w:val="24"/>
          <w:szCs w:val="24"/>
        </w:rPr>
        <w:t>Courts do not lower standard to meet fiduciary duties just because of agent’s state of well-being.</w:t>
      </w:r>
    </w:p>
    <w:p w14:paraId="22C4CD6B" w14:textId="0725FC10" w:rsidR="00A92192" w:rsidRDefault="00D12B66" w:rsidP="00F87059">
      <w:pPr>
        <w:pStyle w:val="ListParagraph"/>
        <w:numPr>
          <w:ilvl w:val="3"/>
          <w:numId w:val="9"/>
        </w:numPr>
        <w:rPr>
          <w:rFonts w:cs="Times New Roman"/>
          <w:sz w:val="24"/>
          <w:szCs w:val="24"/>
        </w:rPr>
      </w:pPr>
      <w:r>
        <w:rPr>
          <w:rFonts w:cs="Times New Roman"/>
          <w:sz w:val="24"/>
          <w:szCs w:val="24"/>
        </w:rPr>
        <w:t>Directors owe their fiduciary duties to creditors rather than, or in addition, to shareholders in two contexts: (1) When a firm receives money in trust (as reinsurance brokers routinely did), board members serve as fiduciaries for the people entrusting the funds. (2) When a firm becomes insolvent (as P&amp;B was), board members owe fiduciary duties to creditors</w:t>
      </w:r>
      <w:r w:rsidR="009F273E">
        <w:rPr>
          <w:rFonts w:cs="Times New Roman"/>
          <w:sz w:val="24"/>
          <w:szCs w:val="24"/>
        </w:rPr>
        <w:t xml:space="preserve"> (because they become residual claimants)</w:t>
      </w:r>
      <w:r w:rsidR="00F87059">
        <w:rPr>
          <w:rFonts w:cs="Times New Roman"/>
          <w:sz w:val="24"/>
          <w:szCs w:val="24"/>
        </w:rPr>
        <w:t>. When times are good</w:t>
      </w:r>
      <w:r>
        <w:rPr>
          <w:rFonts w:cs="Times New Roman"/>
          <w:sz w:val="24"/>
          <w:szCs w:val="24"/>
        </w:rPr>
        <w:t>, board members owe shareholde</w:t>
      </w:r>
      <w:r w:rsidR="009F273E">
        <w:rPr>
          <w:rFonts w:cs="Times New Roman"/>
          <w:sz w:val="24"/>
          <w:szCs w:val="24"/>
        </w:rPr>
        <w:t xml:space="preserve">rs a fiduciary duty because they </w:t>
      </w:r>
      <w:r>
        <w:rPr>
          <w:rFonts w:cs="Times New Roman"/>
          <w:sz w:val="24"/>
          <w:szCs w:val="24"/>
        </w:rPr>
        <w:t xml:space="preserve">stand as the firm’s residual claimants. When times go bad, the creditors effectively replace the shareholders as residual claimants. </w:t>
      </w:r>
    </w:p>
    <w:p w14:paraId="08925C77" w14:textId="1ED5334A" w:rsidR="00CB50CC" w:rsidRPr="00CB50CC" w:rsidRDefault="00CB50CC" w:rsidP="00F87059">
      <w:pPr>
        <w:pStyle w:val="ListParagraph"/>
        <w:numPr>
          <w:ilvl w:val="3"/>
          <w:numId w:val="9"/>
        </w:numPr>
        <w:rPr>
          <w:rFonts w:cs="Times New Roman"/>
          <w:sz w:val="24"/>
          <w:szCs w:val="24"/>
          <w:u w:val="single"/>
        </w:rPr>
      </w:pPr>
      <w:r w:rsidRPr="00CB50CC">
        <w:rPr>
          <w:rFonts w:cs="Times New Roman"/>
          <w:sz w:val="24"/>
          <w:szCs w:val="24"/>
        </w:rPr>
        <w:t>NJ statute “</w:t>
      </w:r>
      <w:r w:rsidRPr="00CB50CC">
        <w:rPr>
          <w:rFonts w:cs="Times New Roman"/>
          <w:sz w:val="24"/>
          <w:szCs w:val="24"/>
          <w:u w:val="single"/>
        </w:rPr>
        <w:t>makes it incumbent upon directors to discharge their duties in good faith and with that degree of diligence, care and skill which ordinarily prudent men would exercise under similar circumstances in like positions.”</w:t>
      </w:r>
    </w:p>
    <w:p w14:paraId="22F319A8" w14:textId="1D91E05C" w:rsidR="00D12B66" w:rsidRDefault="00D12B66" w:rsidP="00F87059">
      <w:pPr>
        <w:pStyle w:val="ListParagraph"/>
        <w:numPr>
          <w:ilvl w:val="3"/>
          <w:numId w:val="9"/>
        </w:numPr>
        <w:rPr>
          <w:rFonts w:cs="Times New Roman"/>
          <w:sz w:val="24"/>
          <w:szCs w:val="24"/>
        </w:rPr>
      </w:pPr>
      <w:r>
        <w:rPr>
          <w:rFonts w:cs="Times New Roman"/>
          <w:sz w:val="24"/>
          <w:szCs w:val="24"/>
        </w:rPr>
        <w:lastRenderedPageBreak/>
        <w:t>Board members need not conduct “a detailed inspection of day-to-day activities” but they should “keep informed about the activities of the corporation” and maintain “a general monitoring of corporate affairs.”</w:t>
      </w:r>
    </w:p>
    <w:p w14:paraId="0058E8AA" w14:textId="2CC0C569" w:rsidR="00D12B66" w:rsidRDefault="00D12B66" w:rsidP="00F87059">
      <w:pPr>
        <w:pStyle w:val="ListParagraph"/>
        <w:numPr>
          <w:ilvl w:val="3"/>
          <w:numId w:val="9"/>
        </w:numPr>
        <w:rPr>
          <w:rFonts w:cs="Times New Roman"/>
          <w:sz w:val="24"/>
          <w:szCs w:val="24"/>
        </w:rPr>
      </w:pPr>
      <w:r>
        <w:rPr>
          <w:rFonts w:cs="Times New Roman"/>
          <w:sz w:val="24"/>
          <w:szCs w:val="24"/>
        </w:rPr>
        <w:t>Board members, unless on notice of misbehavior, may rely on accounting statements prepared by a reputa</w:t>
      </w:r>
      <w:r w:rsidR="00CB6749">
        <w:rPr>
          <w:rFonts w:cs="Times New Roman"/>
          <w:sz w:val="24"/>
          <w:szCs w:val="24"/>
        </w:rPr>
        <w:t>ble accounting firm.</w:t>
      </w:r>
    </w:p>
    <w:p w14:paraId="6DE280EB" w14:textId="61656C9F" w:rsidR="00D12B66" w:rsidRDefault="00D12B66" w:rsidP="00F87059">
      <w:pPr>
        <w:pStyle w:val="ListParagraph"/>
        <w:numPr>
          <w:ilvl w:val="3"/>
          <w:numId w:val="9"/>
        </w:numPr>
        <w:rPr>
          <w:rFonts w:cs="Times New Roman"/>
          <w:sz w:val="24"/>
          <w:szCs w:val="24"/>
        </w:rPr>
      </w:pPr>
      <w:r>
        <w:rPr>
          <w:rFonts w:cs="Times New Roman"/>
          <w:sz w:val="24"/>
          <w:szCs w:val="24"/>
        </w:rPr>
        <w:t>Should directors learn of misconduct, they m</w:t>
      </w:r>
      <w:r w:rsidR="00BA7832">
        <w:rPr>
          <w:rFonts w:cs="Times New Roman"/>
          <w:sz w:val="24"/>
          <w:szCs w:val="24"/>
        </w:rPr>
        <w:t xml:space="preserve">ust do what they can to stop it </w:t>
      </w:r>
      <w:r w:rsidR="009F273E">
        <w:rPr>
          <w:rFonts w:cs="Times New Roman"/>
          <w:sz w:val="24"/>
          <w:szCs w:val="24"/>
        </w:rPr>
        <w:t xml:space="preserve">– </w:t>
      </w:r>
      <w:r w:rsidR="00BA7832">
        <w:rPr>
          <w:rFonts w:cs="Times New Roman"/>
          <w:sz w:val="24"/>
          <w:szCs w:val="24"/>
        </w:rPr>
        <w:t>dissent from corporate decisions, insist that the minutes record their dissent, consult an attorney, sue the miscreants, etc.</w:t>
      </w:r>
    </w:p>
    <w:p w14:paraId="6C618691" w14:textId="34B7536D" w:rsidR="00C6367E" w:rsidRDefault="004B6AFF" w:rsidP="00703047">
      <w:pPr>
        <w:pStyle w:val="Heading3"/>
        <w:numPr>
          <w:ilvl w:val="1"/>
          <w:numId w:val="9"/>
        </w:numPr>
      </w:pPr>
      <w:r>
        <w:t>Made Optional</w:t>
      </w:r>
    </w:p>
    <w:p w14:paraId="0EB09A63" w14:textId="029E8058" w:rsidR="00C6367E" w:rsidRDefault="00C6367E" w:rsidP="00C6367E">
      <w:pPr>
        <w:pStyle w:val="ListParagraph"/>
        <w:numPr>
          <w:ilvl w:val="2"/>
          <w:numId w:val="9"/>
        </w:numPr>
        <w:rPr>
          <w:rFonts w:cs="Times New Roman"/>
          <w:sz w:val="24"/>
          <w:szCs w:val="24"/>
        </w:rPr>
      </w:pPr>
      <w:r w:rsidRPr="006F0911">
        <w:rPr>
          <w:rFonts w:cs="Times New Roman"/>
          <w:i/>
          <w:sz w:val="24"/>
          <w:szCs w:val="24"/>
        </w:rPr>
        <w:t xml:space="preserve">Smith v. Van </w:t>
      </w:r>
      <w:proofErr w:type="spellStart"/>
      <w:r w:rsidRPr="006F0911">
        <w:rPr>
          <w:rFonts w:cs="Times New Roman"/>
          <w:i/>
          <w:sz w:val="24"/>
          <w:szCs w:val="24"/>
        </w:rPr>
        <w:t>Gorkom</w:t>
      </w:r>
      <w:proofErr w:type="spellEnd"/>
      <w:r w:rsidR="006F0911">
        <w:rPr>
          <w:rFonts w:cs="Times New Roman"/>
          <w:sz w:val="24"/>
          <w:szCs w:val="24"/>
        </w:rPr>
        <w:t xml:space="preserve"> – Delaware Supreme Court found Trans Union board members breached duty of care for acting too hastily (2 hour meeting) and not trying hard enough</w:t>
      </w:r>
      <w:r w:rsidR="00D3298C">
        <w:rPr>
          <w:rFonts w:cs="Times New Roman"/>
          <w:sz w:val="24"/>
          <w:szCs w:val="24"/>
        </w:rPr>
        <w:t xml:space="preserve"> to obtain higher price (approved merger at 145% of the firm’s market price)</w:t>
      </w:r>
    </w:p>
    <w:p w14:paraId="59B5BC65" w14:textId="6871C33B" w:rsidR="00C6367E" w:rsidRDefault="00C6367E" w:rsidP="00C6367E">
      <w:pPr>
        <w:pStyle w:val="ListParagraph"/>
        <w:numPr>
          <w:ilvl w:val="2"/>
          <w:numId w:val="9"/>
        </w:numPr>
        <w:rPr>
          <w:rFonts w:cs="Times New Roman"/>
          <w:sz w:val="24"/>
          <w:szCs w:val="24"/>
        </w:rPr>
      </w:pPr>
      <w:r>
        <w:rPr>
          <w:rFonts w:cs="Times New Roman"/>
          <w:sz w:val="24"/>
          <w:szCs w:val="24"/>
        </w:rPr>
        <w:t>Legislative Response</w:t>
      </w:r>
      <w:r w:rsidR="006F0911">
        <w:rPr>
          <w:rFonts w:cs="Times New Roman"/>
          <w:sz w:val="24"/>
          <w:szCs w:val="24"/>
        </w:rPr>
        <w:t xml:space="preserve"> – due to outrage in response to </w:t>
      </w:r>
      <w:r w:rsidR="006F0911" w:rsidRPr="006F0911">
        <w:rPr>
          <w:rFonts w:cs="Times New Roman"/>
          <w:i/>
          <w:sz w:val="24"/>
          <w:szCs w:val="24"/>
        </w:rPr>
        <w:t xml:space="preserve">Van </w:t>
      </w:r>
      <w:proofErr w:type="spellStart"/>
      <w:r w:rsidR="006F0911" w:rsidRPr="006F0911">
        <w:rPr>
          <w:rFonts w:cs="Times New Roman"/>
          <w:i/>
          <w:sz w:val="24"/>
          <w:szCs w:val="24"/>
        </w:rPr>
        <w:t>Gorkom</w:t>
      </w:r>
      <w:proofErr w:type="spellEnd"/>
      <w:r w:rsidR="006F0911">
        <w:rPr>
          <w:rFonts w:cs="Times New Roman"/>
          <w:sz w:val="24"/>
          <w:szCs w:val="24"/>
        </w:rPr>
        <w:t xml:space="preserve">, legislature decided to let firms opt out of </w:t>
      </w:r>
      <w:r w:rsidR="006F0911" w:rsidRPr="006F0911">
        <w:rPr>
          <w:rFonts w:cs="Times New Roman"/>
          <w:i/>
          <w:sz w:val="24"/>
          <w:szCs w:val="24"/>
        </w:rPr>
        <w:t xml:space="preserve">Van </w:t>
      </w:r>
      <w:proofErr w:type="spellStart"/>
      <w:r w:rsidR="006F0911" w:rsidRPr="006F0911">
        <w:rPr>
          <w:rFonts w:cs="Times New Roman"/>
          <w:i/>
          <w:sz w:val="24"/>
          <w:szCs w:val="24"/>
        </w:rPr>
        <w:t>Gorkom</w:t>
      </w:r>
      <w:proofErr w:type="spellEnd"/>
      <w:r w:rsidR="006F0911">
        <w:rPr>
          <w:rFonts w:cs="Times New Roman"/>
          <w:sz w:val="24"/>
          <w:szCs w:val="24"/>
        </w:rPr>
        <w:t>, and firms did almost universally.</w:t>
      </w:r>
    </w:p>
    <w:p w14:paraId="6E5DCB59" w14:textId="1586A231" w:rsidR="006F0911" w:rsidRDefault="006F0911" w:rsidP="006F0911">
      <w:pPr>
        <w:pStyle w:val="ListParagraph"/>
        <w:numPr>
          <w:ilvl w:val="3"/>
          <w:numId w:val="9"/>
        </w:numPr>
        <w:rPr>
          <w:rFonts w:cs="Times New Roman"/>
          <w:sz w:val="24"/>
          <w:szCs w:val="24"/>
        </w:rPr>
      </w:pPr>
      <w:r>
        <w:rPr>
          <w:rFonts w:cs="Times New Roman"/>
          <w:sz w:val="24"/>
          <w:szCs w:val="24"/>
        </w:rPr>
        <w:t xml:space="preserve">Del. § 102(b)(7) – </w:t>
      </w:r>
      <w:r w:rsidR="00CB6749">
        <w:rPr>
          <w:rFonts w:cs="Times New Roman"/>
          <w:sz w:val="24"/>
          <w:szCs w:val="24"/>
        </w:rPr>
        <w:t>bylaws may include</w:t>
      </w:r>
      <w:r>
        <w:rPr>
          <w:rFonts w:cs="Times New Roman"/>
          <w:sz w:val="24"/>
          <w:szCs w:val="24"/>
        </w:rPr>
        <w:t>“ [a] provision eliminating or limiting the personal liability of a director to the corporation or its stockholders for monetary damages for breach of fiduciary duty as a director, provided that such provision shall not eliminate or limit the liability of a director: (</w:t>
      </w:r>
      <w:proofErr w:type="spellStart"/>
      <w:r>
        <w:rPr>
          <w:rFonts w:cs="Times New Roman"/>
          <w:sz w:val="24"/>
          <w:szCs w:val="24"/>
        </w:rPr>
        <w:t>i</w:t>
      </w:r>
      <w:proofErr w:type="spellEnd"/>
      <w:r>
        <w:rPr>
          <w:rFonts w:cs="Times New Roman"/>
          <w:sz w:val="24"/>
          <w:szCs w:val="24"/>
        </w:rPr>
        <w:t xml:space="preserve">) For any breach of the director’s duty of loyalty to the corporation or its stockholders; (ii) for acts or omissions </w:t>
      </w:r>
      <w:r w:rsidRPr="004120C1">
        <w:rPr>
          <w:rFonts w:cs="Times New Roman"/>
          <w:sz w:val="24"/>
          <w:szCs w:val="24"/>
          <w:u w:val="single"/>
        </w:rPr>
        <w:t>not in good faith</w:t>
      </w:r>
      <w:r>
        <w:rPr>
          <w:rFonts w:cs="Times New Roman"/>
          <w:sz w:val="24"/>
          <w:szCs w:val="24"/>
        </w:rPr>
        <w:t xml:space="preserve"> or which involve intentional misconduct or a knowing violation of law…” </w:t>
      </w:r>
    </w:p>
    <w:p w14:paraId="15AE5656" w14:textId="0B741FA2" w:rsidR="00D3298C" w:rsidRPr="004B6AFF" w:rsidRDefault="00D3298C" w:rsidP="006F0911">
      <w:pPr>
        <w:pStyle w:val="ListParagraph"/>
        <w:numPr>
          <w:ilvl w:val="3"/>
          <w:numId w:val="9"/>
        </w:numPr>
        <w:rPr>
          <w:rFonts w:cs="Times New Roman"/>
          <w:sz w:val="24"/>
          <w:szCs w:val="24"/>
          <w:u w:val="single"/>
        </w:rPr>
      </w:pPr>
      <w:r w:rsidRPr="004B6AFF">
        <w:rPr>
          <w:rFonts w:cs="Times New Roman"/>
          <w:sz w:val="24"/>
          <w:szCs w:val="24"/>
          <w:u w:val="single"/>
        </w:rPr>
        <w:t xml:space="preserve">In other words, firms could agree not to hold executives liable for duty of care violations. </w:t>
      </w:r>
    </w:p>
    <w:p w14:paraId="7E2738EF" w14:textId="3AF83704" w:rsidR="00C6367E" w:rsidRDefault="00C6367E" w:rsidP="00C6367E">
      <w:pPr>
        <w:pStyle w:val="ListParagraph"/>
        <w:numPr>
          <w:ilvl w:val="2"/>
          <w:numId w:val="9"/>
        </w:numPr>
        <w:rPr>
          <w:rFonts w:cs="Times New Roman"/>
          <w:sz w:val="24"/>
          <w:szCs w:val="24"/>
        </w:rPr>
      </w:pPr>
      <w:r>
        <w:rPr>
          <w:rFonts w:cs="Times New Roman"/>
          <w:sz w:val="24"/>
          <w:szCs w:val="24"/>
        </w:rPr>
        <w:t>Indemnification</w:t>
      </w:r>
    </w:p>
    <w:p w14:paraId="00182581" w14:textId="54D496D3" w:rsidR="00D57C1D" w:rsidRDefault="00D57C1D" w:rsidP="00D57C1D">
      <w:pPr>
        <w:pStyle w:val="ListParagraph"/>
        <w:numPr>
          <w:ilvl w:val="3"/>
          <w:numId w:val="9"/>
        </w:numPr>
        <w:rPr>
          <w:rFonts w:cs="Times New Roman"/>
          <w:sz w:val="24"/>
          <w:szCs w:val="24"/>
        </w:rPr>
      </w:pPr>
      <w:r>
        <w:rPr>
          <w:rFonts w:cs="Times New Roman"/>
          <w:sz w:val="24"/>
          <w:szCs w:val="24"/>
        </w:rPr>
        <w:t>Del. § 145(c) – all firms must indemnify their directors against expenses they incur in defending themselves – successfully – in suits over their work at the firm.</w:t>
      </w:r>
    </w:p>
    <w:p w14:paraId="7D7A3873" w14:textId="52FAD069" w:rsidR="00D57C1D" w:rsidRDefault="00D57C1D" w:rsidP="00D57C1D">
      <w:pPr>
        <w:pStyle w:val="ListParagraph"/>
        <w:numPr>
          <w:ilvl w:val="3"/>
          <w:numId w:val="9"/>
        </w:numPr>
        <w:rPr>
          <w:rFonts w:cs="Times New Roman"/>
          <w:sz w:val="24"/>
          <w:szCs w:val="24"/>
        </w:rPr>
      </w:pPr>
      <w:r>
        <w:rPr>
          <w:rFonts w:cs="Times New Roman"/>
          <w:sz w:val="24"/>
          <w:szCs w:val="24"/>
        </w:rPr>
        <w:t xml:space="preserve">Del. § 145(a) – may indemnify directors and officers even if they lose, provided that they acted in good faith. </w:t>
      </w:r>
    </w:p>
    <w:p w14:paraId="38F61119" w14:textId="51798148" w:rsidR="00D57C1D" w:rsidRDefault="00D57C1D" w:rsidP="00D57C1D">
      <w:pPr>
        <w:pStyle w:val="ListParagraph"/>
        <w:numPr>
          <w:ilvl w:val="3"/>
          <w:numId w:val="9"/>
        </w:numPr>
        <w:rPr>
          <w:rFonts w:cs="Times New Roman"/>
          <w:sz w:val="24"/>
          <w:szCs w:val="24"/>
        </w:rPr>
      </w:pPr>
      <w:r>
        <w:rPr>
          <w:rFonts w:cs="Times New Roman"/>
          <w:sz w:val="24"/>
          <w:szCs w:val="24"/>
        </w:rPr>
        <w:t>Del. § 145 (b) – firms can sometimes indemnify directors and officers even in derivative suits</w:t>
      </w:r>
    </w:p>
    <w:p w14:paraId="5F63641A" w14:textId="15A41315" w:rsidR="00C6367E" w:rsidRDefault="004B6AFF" w:rsidP="00703047">
      <w:pPr>
        <w:pStyle w:val="Heading3"/>
        <w:numPr>
          <w:ilvl w:val="1"/>
          <w:numId w:val="9"/>
        </w:numPr>
      </w:pPr>
      <w:r>
        <w:t>Oversight Moved to Duty of Loyalty</w:t>
      </w:r>
    </w:p>
    <w:p w14:paraId="32B41EAF" w14:textId="293B3AC6" w:rsidR="00C6367E" w:rsidRPr="00703047" w:rsidRDefault="00CB6749" w:rsidP="00703047">
      <w:pPr>
        <w:pStyle w:val="ListParagraph"/>
        <w:numPr>
          <w:ilvl w:val="2"/>
          <w:numId w:val="9"/>
        </w:numPr>
        <w:rPr>
          <w:rFonts w:cs="Times New Roman"/>
          <w:i/>
          <w:sz w:val="24"/>
          <w:szCs w:val="24"/>
        </w:rPr>
      </w:pPr>
      <w:r>
        <w:rPr>
          <w:rFonts w:cs="Times New Roman"/>
          <w:sz w:val="24"/>
          <w:szCs w:val="24"/>
        </w:rPr>
        <w:t xml:space="preserve">Bad Law now – </w:t>
      </w:r>
      <w:r w:rsidR="00C6367E" w:rsidRPr="00D3298C">
        <w:rPr>
          <w:rFonts w:cs="Times New Roman"/>
          <w:i/>
          <w:sz w:val="24"/>
          <w:szCs w:val="24"/>
        </w:rPr>
        <w:t>Allis-Chalmers</w:t>
      </w:r>
      <w:r w:rsidR="00D3298C" w:rsidRPr="00D3298C">
        <w:rPr>
          <w:rFonts w:cs="Times New Roman"/>
          <w:i/>
          <w:sz w:val="24"/>
          <w:szCs w:val="24"/>
        </w:rPr>
        <w:t xml:space="preserve"> (Del</w:t>
      </w:r>
      <w:r w:rsidR="00D3298C" w:rsidRPr="00703047">
        <w:rPr>
          <w:rFonts w:cs="Times New Roman"/>
          <w:i/>
          <w:sz w:val="24"/>
          <w:szCs w:val="24"/>
        </w:rPr>
        <w:t>. 1963)</w:t>
      </w:r>
    </w:p>
    <w:p w14:paraId="0147F6D0" w14:textId="07833EB7" w:rsidR="005373CE" w:rsidRDefault="00D3298C" w:rsidP="005373CE">
      <w:pPr>
        <w:pStyle w:val="ListParagraph"/>
        <w:numPr>
          <w:ilvl w:val="3"/>
          <w:numId w:val="9"/>
        </w:numPr>
        <w:rPr>
          <w:rFonts w:cs="Times New Roman"/>
          <w:sz w:val="24"/>
          <w:szCs w:val="24"/>
        </w:rPr>
      </w:pPr>
      <w:r>
        <w:rPr>
          <w:rFonts w:cs="Times New Roman"/>
          <w:sz w:val="24"/>
          <w:szCs w:val="24"/>
        </w:rPr>
        <w:t>Absent a reason to suspect misbehavior</w:t>
      </w:r>
      <w:r w:rsidR="00F87059">
        <w:rPr>
          <w:rFonts w:cs="Times New Roman"/>
          <w:sz w:val="24"/>
          <w:szCs w:val="24"/>
        </w:rPr>
        <w:t>,</w:t>
      </w:r>
      <w:r>
        <w:rPr>
          <w:rFonts w:cs="Times New Roman"/>
          <w:sz w:val="24"/>
          <w:szCs w:val="24"/>
        </w:rPr>
        <w:t xml:space="preserve"> “directors were not required to install a corporate system of espionage to ferret out wrongdoing.” If they learn that their officers might be breaking the law, they should investigate. Absent that notice, they have no reason to look. They are “entitled to rely on the honesty and integrity of their subordinates until something occurs to put them on suspicion that something is wrong.” </w:t>
      </w:r>
    </w:p>
    <w:p w14:paraId="2C810E0A" w14:textId="6B28A177" w:rsidR="00D3298C" w:rsidRDefault="00D3298C" w:rsidP="005373CE">
      <w:pPr>
        <w:pStyle w:val="ListParagraph"/>
        <w:numPr>
          <w:ilvl w:val="3"/>
          <w:numId w:val="9"/>
        </w:numPr>
        <w:rPr>
          <w:rFonts w:cs="Times New Roman"/>
          <w:sz w:val="24"/>
          <w:szCs w:val="24"/>
        </w:rPr>
      </w:pPr>
      <w:r>
        <w:rPr>
          <w:rFonts w:cs="Times New Roman"/>
          <w:sz w:val="24"/>
          <w:szCs w:val="24"/>
        </w:rPr>
        <w:t>Implication is that one of the decisions protected by the business judgment rule may be a decision that a risk is small enough not to worry much about it.</w:t>
      </w:r>
    </w:p>
    <w:p w14:paraId="4DDD3C13" w14:textId="77777777" w:rsidR="00D3298C" w:rsidRPr="00D3298C" w:rsidRDefault="00D3298C" w:rsidP="00D3298C">
      <w:pPr>
        <w:pStyle w:val="ListParagraph"/>
        <w:numPr>
          <w:ilvl w:val="2"/>
          <w:numId w:val="9"/>
        </w:numPr>
        <w:rPr>
          <w:rFonts w:cs="Times New Roman"/>
          <w:i/>
          <w:sz w:val="24"/>
          <w:szCs w:val="24"/>
        </w:rPr>
      </w:pPr>
      <w:r w:rsidRPr="00D3298C">
        <w:rPr>
          <w:rFonts w:cs="Times New Roman"/>
          <w:i/>
          <w:sz w:val="24"/>
          <w:szCs w:val="24"/>
        </w:rPr>
        <w:t xml:space="preserve">In Re Caremark Int’l Inc. Deriv. </w:t>
      </w:r>
      <w:proofErr w:type="spellStart"/>
      <w:r w:rsidRPr="00D3298C">
        <w:rPr>
          <w:rFonts w:cs="Times New Roman"/>
          <w:i/>
          <w:sz w:val="24"/>
          <w:szCs w:val="24"/>
        </w:rPr>
        <w:t>Litig</w:t>
      </w:r>
      <w:proofErr w:type="spellEnd"/>
      <w:r w:rsidRPr="00D3298C">
        <w:rPr>
          <w:rFonts w:cs="Times New Roman"/>
          <w:i/>
          <w:sz w:val="24"/>
          <w:szCs w:val="24"/>
        </w:rPr>
        <w:t xml:space="preserve">. (Del. Ch. 1996) </w:t>
      </w:r>
    </w:p>
    <w:p w14:paraId="7F7FD9BF" w14:textId="367CC3BF" w:rsidR="00D3298C" w:rsidRDefault="00D3298C" w:rsidP="00D3298C">
      <w:pPr>
        <w:pStyle w:val="ListParagraph"/>
        <w:numPr>
          <w:ilvl w:val="3"/>
          <w:numId w:val="9"/>
        </w:numPr>
        <w:rPr>
          <w:rFonts w:cs="Times New Roman"/>
          <w:sz w:val="24"/>
          <w:szCs w:val="24"/>
        </w:rPr>
      </w:pPr>
      <w:r>
        <w:rPr>
          <w:rFonts w:cs="Times New Roman"/>
          <w:sz w:val="24"/>
          <w:szCs w:val="24"/>
        </w:rPr>
        <w:t>Declared Allis-Chalmers bad law</w:t>
      </w:r>
    </w:p>
    <w:p w14:paraId="59E295A7" w14:textId="77777777" w:rsidR="00D3298C" w:rsidRDefault="00D3298C" w:rsidP="00D3298C">
      <w:pPr>
        <w:pStyle w:val="ListParagraph"/>
        <w:numPr>
          <w:ilvl w:val="3"/>
          <w:numId w:val="9"/>
        </w:numPr>
        <w:rPr>
          <w:rFonts w:cs="Times New Roman"/>
          <w:sz w:val="24"/>
          <w:szCs w:val="24"/>
        </w:rPr>
      </w:pPr>
      <w:r w:rsidRPr="00D3298C">
        <w:rPr>
          <w:rFonts w:cs="Times New Roman"/>
          <w:sz w:val="24"/>
          <w:szCs w:val="24"/>
        </w:rPr>
        <w:t>“I am of the view that a director’s obligation includes a duty to attempt in good faith to assure that a corporate information and reporting system, which the board concludes is adequate, exists, and that failure to do so under some circumstances may, in theory at least, render a director liable for losses caused by non-compliance with</w:t>
      </w:r>
      <w:r>
        <w:rPr>
          <w:rFonts w:cs="Times New Roman"/>
          <w:sz w:val="24"/>
          <w:szCs w:val="24"/>
        </w:rPr>
        <w:t xml:space="preserve"> applicable legal standards.” </w:t>
      </w:r>
    </w:p>
    <w:p w14:paraId="5A958E31" w14:textId="6493FB36" w:rsidR="00D3298C" w:rsidRDefault="00D3298C" w:rsidP="00D3298C">
      <w:pPr>
        <w:pStyle w:val="ListParagraph"/>
        <w:numPr>
          <w:ilvl w:val="3"/>
          <w:numId w:val="9"/>
        </w:numPr>
        <w:rPr>
          <w:rFonts w:cs="Times New Roman"/>
          <w:sz w:val="24"/>
          <w:szCs w:val="24"/>
        </w:rPr>
      </w:pPr>
      <w:r w:rsidRPr="00D3298C">
        <w:rPr>
          <w:rFonts w:cs="Times New Roman"/>
          <w:sz w:val="24"/>
          <w:szCs w:val="24"/>
        </w:rPr>
        <w:t>Led to classic “Caremark claims”</w:t>
      </w:r>
    </w:p>
    <w:p w14:paraId="35F58E65" w14:textId="3B56797F" w:rsidR="00C6367E" w:rsidRDefault="00C6367E" w:rsidP="00D3298C">
      <w:pPr>
        <w:pStyle w:val="ListParagraph"/>
        <w:numPr>
          <w:ilvl w:val="2"/>
          <w:numId w:val="9"/>
        </w:numPr>
        <w:rPr>
          <w:rFonts w:cs="Times New Roman"/>
          <w:sz w:val="24"/>
          <w:szCs w:val="24"/>
        </w:rPr>
      </w:pPr>
      <w:r>
        <w:rPr>
          <w:rFonts w:cs="Times New Roman"/>
          <w:sz w:val="24"/>
          <w:szCs w:val="24"/>
        </w:rPr>
        <w:t>Avoiding Caremark?</w:t>
      </w:r>
    </w:p>
    <w:p w14:paraId="5917776A" w14:textId="77777777" w:rsidR="008D3B46" w:rsidRDefault="008D3B46" w:rsidP="00FC4DC1">
      <w:pPr>
        <w:pStyle w:val="ListParagraph"/>
        <w:numPr>
          <w:ilvl w:val="3"/>
          <w:numId w:val="9"/>
        </w:numPr>
        <w:rPr>
          <w:rFonts w:cs="Times New Roman"/>
          <w:sz w:val="24"/>
          <w:szCs w:val="24"/>
        </w:rPr>
      </w:pPr>
      <w:r>
        <w:rPr>
          <w:rFonts w:cs="Times New Roman"/>
          <w:sz w:val="24"/>
          <w:szCs w:val="24"/>
        </w:rPr>
        <w:t>Del. § 102(b</w:t>
      </w:r>
      <w:proofErr w:type="gramStart"/>
      <w:r>
        <w:rPr>
          <w:rFonts w:cs="Times New Roman"/>
          <w:sz w:val="24"/>
          <w:szCs w:val="24"/>
        </w:rPr>
        <w:t>)(</w:t>
      </w:r>
      <w:proofErr w:type="gramEnd"/>
      <w:r>
        <w:rPr>
          <w:rFonts w:cs="Times New Roman"/>
          <w:sz w:val="24"/>
          <w:szCs w:val="24"/>
        </w:rPr>
        <w:t>7) lets firms exculpate their directors against duty of care claims, but not against bad faith behavior or duty of loyalty claims.</w:t>
      </w:r>
    </w:p>
    <w:p w14:paraId="7D05072C" w14:textId="744C1D19" w:rsidR="00FC4DC1" w:rsidRDefault="008D3B46" w:rsidP="00FC4DC1">
      <w:pPr>
        <w:pStyle w:val="ListParagraph"/>
        <w:numPr>
          <w:ilvl w:val="3"/>
          <w:numId w:val="9"/>
        </w:numPr>
        <w:rPr>
          <w:rFonts w:cs="Times New Roman"/>
          <w:sz w:val="24"/>
          <w:szCs w:val="24"/>
        </w:rPr>
      </w:pPr>
      <w:r>
        <w:rPr>
          <w:rFonts w:cs="Times New Roman"/>
          <w:sz w:val="24"/>
          <w:szCs w:val="24"/>
        </w:rPr>
        <w:t xml:space="preserve">If </w:t>
      </w:r>
      <w:r w:rsidRPr="008D3B46">
        <w:rPr>
          <w:rFonts w:cs="Times New Roman"/>
          <w:i/>
          <w:sz w:val="24"/>
          <w:szCs w:val="24"/>
        </w:rPr>
        <w:t>Caremark</w:t>
      </w:r>
      <w:r>
        <w:rPr>
          <w:rFonts w:cs="Times New Roman"/>
          <w:sz w:val="24"/>
          <w:szCs w:val="24"/>
        </w:rPr>
        <w:t xml:space="preserve"> monitoring falls under duty of care, then </w:t>
      </w:r>
      <w:r w:rsidR="00FC4DC1">
        <w:rPr>
          <w:rFonts w:cs="Times New Roman"/>
          <w:sz w:val="24"/>
          <w:szCs w:val="24"/>
        </w:rPr>
        <w:t>Del. § 102(b</w:t>
      </w:r>
      <w:proofErr w:type="gramStart"/>
      <w:r w:rsidR="00FC4DC1">
        <w:rPr>
          <w:rFonts w:cs="Times New Roman"/>
          <w:sz w:val="24"/>
          <w:szCs w:val="24"/>
        </w:rPr>
        <w:t>)(</w:t>
      </w:r>
      <w:proofErr w:type="gramEnd"/>
      <w:r w:rsidR="00FC4DC1">
        <w:rPr>
          <w:rFonts w:cs="Times New Roman"/>
          <w:sz w:val="24"/>
          <w:szCs w:val="24"/>
        </w:rPr>
        <w:t xml:space="preserve">7) </w:t>
      </w:r>
      <w:r>
        <w:rPr>
          <w:rFonts w:cs="Times New Roman"/>
          <w:sz w:val="24"/>
          <w:szCs w:val="24"/>
        </w:rPr>
        <w:t xml:space="preserve">made </w:t>
      </w:r>
      <w:r w:rsidR="00FC4DC1" w:rsidRPr="00FC4DC1">
        <w:rPr>
          <w:rFonts w:cs="Times New Roman"/>
          <w:i/>
          <w:sz w:val="24"/>
          <w:szCs w:val="24"/>
        </w:rPr>
        <w:t>Caremark</w:t>
      </w:r>
      <w:r w:rsidR="00FC4DC1">
        <w:rPr>
          <w:rFonts w:cs="Times New Roman"/>
          <w:sz w:val="24"/>
          <w:szCs w:val="24"/>
        </w:rPr>
        <w:t xml:space="preserve"> optional. </w:t>
      </w:r>
      <w:r>
        <w:rPr>
          <w:rFonts w:cs="Times New Roman"/>
          <w:sz w:val="24"/>
          <w:szCs w:val="24"/>
        </w:rPr>
        <w:t xml:space="preserve">However, </w:t>
      </w:r>
      <w:r w:rsidRPr="008D3B46">
        <w:rPr>
          <w:rFonts w:cs="Times New Roman"/>
          <w:i/>
          <w:sz w:val="24"/>
          <w:szCs w:val="24"/>
        </w:rPr>
        <w:t>Stone v. Ritter</w:t>
      </w:r>
      <w:r>
        <w:rPr>
          <w:rFonts w:cs="Times New Roman"/>
          <w:sz w:val="24"/>
          <w:szCs w:val="24"/>
        </w:rPr>
        <w:t xml:space="preserve"> found that not installing Caremark monitoring shows bad faith; to act in bad faith is to breach the duty of loyalty; hence firms cannot use Del. § 102(b)(7) to insulate their directors against </w:t>
      </w:r>
      <w:r w:rsidRPr="008D3B46">
        <w:rPr>
          <w:rFonts w:cs="Times New Roman"/>
          <w:i/>
          <w:sz w:val="24"/>
          <w:szCs w:val="24"/>
        </w:rPr>
        <w:t>Caremark</w:t>
      </w:r>
      <w:r>
        <w:rPr>
          <w:rFonts w:cs="Times New Roman"/>
          <w:sz w:val="24"/>
          <w:szCs w:val="24"/>
        </w:rPr>
        <w:t xml:space="preserve"> claims. </w:t>
      </w:r>
    </w:p>
    <w:p w14:paraId="327A0FFF" w14:textId="4B8CC64E" w:rsidR="008D3B46" w:rsidRDefault="008D3B46" w:rsidP="008D3B46">
      <w:pPr>
        <w:pStyle w:val="ListParagraph"/>
        <w:numPr>
          <w:ilvl w:val="3"/>
          <w:numId w:val="9"/>
        </w:numPr>
        <w:rPr>
          <w:rFonts w:cs="Times New Roman"/>
          <w:sz w:val="24"/>
          <w:szCs w:val="24"/>
        </w:rPr>
      </w:pPr>
      <w:r>
        <w:rPr>
          <w:rFonts w:cs="Times New Roman"/>
          <w:sz w:val="24"/>
          <w:szCs w:val="24"/>
        </w:rPr>
        <w:lastRenderedPageBreak/>
        <w:t>Note: “</w:t>
      </w:r>
      <w:r w:rsidRPr="008D3B46">
        <w:rPr>
          <w:rFonts w:cs="Times New Roman"/>
          <w:sz w:val="24"/>
          <w:szCs w:val="24"/>
        </w:rPr>
        <w:t>A failure to act in good faith is not conduct that results, ipso facto, in the direct imposition of corporate fiduciary liability. Violation of duty of care and duty of loyalty may result in direct liability.</w:t>
      </w:r>
      <w:r>
        <w:rPr>
          <w:rFonts w:cs="Times New Roman"/>
          <w:sz w:val="24"/>
          <w:szCs w:val="24"/>
        </w:rPr>
        <w:t xml:space="preserve">” </w:t>
      </w:r>
      <w:r>
        <w:rPr>
          <w:rFonts w:cs="Times New Roman"/>
          <w:i/>
          <w:sz w:val="24"/>
          <w:szCs w:val="24"/>
        </w:rPr>
        <w:t>Stone v. Ritter</w:t>
      </w:r>
      <w:r>
        <w:rPr>
          <w:rFonts w:cs="Times New Roman"/>
          <w:sz w:val="24"/>
          <w:szCs w:val="24"/>
        </w:rPr>
        <w:t>.</w:t>
      </w:r>
    </w:p>
    <w:p w14:paraId="20758493" w14:textId="622CEB19" w:rsidR="00D90791" w:rsidRDefault="00D90791" w:rsidP="00D90791">
      <w:pPr>
        <w:pStyle w:val="ListParagraph"/>
        <w:numPr>
          <w:ilvl w:val="2"/>
          <w:numId w:val="9"/>
        </w:numPr>
        <w:rPr>
          <w:rFonts w:cs="Times New Roman"/>
          <w:sz w:val="24"/>
          <w:szCs w:val="24"/>
        </w:rPr>
      </w:pPr>
      <w:r>
        <w:rPr>
          <w:rFonts w:cs="Times New Roman"/>
          <w:sz w:val="24"/>
          <w:szCs w:val="24"/>
        </w:rPr>
        <w:t>Caremark Applied</w:t>
      </w:r>
      <w:r w:rsidR="00632CF3">
        <w:rPr>
          <w:rFonts w:cs="Times New Roman"/>
          <w:sz w:val="24"/>
          <w:szCs w:val="24"/>
        </w:rPr>
        <w:t xml:space="preserve"> – Note: not attending meetings falls under Francis and not Caremark/Ritter</w:t>
      </w:r>
    </w:p>
    <w:p w14:paraId="433D3BA0" w14:textId="1F25546D" w:rsidR="00FC4DC1" w:rsidRPr="00F87059" w:rsidRDefault="00FC4DC1" w:rsidP="00FC4DC1">
      <w:pPr>
        <w:pStyle w:val="ListParagraph"/>
        <w:numPr>
          <w:ilvl w:val="3"/>
          <w:numId w:val="9"/>
        </w:numPr>
        <w:rPr>
          <w:rFonts w:cs="Times New Roman"/>
          <w:b/>
          <w:sz w:val="24"/>
          <w:szCs w:val="24"/>
        </w:rPr>
      </w:pPr>
      <w:r w:rsidRPr="00F87059">
        <w:rPr>
          <w:rFonts w:cs="Times New Roman"/>
          <w:b/>
          <w:i/>
          <w:sz w:val="24"/>
          <w:szCs w:val="24"/>
        </w:rPr>
        <w:t>Stone v. Ritter (Del. 2006)</w:t>
      </w:r>
    </w:p>
    <w:p w14:paraId="76249144" w14:textId="719FCA22" w:rsidR="00FC4DC1" w:rsidRDefault="00FC4DC1" w:rsidP="00FC4DC1">
      <w:pPr>
        <w:pStyle w:val="ListParagraph"/>
        <w:numPr>
          <w:ilvl w:val="4"/>
          <w:numId w:val="9"/>
        </w:numPr>
        <w:rPr>
          <w:rFonts w:cs="Times New Roman"/>
          <w:sz w:val="24"/>
          <w:szCs w:val="24"/>
        </w:rPr>
      </w:pPr>
      <w:r>
        <w:rPr>
          <w:rFonts w:cs="Times New Roman"/>
          <w:sz w:val="24"/>
          <w:szCs w:val="24"/>
        </w:rPr>
        <w:t>Synopsis: AmSouth owned a bank that faced charges of violating bank secrecy and money laundering laws for not reporting suspicious conduct among its customers. When AmSouth paid $50 million to resolve the charges, shareholders filed a derivative suit against the board for failing to monitor its employees. AmSouth had adopted an “exculpatory” p</w:t>
      </w:r>
      <w:r w:rsidR="00BF36E9">
        <w:rPr>
          <w:rFonts w:cs="Times New Roman"/>
          <w:sz w:val="24"/>
          <w:szCs w:val="24"/>
        </w:rPr>
        <w:t>rovision under Del. § 102(b</w:t>
      </w:r>
      <w:proofErr w:type="gramStart"/>
      <w:r w:rsidR="00BF36E9">
        <w:rPr>
          <w:rFonts w:cs="Times New Roman"/>
          <w:sz w:val="24"/>
          <w:szCs w:val="24"/>
        </w:rPr>
        <w:t>)(</w:t>
      </w:r>
      <w:proofErr w:type="gramEnd"/>
      <w:r w:rsidR="00BF36E9">
        <w:rPr>
          <w:rFonts w:cs="Times New Roman"/>
          <w:sz w:val="24"/>
          <w:szCs w:val="24"/>
        </w:rPr>
        <w:t xml:space="preserve">7). </w:t>
      </w:r>
      <w:r>
        <w:rPr>
          <w:rFonts w:cs="Times New Roman"/>
          <w:sz w:val="24"/>
          <w:szCs w:val="24"/>
        </w:rPr>
        <w:t>Court</w:t>
      </w:r>
      <w:r w:rsidR="004F68A2">
        <w:rPr>
          <w:rFonts w:cs="Times New Roman"/>
          <w:sz w:val="24"/>
          <w:szCs w:val="24"/>
        </w:rPr>
        <w:t xml:space="preserve"> found</w:t>
      </w:r>
      <w:r>
        <w:rPr>
          <w:rFonts w:cs="Times New Roman"/>
          <w:sz w:val="24"/>
          <w:szCs w:val="24"/>
        </w:rPr>
        <w:t xml:space="preserve"> that </w:t>
      </w:r>
      <w:r>
        <w:rPr>
          <w:rFonts w:cs="Times New Roman"/>
          <w:i/>
          <w:sz w:val="24"/>
          <w:szCs w:val="24"/>
        </w:rPr>
        <w:t xml:space="preserve">Caremark </w:t>
      </w:r>
      <w:r w:rsidR="008D3B46">
        <w:rPr>
          <w:rFonts w:cs="Times New Roman"/>
          <w:sz w:val="24"/>
          <w:szCs w:val="24"/>
        </w:rPr>
        <w:t xml:space="preserve">was mandatory by shifting </w:t>
      </w:r>
      <w:r w:rsidR="008D3B46">
        <w:rPr>
          <w:rFonts w:cs="Times New Roman"/>
          <w:i/>
          <w:sz w:val="24"/>
          <w:szCs w:val="24"/>
        </w:rPr>
        <w:t xml:space="preserve">Caremark </w:t>
      </w:r>
      <w:r w:rsidR="008D3B46">
        <w:rPr>
          <w:rFonts w:cs="Times New Roman"/>
          <w:sz w:val="24"/>
          <w:szCs w:val="24"/>
        </w:rPr>
        <w:t xml:space="preserve">to a duty of loyalty </w:t>
      </w:r>
      <w:r w:rsidR="00BF36E9">
        <w:rPr>
          <w:rFonts w:cs="Times New Roman"/>
          <w:sz w:val="24"/>
          <w:szCs w:val="24"/>
        </w:rPr>
        <w:t>and a duty to act in good faith, but held for D finding that oversight was sufficient.</w:t>
      </w:r>
    </w:p>
    <w:p w14:paraId="5C3201D4" w14:textId="77777777" w:rsidR="00D90791" w:rsidRDefault="00FC4DC1" w:rsidP="00BF36E9">
      <w:pPr>
        <w:pStyle w:val="ListParagraph"/>
        <w:numPr>
          <w:ilvl w:val="4"/>
          <w:numId w:val="9"/>
        </w:numPr>
        <w:rPr>
          <w:rFonts w:cs="Times New Roman"/>
          <w:sz w:val="24"/>
          <w:szCs w:val="24"/>
        </w:rPr>
      </w:pPr>
      <w:r>
        <w:rPr>
          <w:rFonts w:cs="Times New Roman"/>
          <w:sz w:val="24"/>
          <w:szCs w:val="24"/>
        </w:rPr>
        <w:t xml:space="preserve">Tool: </w:t>
      </w:r>
    </w:p>
    <w:p w14:paraId="2596361A" w14:textId="77777777" w:rsidR="00D90791" w:rsidRDefault="00D90791" w:rsidP="00D90791">
      <w:pPr>
        <w:pStyle w:val="ListParagraph"/>
        <w:numPr>
          <w:ilvl w:val="5"/>
          <w:numId w:val="9"/>
        </w:numPr>
        <w:rPr>
          <w:rFonts w:cs="Times New Roman"/>
          <w:sz w:val="24"/>
          <w:szCs w:val="24"/>
        </w:rPr>
      </w:pPr>
      <w:r w:rsidRPr="00BF36E9">
        <w:rPr>
          <w:rFonts w:cs="Times New Roman"/>
          <w:sz w:val="24"/>
          <w:szCs w:val="24"/>
        </w:rPr>
        <w:t>Necessary conditions predicate for director oversight liability are 1) utterly failing to implement any reporting or information system or controls, or 2) consciously failing to monitor or oversee operations of such a system thus disabling themselves from being informed of risks or problems requiring their attention.</w:t>
      </w:r>
    </w:p>
    <w:p w14:paraId="5FB09E28" w14:textId="0EA647DC" w:rsidR="00FC4DC1" w:rsidRDefault="008D3B46" w:rsidP="00D90791">
      <w:pPr>
        <w:pStyle w:val="ListParagraph"/>
        <w:numPr>
          <w:ilvl w:val="5"/>
          <w:numId w:val="9"/>
        </w:numPr>
        <w:rPr>
          <w:rFonts w:cs="Times New Roman"/>
          <w:sz w:val="24"/>
          <w:szCs w:val="24"/>
        </w:rPr>
      </w:pPr>
      <w:r w:rsidRPr="00BF36E9">
        <w:rPr>
          <w:rFonts w:cs="Times New Roman"/>
          <w:sz w:val="24"/>
          <w:szCs w:val="24"/>
        </w:rPr>
        <w:t xml:space="preserve">A refusal to install </w:t>
      </w:r>
      <w:r w:rsidRPr="00BF36E9">
        <w:rPr>
          <w:rFonts w:cs="Times New Roman"/>
          <w:i/>
          <w:sz w:val="24"/>
          <w:szCs w:val="24"/>
        </w:rPr>
        <w:t>Caremark</w:t>
      </w:r>
      <w:r w:rsidRPr="00BF36E9">
        <w:rPr>
          <w:rFonts w:cs="Times New Roman"/>
          <w:sz w:val="24"/>
          <w:szCs w:val="24"/>
        </w:rPr>
        <w:t xml:space="preserve"> monitoring constituted “bad faith.” If plaintiffs can show “a sustained or systematic failure of the board to exercise oversight,” then they show bad faith. If plaintiffs show bad faith, they also show a duty of loyalty violation (“The failure to act in good faith may result in liability because the requirement to act in good faith is a subsidiary element, i.e., a condition, of the fundamental duty of loyalty.”). Hence firms cannot use Del. § 102(b</w:t>
      </w:r>
      <w:proofErr w:type="gramStart"/>
      <w:r w:rsidRPr="00BF36E9">
        <w:rPr>
          <w:rFonts w:cs="Times New Roman"/>
          <w:sz w:val="24"/>
          <w:szCs w:val="24"/>
        </w:rPr>
        <w:t>)(</w:t>
      </w:r>
      <w:proofErr w:type="gramEnd"/>
      <w:r w:rsidRPr="00BF36E9">
        <w:rPr>
          <w:rFonts w:cs="Times New Roman"/>
          <w:sz w:val="24"/>
          <w:szCs w:val="24"/>
        </w:rPr>
        <w:t xml:space="preserve">7) to insulate their directors against </w:t>
      </w:r>
      <w:r w:rsidRPr="00BF36E9">
        <w:rPr>
          <w:rFonts w:cs="Times New Roman"/>
          <w:i/>
          <w:sz w:val="24"/>
          <w:szCs w:val="24"/>
        </w:rPr>
        <w:t>Caremark</w:t>
      </w:r>
      <w:r w:rsidRPr="00BF36E9">
        <w:rPr>
          <w:rFonts w:cs="Times New Roman"/>
          <w:sz w:val="24"/>
          <w:szCs w:val="24"/>
        </w:rPr>
        <w:t xml:space="preserve"> claims.</w:t>
      </w:r>
    </w:p>
    <w:p w14:paraId="1C1F702E" w14:textId="59F72B02" w:rsidR="00D90791" w:rsidRPr="002527F7" w:rsidRDefault="00D90791" w:rsidP="00D90791">
      <w:pPr>
        <w:pStyle w:val="ListParagraph"/>
        <w:numPr>
          <w:ilvl w:val="3"/>
          <w:numId w:val="9"/>
        </w:numPr>
        <w:rPr>
          <w:rFonts w:cs="Times New Roman"/>
          <w:b/>
          <w:i/>
          <w:sz w:val="24"/>
          <w:szCs w:val="24"/>
        </w:rPr>
      </w:pPr>
      <w:r w:rsidRPr="002527F7">
        <w:rPr>
          <w:rFonts w:cs="Times New Roman"/>
          <w:b/>
          <w:i/>
          <w:sz w:val="24"/>
          <w:szCs w:val="24"/>
        </w:rPr>
        <w:t xml:space="preserve">In re China </w:t>
      </w:r>
      <w:proofErr w:type="spellStart"/>
      <w:r w:rsidRPr="002527F7">
        <w:rPr>
          <w:rFonts w:cs="Times New Roman"/>
          <w:b/>
          <w:i/>
          <w:sz w:val="24"/>
          <w:szCs w:val="24"/>
        </w:rPr>
        <w:t>Agritech</w:t>
      </w:r>
      <w:proofErr w:type="spellEnd"/>
      <w:r w:rsidRPr="002527F7">
        <w:rPr>
          <w:rFonts w:cs="Times New Roman"/>
          <w:b/>
          <w:i/>
          <w:sz w:val="24"/>
          <w:szCs w:val="24"/>
        </w:rPr>
        <w:t>, Inc. Shareholder Derivative Litigation (Del. Ch. 2013)</w:t>
      </w:r>
    </w:p>
    <w:p w14:paraId="30552434" w14:textId="366D676E" w:rsidR="007E4309" w:rsidRDefault="007E4309" w:rsidP="007E4309">
      <w:pPr>
        <w:pStyle w:val="ListParagraph"/>
        <w:numPr>
          <w:ilvl w:val="4"/>
          <w:numId w:val="9"/>
        </w:numPr>
        <w:rPr>
          <w:rFonts w:cs="Times New Roman"/>
          <w:sz w:val="24"/>
          <w:szCs w:val="24"/>
        </w:rPr>
      </w:pPr>
      <w:r>
        <w:rPr>
          <w:rFonts w:cs="Times New Roman"/>
          <w:sz w:val="24"/>
          <w:szCs w:val="24"/>
        </w:rPr>
        <w:t xml:space="preserve">Synopsis: </w:t>
      </w:r>
      <w:r w:rsidRPr="007E4309">
        <w:rPr>
          <w:rFonts w:cs="Times New Roman"/>
          <w:sz w:val="24"/>
          <w:szCs w:val="24"/>
        </w:rPr>
        <w:t xml:space="preserve">China </w:t>
      </w:r>
      <w:proofErr w:type="spellStart"/>
      <w:r w:rsidRPr="007E4309">
        <w:rPr>
          <w:rFonts w:cs="Times New Roman"/>
          <w:sz w:val="24"/>
          <w:szCs w:val="24"/>
        </w:rPr>
        <w:t>Agritech</w:t>
      </w:r>
      <w:proofErr w:type="spellEnd"/>
      <w:r w:rsidRPr="007E4309">
        <w:rPr>
          <w:rFonts w:cs="Times New Roman"/>
          <w:sz w:val="24"/>
          <w:szCs w:val="24"/>
        </w:rPr>
        <w:t>, Inc. (</w:t>
      </w:r>
      <w:proofErr w:type="spellStart"/>
      <w:r w:rsidRPr="007E4309">
        <w:rPr>
          <w:rFonts w:cs="Times New Roman"/>
          <w:sz w:val="24"/>
          <w:szCs w:val="24"/>
        </w:rPr>
        <w:t>Agritech</w:t>
      </w:r>
      <w:proofErr w:type="spellEnd"/>
      <w:r w:rsidRPr="007E4309">
        <w:rPr>
          <w:rFonts w:cs="Times New Roman"/>
          <w:sz w:val="24"/>
          <w:szCs w:val="24"/>
        </w:rPr>
        <w:t xml:space="preserve">) was a fertilizer manufacturer headquartered in China. Albert </w:t>
      </w:r>
      <w:proofErr w:type="spellStart"/>
      <w:r w:rsidRPr="007E4309">
        <w:rPr>
          <w:rFonts w:cs="Times New Roman"/>
          <w:sz w:val="24"/>
          <w:szCs w:val="24"/>
        </w:rPr>
        <w:t>Rish</w:t>
      </w:r>
      <w:proofErr w:type="spellEnd"/>
      <w:r w:rsidRPr="007E4309">
        <w:rPr>
          <w:rFonts w:cs="Times New Roman"/>
          <w:sz w:val="24"/>
          <w:szCs w:val="24"/>
        </w:rPr>
        <w:t xml:space="preserve"> (plaintiff), a shareholder, filed a derivative suit in the Delaware Court of Chancery against </w:t>
      </w:r>
      <w:proofErr w:type="spellStart"/>
      <w:r w:rsidRPr="007E4309">
        <w:rPr>
          <w:rFonts w:cs="Times New Roman"/>
          <w:sz w:val="24"/>
          <w:szCs w:val="24"/>
        </w:rPr>
        <w:t>Agritech’s</w:t>
      </w:r>
      <w:proofErr w:type="spellEnd"/>
      <w:r w:rsidRPr="007E4309">
        <w:rPr>
          <w:rFonts w:cs="Times New Roman"/>
          <w:sz w:val="24"/>
          <w:szCs w:val="24"/>
        </w:rPr>
        <w:t xml:space="preserve"> board of directors (defendants), which included </w:t>
      </w:r>
      <w:proofErr w:type="spellStart"/>
      <w:r w:rsidRPr="007E4309">
        <w:rPr>
          <w:rFonts w:cs="Times New Roman"/>
          <w:sz w:val="24"/>
          <w:szCs w:val="24"/>
        </w:rPr>
        <w:t>Agritech’s</w:t>
      </w:r>
      <w:proofErr w:type="spellEnd"/>
      <w:r w:rsidRPr="007E4309">
        <w:rPr>
          <w:rFonts w:cs="Times New Roman"/>
          <w:sz w:val="24"/>
          <w:szCs w:val="24"/>
        </w:rPr>
        <w:t xml:space="preserve"> two co-founders. Among other claims, </w:t>
      </w:r>
      <w:proofErr w:type="spellStart"/>
      <w:r w:rsidRPr="007E4309">
        <w:rPr>
          <w:rFonts w:cs="Times New Roman"/>
          <w:sz w:val="24"/>
          <w:szCs w:val="24"/>
        </w:rPr>
        <w:t>Rish</w:t>
      </w:r>
      <w:proofErr w:type="spellEnd"/>
      <w:r w:rsidRPr="007E4309">
        <w:rPr>
          <w:rFonts w:cs="Times New Roman"/>
          <w:sz w:val="24"/>
          <w:szCs w:val="24"/>
        </w:rPr>
        <w:t xml:space="preserve"> asserted that the defendants breached their obligation of good faith due to a systematic lack of oversight at </w:t>
      </w:r>
      <w:proofErr w:type="spellStart"/>
      <w:r w:rsidRPr="007E4309">
        <w:rPr>
          <w:rFonts w:cs="Times New Roman"/>
          <w:sz w:val="24"/>
          <w:szCs w:val="24"/>
        </w:rPr>
        <w:t>Agritech</w:t>
      </w:r>
      <w:proofErr w:type="spellEnd"/>
      <w:r w:rsidRPr="007E4309">
        <w:rPr>
          <w:rFonts w:cs="Times New Roman"/>
          <w:sz w:val="24"/>
          <w:szCs w:val="24"/>
        </w:rPr>
        <w:t xml:space="preserve">. In 2008, </w:t>
      </w:r>
      <w:proofErr w:type="spellStart"/>
      <w:r w:rsidRPr="007E4309">
        <w:rPr>
          <w:rFonts w:cs="Times New Roman"/>
          <w:sz w:val="24"/>
          <w:szCs w:val="24"/>
        </w:rPr>
        <w:t>Agritech</w:t>
      </w:r>
      <w:proofErr w:type="spellEnd"/>
      <w:r w:rsidRPr="007E4309">
        <w:rPr>
          <w:rFonts w:cs="Times New Roman"/>
          <w:sz w:val="24"/>
          <w:szCs w:val="24"/>
        </w:rPr>
        <w:t xml:space="preserve"> established an Audit Committee comprised of directors. In 2009 and 2010, </w:t>
      </w:r>
      <w:proofErr w:type="spellStart"/>
      <w:r w:rsidRPr="007E4309">
        <w:rPr>
          <w:rFonts w:cs="Times New Roman"/>
          <w:sz w:val="24"/>
          <w:szCs w:val="24"/>
        </w:rPr>
        <w:t>Agritech</w:t>
      </w:r>
      <w:proofErr w:type="spellEnd"/>
      <w:r w:rsidRPr="007E4309">
        <w:rPr>
          <w:rFonts w:cs="Times New Roman"/>
          <w:sz w:val="24"/>
          <w:szCs w:val="24"/>
        </w:rPr>
        <w:t xml:space="preserve"> engaged in a series of major transactions, including acquiring additional interest in a company </w:t>
      </w:r>
      <w:proofErr w:type="spellStart"/>
      <w:r w:rsidRPr="007E4309">
        <w:rPr>
          <w:rFonts w:cs="Times New Roman"/>
          <w:sz w:val="24"/>
          <w:szCs w:val="24"/>
        </w:rPr>
        <w:t>Agritech’s</w:t>
      </w:r>
      <w:proofErr w:type="spellEnd"/>
      <w:r w:rsidRPr="007E4309">
        <w:rPr>
          <w:rFonts w:cs="Times New Roman"/>
          <w:sz w:val="24"/>
          <w:szCs w:val="24"/>
        </w:rPr>
        <w:t xml:space="preserve"> co-founders owned. At the time, </w:t>
      </w:r>
      <w:proofErr w:type="spellStart"/>
      <w:r w:rsidRPr="007E4309">
        <w:rPr>
          <w:rFonts w:cs="Times New Roman"/>
          <w:sz w:val="24"/>
          <w:szCs w:val="24"/>
        </w:rPr>
        <w:t>Agritech</w:t>
      </w:r>
      <w:proofErr w:type="spellEnd"/>
      <w:r w:rsidRPr="007E4309">
        <w:rPr>
          <w:rFonts w:cs="Times New Roman"/>
          <w:sz w:val="24"/>
          <w:szCs w:val="24"/>
        </w:rPr>
        <w:t xml:space="preserve"> had five directors including the co-founders. The three other directors sat on the Audit Committee. Despite this and other major transactions, there is no evidence that the Audit Committee met in 2009 or 2010. In August 2010, </w:t>
      </w:r>
      <w:proofErr w:type="spellStart"/>
      <w:r w:rsidRPr="007E4309">
        <w:rPr>
          <w:rFonts w:cs="Times New Roman"/>
          <w:sz w:val="24"/>
          <w:szCs w:val="24"/>
        </w:rPr>
        <w:t>Agritech</w:t>
      </w:r>
      <w:proofErr w:type="spellEnd"/>
      <w:r w:rsidRPr="007E4309">
        <w:rPr>
          <w:rFonts w:cs="Times New Roman"/>
          <w:sz w:val="24"/>
          <w:szCs w:val="24"/>
        </w:rPr>
        <w:t xml:space="preserve"> disclosed in its Securities and Exchange Commission (SEC) 10-Q filing that material weaknesses had undermined its controls and procedures. In its following 10-Q, </w:t>
      </w:r>
      <w:proofErr w:type="spellStart"/>
      <w:r w:rsidRPr="007E4309">
        <w:rPr>
          <w:rFonts w:cs="Times New Roman"/>
          <w:sz w:val="24"/>
          <w:szCs w:val="24"/>
        </w:rPr>
        <w:t>Agritech</w:t>
      </w:r>
      <w:proofErr w:type="spellEnd"/>
      <w:r w:rsidRPr="007E4309">
        <w:rPr>
          <w:rFonts w:cs="Times New Roman"/>
          <w:sz w:val="24"/>
          <w:szCs w:val="24"/>
        </w:rPr>
        <w:t xml:space="preserve"> claimed that the weaknesses were fixed and, days later, fired its outside auditor. The Audit Committee approved the firing, but there is no record of the Audit Committee meeting during this time. In addition, </w:t>
      </w:r>
      <w:proofErr w:type="spellStart"/>
      <w:r w:rsidRPr="007E4309">
        <w:rPr>
          <w:rFonts w:cs="Times New Roman"/>
          <w:sz w:val="24"/>
          <w:szCs w:val="24"/>
        </w:rPr>
        <w:t>Rish</w:t>
      </w:r>
      <w:proofErr w:type="spellEnd"/>
      <w:r w:rsidRPr="007E4309">
        <w:rPr>
          <w:rFonts w:cs="Times New Roman"/>
          <w:sz w:val="24"/>
          <w:szCs w:val="24"/>
        </w:rPr>
        <w:t xml:space="preserve"> alleged that in four of five years, </w:t>
      </w:r>
      <w:proofErr w:type="spellStart"/>
      <w:r w:rsidRPr="007E4309">
        <w:rPr>
          <w:rFonts w:cs="Times New Roman"/>
          <w:sz w:val="24"/>
          <w:szCs w:val="24"/>
        </w:rPr>
        <w:t>Agritech</w:t>
      </w:r>
      <w:proofErr w:type="spellEnd"/>
      <w:r w:rsidRPr="007E4309">
        <w:rPr>
          <w:rFonts w:cs="Times New Roman"/>
          <w:sz w:val="24"/>
          <w:szCs w:val="24"/>
        </w:rPr>
        <w:t xml:space="preserve"> reported significant profits to the SEC, but reported losses to the parallel regulatory agency in China. </w:t>
      </w:r>
      <w:proofErr w:type="spellStart"/>
      <w:r w:rsidRPr="007E4309">
        <w:rPr>
          <w:rFonts w:cs="Times New Roman"/>
          <w:sz w:val="24"/>
          <w:szCs w:val="24"/>
        </w:rPr>
        <w:t>Rish</w:t>
      </w:r>
      <w:proofErr w:type="spellEnd"/>
      <w:r w:rsidRPr="007E4309">
        <w:rPr>
          <w:rFonts w:cs="Times New Roman"/>
          <w:sz w:val="24"/>
          <w:szCs w:val="24"/>
        </w:rPr>
        <w:t xml:space="preserve"> argued that making a litigation demand on the defendants would have been futile. The defendants moved to dismiss </w:t>
      </w:r>
      <w:proofErr w:type="spellStart"/>
      <w:r w:rsidRPr="007E4309">
        <w:rPr>
          <w:rFonts w:cs="Times New Roman"/>
          <w:sz w:val="24"/>
          <w:szCs w:val="24"/>
        </w:rPr>
        <w:t>Rish’s</w:t>
      </w:r>
      <w:proofErr w:type="spellEnd"/>
      <w:r w:rsidRPr="007E4309">
        <w:rPr>
          <w:rFonts w:cs="Times New Roman"/>
          <w:sz w:val="24"/>
          <w:szCs w:val="24"/>
        </w:rPr>
        <w:t xml:space="preserve"> claims on the ground that </w:t>
      </w:r>
      <w:proofErr w:type="spellStart"/>
      <w:r w:rsidRPr="007E4309">
        <w:rPr>
          <w:rFonts w:cs="Times New Roman"/>
          <w:sz w:val="24"/>
          <w:szCs w:val="24"/>
        </w:rPr>
        <w:t>Rish</w:t>
      </w:r>
      <w:proofErr w:type="spellEnd"/>
      <w:r w:rsidRPr="007E4309">
        <w:rPr>
          <w:rFonts w:cs="Times New Roman"/>
          <w:sz w:val="24"/>
          <w:szCs w:val="24"/>
        </w:rPr>
        <w:t xml:space="preserve"> did not successfully plead demand futility.</w:t>
      </w:r>
      <w:r w:rsidR="00F87059">
        <w:rPr>
          <w:rFonts w:cs="Times New Roman"/>
          <w:sz w:val="24"/>
          <w:szCs w:val="24"/>
        </w:rPr>
        <w:t xml:space="preserve"> Court denied</w:t>
      </w:r>
      <w:r w:rsidR="005E55B8">
        <w:rPr>
          <w:rFonts w:cs="Times New Roman"/>
          <w:sz w:val="24"/>
          <w:szCs w:val="24"/>
        </w:rPr>
        <w:t xml:space="preserve"> motion to dismiss finding that plaintiff met standard under Rales. </w:t>
      </w:r>
    </w:p>
    <w:p w14:paraId="05A8CD49" w14:textId="77777777" w:rsidR="007E4309" w:rsidRDefault="007E4309" w:rsidP="00D90791">
      <w:pPr>
        <w:pStyle w:val="ListParagraph"/>
        <w:numPr>
          <w:ilvl w:val="4"/>
          <w:numId w:val="9"/>
        </w:numPr>
        <w:rPr>
          <w:rFonts w:cs="Times New Roman"/>
          <w:sz w:val="24"/>
          <w:szCs w:val="24"/>
        </w:rPr>
      </w:pPr>
      <w:r>
        <w:rPr>
          <w:rFonts w:cs="Times New Roman"/>
          <w:sz w:val="24"/>
          <w:szCs w:val="24"/>
        </w:rPr>
        <w:t>Tool:</w:t>
      </w:r>
    </w:p>
    <w:p w14:paraId="7B7AF62C" w14:textId="77777777" w:rsidR="007E4309" w:rsidRDefault="007E4309" w:rsidP="007E4309">
      <w:pPr>
        <w:pStyle w:val="ListParagraph"/>
        <w:numPr>
          <w:ilvl w:val="5"/>
          <w:numId w:val="9"/>
        </w:numPr>
        <w:rPr>
          <w:rFonts w:cs="Times New Roman"/>
          <w:sz w:val="24"/>
          <w:szCs w:val="24"/>
        </w:rPr>
      </w:pPr>
      <w:r>
        <w:rPr>
          <w:rFonts w:cs="Times New Roman"/>
          <w:sz w:val="24"/>
          <w:szCs w:val="24"/>
        </w:rPr>
        <w:t>Caremark</w:t>
      </w:r>
    </w:p>
    <w:p w14:paraId="7D71FAE6" w14:textId="3742F49D" w:rsidR="00D90791" w:rsidRPr="00D90791" w:rsidRDefault="00D90791" w:rsidP="007E4309">
      <w:pPr>
        <w:pStyle w:val="ListParagraph"/>
        <w:numPr>
          <w:ilvl w:val="6"/>
          <w:numId w:val="9"/>
        </w:numPr>
        <w:rPr>
          <w:rFonts w:cs="Times New Roman"/>
          <w:sz w:val="24"/>
          <w:szCs w:val="24"/>
        </w:rPr>
      </w:pPr>
      <w:r w:rsidRPr="00D90791">
        <w:rPr>
          <w:rFonts w:cs="Times New Roman"/>
          <w:sz w:val="24"/>
          <w:szCs w:val="24"/>
        </w:rPr>
        <w:t xml:space="preserve">“Generally where a claim of directorial liability for corporate loss is predicated upon ignorance of liability creating activities within the corporation, as in Graham [v. Allis–Chalmers Manufacturing Co., 188 A.2d 125 (Del.1963) ] or in [the Caremark case itself], ... </w:t>
      </w:r>
      <w:r w:rsidRPr="007E4309">
        <w:rPr>
          <w:rFonts w:cs="Times New Roman"/>
          <w:sz w:val="24"/>
          <w:szCs w:val="24"/>
          <w:u w:val="single"/>
        </w:rPr>
        <w:t xml:space="preserve">only a sustained or systematic failure of the board to exercise oversight—such as an utter failure to attempt to assure a reasonable information and </w:t>
      </w:r>
      <w:r w:rsidRPr="007E4309">
        <w:rPr>
          <w:rFonts w:cs="Times New Roman"/>
          <w:sz w:val="24"/>
          <w:szCs w:val="24"/>
          <w:u w:val="single"/>
        </w:rPr>
        <w:lastRenderedPageBreak/>
        <w:t>reporting system exists—will establish the lack of good faith that is a necessary condition to liability</w:t>
      </w:r>
      <w:r w:rsidRPr="00D90791">
        <w:rPr>
          <w:rFonts w:cs="Times New Roman"/>
          <w:sz w:val="24"/>
          <w:szCs w:val="24"/>
        </w:rPr>
        <w:t>.”</w:t>
      </w:r>
    </w:p>
    <w:p w14:paraId="5B3B2315" w14:textId="15B1EB31" w:rsidR="00D90791" w:rsidRDefault="00D90791" w:rsidP="007E4309">
      <w:pPr>
        <w:pStyle w:val="ListParagraph"/>
        <w:numPr>
          <w:ilvl w:val="6"/>
          <w:numId w:val="9"/>
        </w:numPr>
        <w:rPr>
          <w:rFonts w:cs="Times New Roman"/>
          <w:sz w:val="24"/>
          <w:szCs w:val="24"/>
        </w:rPr>
      </w:pPr>
      <w:r w:rsidRPr="00D90791">
        <w:rPr>
          <w:rFonts w:cs="Times New Roman"/>
          <w:sz w:val="24"/>
          <w:szCs w:val="24"/>
        </w:rPr>
        <w:t>Section 102(b</w:t>
      </w:r>
      <w:proofErr w:type="gramStart"/>
      <w:r w:rsidRPr="00D90791">
        <w:rPr>
          <w:rFonts w:cs="Times New Roman"/>
          <w:sz w:val="24"/>
          <w:szCs w:val="24"/>
        </w:rPr>
        <w:t>)(</w:t>
      </w:r>
      <w:proofErr w:type="gramEnd"/>
      <w:r w:rsidRPr="00D90791">
        <w:rPr>
          <w:rFonts w:cs="Times New Roman"/>
          <w:sz w:val="24"/>
          <w:szCs w:val="24"/>
        </w:rPr>
        <w:t>7) can exculpate directors from monetary liability for a breach of the duty of care, but not for conduct</w:t>
      </w:r>
      <w:r w:rsidR="004B6AFF">
        <w:rPr>
          <w:rFonts w:cs="Times New Roman"/>
          <w:sz w:val="24"/>
          <w:szCs w:val="24"/>
        </w:rPr>
        <w:t xml:space="preserve"> that is not in good faith/</w:t>
      </w:r>
      <w:r w:rsidRPr="00D90791">
        <w:rPr>
          <w:rFonts w:cs="Times New Roman"/>
          <w:sz w:val="24"/>
          <w:szCs w:val="24"/>
        </w:rPr>
        <w:t xml:space="preserve">breach of the duty of loyalty. </w:t>
      </w:r>
    </w:p>
    <w:p w14:paraId="16FB0ABA" w14:textId="55B6C135" w:rsidR="00D90791" w:rsidRDefault="00D90791" w:rsidP="007E4309">
      <w:pPr>
        <w:pStyle w:val="ListParagraph"/>
        <w:numPr>
          <w:ilvl w:val="6"/>
          <w:numId w:val="9"/>
        </w:numPr>
        <w:rPr>
          <w:rFonts w:cs="Times New Roman"/>
          <w:sz w:val="24"/>
          <w:szCs w:val="24"/>
        </w:rPr>
      </w:pPr>
      <w:r w:rsidRPr="00D90791">
        <w:rPr>
          <w:rFonts w:cs="Times New Roman"/>
          <w:sz w:val="24"/>
          <w:szCs w:val="24"/>
        </w:rPr>
        <w:t xml:space="preserve">A failure to act in good faith may be shown, for instance, [1] where the fiduciary intentionally acts with a purpose other than that of advancing the best interests of the corporation, [2] where the fiduciary acts with the intent to violate applicable positive law, or [3] where the fiduciary intentionally fails to act in the face of a known duty to act, demonstrating a conscious disregard for his duties. There may be other examples of bad faith yet to be proven </w:t>
      </w:r>
      <w:proofErr w:type="spellStart"/>
      <w:r w:rsidRPr="00D90791">
        <w:rPr>
          <w:rFonts w:cs="Times New Roman"/>
          <w:sz w:val="24"/>
          <w:szCs w:val="24"/>
        </w:rPr>
        <w:t>or</w:t>
      </w:r>
      <w:proofErr w:type="spellEnd"/>
      <w:r w:rsidRPr="00D90791">
        <w:rPr>
          <w:rFonts w:cs="Times New Roman"/>
          <w:sz w:val="24"/>
          <w:szCs w:val="24"/>
        </w:rPr>
        <w:t xml:space="preserve"> alleged, but these three are the most salient.</w:t>
      </w:r>
    </w:p>
    <w:p w14:paraId="3B385899" w14:textId="30C87D57" w:rsidR="007E4309" w:rsidRPr="005E55B8" w:rsidRDefault="007E4309" w:rsidP="005E55B8">
      <w:pPr>
        <w:pStyle w:val="ListParagraph"/>
        <w:numPr>
          <w:ilvl w:val="5"/>
          <w:numId w:val="9"/>
        </w:numPr>
        <w:rPr>
          <w:rFonts w:cs="Times New Roman"/>
          <w:sz w:val="24"/>
          <w:szCs w:val="24"/>
        </w:rPr>
      </w:pPr>
      <w:r>
        <w:rPr>
          <w:rFonts w:cs="Times New Roman"/>
          <w:sz w:val="24"/>
          <w:szCs w:val="24"/>
        </w:rPr>
        <w:t>Demand Futility</w:t>
      </w:r>
      <w:r w:rsidR="005E55B8">
        <w:rPr>
          <w:rFonts w:cs="Times New Roman"/>
          <w:sz w:val="24"/>
          <w:szCs w:val="24"/>
        </w:rPr>
        <w:t xml:space="preserve"> – see section supra</w:t>
      </w:r>
    </w:p>
    <w:p w14:paraId="0C8A7B5C" w14:textId="5F8B2C77" w:rsidR="00C6367E" w:rsidRPr="00F87059" w:rsidRDefault="00C6367E" w:rsidP="00703047">
      <w:pPr>
        <w:pStyle w:val="Heading2"/>
        <w:numPr>
          <w:ilvl w:val="0"/>
          <w:numId w:val="9"/>
        </w:numPr>
      </w:pPr>
      <w:r w:rsidRPr="00F87059">
        <w:t>Duty of Loyalty</w:t>
      </w:r>
    </w:p>
    <w:p w14:paraId="2135FC2A" w14:textId="3B0F6929" w:rsidR="00F97D88" w:rsidRPr="00B977D7" w:rsidRDefault="00C6367E" w:rsidP="00B977D7">
      <w:pPr>
        <w:pStyle w:val="Heading3"/>
        <w:numPr>
          <w:ilvl w:val="1"/>
          <w:numId w:val="9"/>
        </w:numPr>
      </w:pPr>
      <w:r>
        <w:t>The Basic Rule</w:t>
      </w:r>
      <w:r w:rsidR="00B977D7">
        <w:t xml:space="preserve"> – </w:t>
      </w:r>
      <w:r w:rsidR="00F97D88" w:rsidRPr="00B977D7">
        <w:rPr>
          <w:rFonts w:cs="Times New Roman"/>
          <w:i/>
        </w:rPr>
        <w:t xml:space="preserve">Bayer v. </w:t>
      </w:r>
      <w:proofErr w:type="spellStart"/>
      <w:r w:rsidR="00F97D88" w:rsidRPr="00B977D7">
        <w:rPr>
          <w:rFonts w:cs="Times New Roman"/>
          <w:i/>
        </w:rPr>
        <w:t>Beran</w:t>
      </w:r>
      <w:proofErr w:type="spellEnd"/>
      <w:r w:rsidR="00F97D88" w:rsidRPr="00B977D7">
        <w:rPr>
          <w:rFonts w:cs="Times New Roman"/>
          <w:i/>
        </w:rPr>
        <w:t xml:space="preserve"> (Sup. Ct. of NY 1944)</w:t>
      </w:r>
    </w:p>
    <w:p w14:paraId="5383602D" w14:textId="1FC9C4F7" w:rsidR="00F97D88" w:rsidRDefault="00F97D88" w:rsidP="00B977D7">
      <w:pPr>
        <w:pStyle w:val="ListParagraph"/>
        <w:numPr>
          <w:ilvl w:val="2"/>
          <w:numId w:val="9"/>
        </w:numPr>
        <w:rPr>
          <w:rFonts w:cs="Times New Roman"/>
          <w:sz w:val="24"/>
          <w:szCs w:val="24"/>
        </w:rPr>
      </w:pPr>
      <w:r>
        <w:rPr>
          <w:rFonts w:cs="Times New Roman"/>
          <w:sz w:val="24"/>
          <w:szCs w:val="24"/>
        </w:rPr>
        <w:t>Synopsis:</w:t>
      </w:r>
      <w:r w:rsidRPr="00F97D88">
        <w:t xml:space="preserve"> </w:t>
      </w:r>
      <w:r w:rsidRPr="00F97D88">
        <w:rPr>
          <w:rFonts w:cs="Times New Roman"/>
          <w:sz w:val="24"/>
          <w:szCs w:val="24"/>
        </w:rPr>
        <w:t xml:space="preserve">Bayer et al. (P) filed a derivative shareholder action against directors, </w:t>
      </w:r>
      <w:proofErr w:type="spellStart"/>
      <w:r w:rsidRPr="00F97D88">
        <w:rPr>
          <w:rFonts w:cs="Times New Roman"/>
          <w:sz w:val="24"/>
          <w:szCs w:val="24"/>
        </w:rPr>
        <w:t>Beran</w:t>
      </w:r>
      <w:proofErr w:type="spellEnd"/>
      <w:r w:rsidRPr="00F97D88">
        <w:rPr>
          <w:rFonts w:cs="Times New Roman"/>
          <w:sz w:val="24"/>
          <w:szCs w:val="24"/>
        </w:rPr>
        <w:t xml:space="preserve"> et al. (D), contesting their decision to pay for radio advertising that employed a director’s wife</w:t>
      </w:r>
      <w:r>
        <w:rPr>
          <w:rFonts w:cs="Times New Roman"/>
          <w:sz w:val="24"/>
          <w:szCs w:val="24"/>
        </w:rPr>
        <w:t xml:space="preserve"> and</w:t>
      </w:r>
      <w:r w:rsidRPr="00F97D88">
        <w:rPr>
          <w:rFonts w:cs="Times New Roman"/>
          <w:sz w:val="24"/>
          <w:szCs w:val="24"/>
        </w:rPr>
        <w:t xml:space="preserve"> renewed the employment contract of </w:t>
      </w:r>
      <w:r>
        <w:rPr>
          <w:rFonts w:cs="Times New Roman"/>
          <w:sz w:val="24"/>
          <w:szCs w:val="24"/>
        </w:rPr>
        <w:t>one of the D’s brother</w:t>
      </w:r>
      <w:r w:rsidRPr="00F97D88">
        <w:rPr>
          <w:rFonts w:cs="Times New Roman"/>
          <w:sz w:val="24"/>
          <w:szCs w:val="24"/>
        </w:rPr>
        <w:t>.</w:t>
      </w:r>
      <w:r>
        <w:rPr>
          <w:rFonts w:cs="Times New Roman"/>
          <w:sz w:val="24"/>
          <w:szCs w:val="24"/>
        </w:rPr>
        <w:t xml:space="preserve">  </w:t>
      </w:r>
      <w:r w:rsidRPr="00F97D88">
        <w:rPr>
          <w:rFonts w:cs="Times New Roman"/>
          <w:sz w:val="24"/>
          <w:szCs w:val="24"/>
        </w:rPr>
        <w:t xml:space="preserve">The former advertising budget was $683,000 per year, but the </w:t>
      </w:r>
      <w:r>
        <w:rPr>
          <w:rFonts w:cs="Times New Roman"/>
          <w:sz w:val="24"/>
          <w:szCs w:val="24"/>
        </w:rPr>
        <w:t>CEO suggested</w:t>
      </w:r>
      <w:r w:rsidRPr="00F97D88">
        <w:rPr>
          <w:rFonts w:cs="Times New Roman"/>
          <w:sz w:val="24"/>
          <w:szCs w:val="24"/>
        </w:rPr>
        <w:t xml:space="preserve"> a $1 million radio campaign</w:t>
      </w:r>
      <w:r>
        <w:rPr>
          <w:rFonts w:cs="Times New Roman"/>
          <w:sz w:val="24"/>
          <w:szCs w:val="24"/>
        </w:rPr>
        <w:t xml:space="preserve">, which was approved. CEO made two mistakes: failed to tell board that the show would feature his wife and skipped a formal meeting and convinced board members on the fly. Court found that because of potential conflict of interest (violation of duty of loyalty), it did not apply business judgment rule. However, court found no violation of fiduciary duty since radio campaign served legitimate and useful corporate purpose and the company received the full benefit thereof (but what about wife’s career?). Court also found skipping meeting was okay because board members approved individually. </w:t>
      </w:r>
    </w:p>
    <w:p w14:paraId="1A9603A3" w14:textId="576632D8" w:rsidR="00F97D88" w:rsidRDefault="00F97D88" w:rsidP="00B977D7">
      <w:pPr>
        <w:pStyle w:val="ListParagraph"/>
        <w:numPr>
          <w:ilvl w:val="2"/>
          <w:numId w:val="9"/>
        </w:numPr>
        <w:rPr>
          <w:rFonts w:cs="Times New Roman"/>
          <w:sz w:val="24"/>
          <w:szCs w:val="24"/>
        </w:rPr>
      </w:pPr>
      <w:r>
        <w:rPr>
          <w:rFonts w:cs="Times New Roman"/>
          <w:sz w:val="24"/>
          <w:szCs w:val="24"/>
        </w:rPr>
        <w:t xml:space="preserve">Tool: </w:t>
      </w:r>
    </w:p>
    <w:p w14:paraId="5D4ACF51" w14:textId="6ACA70A5" w:rsidR="00E51424" w:rsidRDefault="00E51424" w:rsidP="00B977D7">
      <w:pPr>
        <w:pStyle w:val="ListParagraph"/>
        <w:numPr>
          <w:ilvl w:val="3"/>
          <w:numId w:val="9"/>
        </w:numPr>
        <w:rPr>
          <w:rFonts w:cs="Times New Roman"/>
          <w:sz w:val="24"/>
          <w:szCs w:val="24"/>
        </w:rPr>
      </w:pPr>
      <w:r>
        <w:rPr>
          <w:rFonts w:cs="Times New Roman"/>
          <w:sz w:val="24"/>
          <w:szCs w:val="24"/>
        </w:rPr>
        <w:t>Inherent Fairness Test</w:t>
      </w:r>
    </w:p>
    <w:p w14:paraId="5FCDFFC7" w14:textId="0AEC9563" w:rsidR="00B977D7" w:rsidRPr="00B977D7" w:rsidRDefault="00B977D7" w:rsidP="00B977D7">
      <w:pPr>
        <w:pStyle w:val="ListParagraph"/>
        <w:numPr>
          <w:ilvl w:val="4"/>
          <w:numId w:val="9"/>
        </w:numPr>
        <w:rPr>
          <w:rFonts w:cs="Times New Roman"/>
          <w:sz w:val="24"/>
          <w:szCs w:val="24"/>
        </w:rPr>
      </w:pPr>
      <w:r w:rsidRPr="00B977D7">
        <w:rPr>
          <w:rFonts w:cs="Times New Roman"/>
          <w:sz w:val="24"/>
          <w:szCs w:val="24"/>
        </w:rPr>
        <w:t>When potential violation of duty of loyalty, busine</w:t>
      </w:r>
      <w:r>
        <w:rPr>
          <w:rFonts w:cs="Times New Roman"/>
          <w:sz w:val="24"/>
          <w:szCs w:val="24"/>
        </w:rPr>
        <w:t>ss judgment rule does not apply.</w:t>
      </w:r>
    </w:p>
    <w:p w14:paraId="63674C65" w14:textId="198F6CD0" w:rsidR="00B334A6" w:rsidRPr="00B334A6" w:rsidRDefault="00B977D7" w:rsidP="00B977D7">
      <w:pPr>
        <w:pStyle w:val="ListParagraph"/>
        <w:numPr>
          <w:ilvl w:val="4"/>
          <w:numId w:val="9"/>
        </w:numPr>
        <w:rPr>
          <w:rFonts w:cs="Times New Roman"/>
          <w:sz w:val="24"/>
          <w:szCs w:val="24"/>
        </w:rPr>
      </w:pPr>
      <w:r w:rsidRPr="00B977D7">
        <w:rPr>
          <w:rFonts w:cs="Times New Roman"/>
          <w:sz w:val="24"/>
          <w:szCs w:val="24"/>
        </w:rPr>
        <w:t xml:space="preserve"> </w:t>
      </w:r>
      <w:r w:rsidR="00E51424">
        <w:rPr>
          <w:rFonts w:cs="Times New Roman"/>
          <w:sz w:val="24"/>
          <w:szCs w:val="24"/>
        </w:rPr>
        <w:t xml:space="preserve">“…personal transactions of directors with their corporations, such transactions as may tend to produce a conflict between self-interest and fiduciary obligation, are, when challenged, examined with the </w:t>
      </w:r>
      <w:r w:rsidR="003E3C77">
        <w:rPr>
          <w:rFonts w:cs="Times New Roman"/>
          <w:sz w:val="24"/>
          <w:szCs w:val="24"/>
        </w:rPr>
        <w:t>most scrupulous care, and if there is any evidence of improvidence or oppression, any indication of unfairness or un</w:t>
      </w:r>
      <w:r w:rsidR="00CF0A8A">
        <w:rPr>
          <w:rFonts w:cs="Times New Roman"/>
          <w:sz w:val="24"/>
          <w:szCs w:val="24"/>
        </w:rPr>
        <w:t>due advantage, the transactions</w:t>
      </w:r>
      <w:r w:rsidR="003E3C77">
        <w:rPr>
          <w:rFonts w:cs="Times New Roman"/>
          <w:sz w:val="24"/>
          <w:szCs w:val="24"/>
        </w:rPr>
        <w:t xml:space="preserve"> will be voided…Their dealings with the corporation are </w:t>
      </w:r>
      <w:r w:rsidR="003E3C77" w:rsidRPr="003E3C77">
        <w:rPr>
          <w:rFonts w:cs="Times New Roman"/>
          <w:sz w:val="24"/>
          <w:szCs w:val="24"/>
          <w:u w:val="single"/>
        </w:rPr>
        <w:t>subjected to rigorous scrutiny</w:t>
      </w:r>
      <w:r w:rsidR="003E3C77">
        <w:rPr>
          <w:rFonts w:cs="Times New Roman"/>
          <w:sz w:val="24"/>
          <w:szCs w:val="24"/>
        </w:rPr>
        <w:t xml:space="preserve"> and where any of their contracts or engagement with the corporation are challenged the </w:t>
      </w:r>
      <w:r w:rsidR="003E3C77" w:rsidRPr="003E3C77">
        <w:rPr>
          <w:rFonts w:cs="Times New Roman"/>
          <w:sz w:val="24"/>
          <w:szCs w:val="24"/>
          <w:u w:val="single"/>
        </w:rPr>
        <w:t>burden is on the director not only to prove the good faith of the transaction but also to show its inherent fairness from the viewpoint of the corporation and those interested therein</w:t>
      </w:r>
      <w:r w:rsidR="003E3C77">
        <w:rPr>
          <w:rFonts w:cs="Times New Roman"/>
          <w:sz w:val="24"/>
          <w:szCs w:val="24"/>
        </w:rPr>
        <w:t>.”</w:t>
      </w:r>
    </w:p>
    <w:p w14:paraId="0FF0EE17" w14:textId="1B2B339A" w:rsidR="00B334A6" w:rsidRDefault="00B334A6" w:rsidP="00B977D7">
      <w:pPr>
        <w:pStyle w:val="ListParagraph"/>
        <w:numPr>
          <w:ilvl w:val="3"/>
          <w:numId w:val="9"/>
        </w:numPr>
        <w:rPr>
          <w:rFonts w:cs="Times New Roman"/>
          <w:sz w:val="24"/>
          <w:szCs w:val="24"/>
        </w:rPr>
      </w:pPr>
      <w:r>
        <w:rPr>
          <w:rFonts w:cs="Times New Roman"/>
          <w:sz w:val="24"/>
          <w:szCs w:val="24"/>
        </w:rPr>
        <w:t xml:space="preserve">Board must make decisions as entire board – </w:t>
      </w:r>
      <w:r w:rsidRPr="00B334A6">
        <w:rPr>
          <w:rFonts w:cs="Times New Roman"/>
          <w:sz w:val="24"/>
          <w:szCs w:val="24"/>
        </w:rPr>
        <w:t>directors acting separately and not collectively as a board cannot bind the corporation. There are two reasons for this: first, that collective procedure is necessary in order that action may be deliberately taken after an opportunity for discussion and an interchange of views; and second, that directors are the agents of the stockholders and are given by law no power to act except as a board…Liability may not, however, be imposed on directors because they failed to approve the radio program by resolution at a board meeting.</w:t>
      </w:r>
    </w:p>
    <w:p w14:paraId="65511325" w14:textId="57289320" w:rsidR="00C6367E" w:rsidRDefault="00C6367E" w:rsidP="00703047">
      <w:pPr>
        <w:pStyle w:val="Heading3"/>
        <w:numPr>
          <w:ilvl w:val="1"/>
          <w:numId w:val="9"/>
        </w:numPr>
      </w:pPr>
      <w:r>
        <w:t>Ratification</w:t>
      </w:r>
    </w:p>
    <w:p w14:paraId="0BACB941" w14:textId="0E43D032" w:rsidR="00D50A4B" w:rsidRPr="00BB6FA2" w:rsidRDefault="00D50A4B" w:rsidP="00BB6FA2">
      <w:pPr>
        <w:pStyle w:val="ListParagraph"/>
        <w:numPr>
          <w:ilvl w:val="2"/>
          <w:numId w:val="9"/>
        </w:numPr>
        <w:rPr>
          <w:rFonts w:cs="Times New Roman"/>
          <w:sz w:val="24"/>
          <w:szCs w:val="24"/>
        </w:rPr>
      </w:pPr>
      <w:r w:rsidRPr="00BB6FA2">
        <w:rPr>
          <w:rFonts w:cs="Times New Roman"/>
          <w:sz w:val="24"/>
          <w:szCs w:val="24"/>
        </w:rPr>
        <w:t>Del. Corp. § 144</w:t>
      </w:r>
      <w:r w:rsidR="0029523C">
        <w:rPr>
          <w:rFonts w:cs="Times New Roman"/>
          <w:sz w:val="24"/>
          <w:szCs w:val="24"/>
        </w:rPr>
        <w:t xml:space="preserve"> – a contract is not void or voidable solely due to a potential conflict of interest</w:t>
      </w:r>
      <w:r w:rsidR="00C91F7D">
        <w:rPr>
          <w:rFonts w:cs="Times New Roman"/>
          <w:sz w:val="24"/>
          <w:szCs w:val="24"/>
        </w:rPr>
        <w:t xml:space="preserve"> involving its directors/officers</w:t>
      </w:r>
      <w:r w:rsidR="0029523C">
        <w:rPr>
          <w:rFonts w:cs="Times New Roman"/>
          <w:sz w:val="24"/>
          <w:szCs w:val="24"/>
        </w:rPr>
        <w:t xml:space="preserve"> if:</w:t>
      </w:r>
    </w:p>
    <w:p w14:paraId="143834C7" w14:textId="698CA336" w:rsidR="00E70D69" w:rsidRDefault="006C37D2" w:rsidP="006C37D2">
      <w:pPr>
        <w:pStyle w:val="ListParagraph"/>
        <w:numPr>
          <w:ilvl w:val="3"/>
          <w:numId w:val="9"/>
        </w:numPr>
        <w:rPr>
          <w:rFonts w:cs="Times New Roman"/>
          <w:sz w:val="24"/>
          <w:szCs w:val="24"/>
        </w:rPr>
      </w:pPr>
      <w:r>
        <w:rPr>
          <w:rFonts w:cs="Times New Roman"/>
          <w:sz w:val="24"/>
          <w:szCs w:val="24"/>
        </w:rPr>
        <w:t xml:space="preserve">(a)(1) </w:t>
      </w:r>
      <w:r w:rsidR="0029523C">
        <w:rPr>
          <w:rFonts w:cs="Times New Roman"/>
          <w:sz w:val="24"/>
          <w:szCs w:val="24"/>
        </w:rPr>
        <w:t>–</w:t>
      </w:r>
      <w:r>
        <w:rPr>
          <w:rFonts w:cs="Times New Roman"/>
          <w:sz w:val="24"/>
          <w:szCs w:val="24"/>
        </w:rPr>
        <w:t xml:space="preserve"> </w:t>
      </w:r>
      <w:r w:rsidR="0029523C">
        <w:rPr>
          <w:rFonts w:cs="Times New Roman"/>
          <w:sz w:val="24"/>
          <w:szCs w:val="24"/>
        </w:rPr>
        <w:t>I</w:t>
      </w:r>
      <w:r>
        <w:rPr>
          <w:rFonts w:cs="Times New Roman"/>
          <w:sz w:val="24"/>
          <w:szCs w:val="24"/>
        </w:rPr>
        <w:t>f a director discloses his conflict of interest, the board can ratify</w:t>
      </w:r>
      <w:r w:rsidR="00E70D69">
        <w:rPr>
          <w:rFonts w:cs="Times New Roman"/>
          <w:sz w:val="24"/>
          <w:szCs w:val="24"/>
        </w:rPr>
        <w:t xml:space="preserve"> </w:t>
      </w:r>
      <w:r>
        <w:rPr>
          <w:rFonts w:cs="Times New Roman"/>
          <w:sz w:val="24"/>
          <w:szCs w:val="24"/>
        </w:rPr>
        <w:t xml:space="preserve">the terms of the transaction. </w:t>
      </w:r>
      <w:r w:rsidR="00E70D69">
        <w:rPr>
          <w:rFonts w:cs="Times New Roman"/>
          <w:sz w:val="24"/>
          <w:szCs w:val="24"/>
        </w:rPr>
        <w:t xml:space="preserve">Needs the vote of a majority of the disinterested directors (disinterested directors can be less than a quorum). </w:t>
      </w:r>
    </w:p>
    <w:p w14:paraId="7682FDD8" w14:textId="2DBD0D86" w:rsidR="00E70D69" w:rsidRDefault="006C37D2" w:rsidP="006C37D2">
      <w:pPr>
        <w:pStyle w:val="ListParagraph"/>
        <w:numPr>
          <w:ilvl w:val="3"/>
          <w:numId w:val="9"/>
        </w:numPr>
        <w:rPr>
          <w:rFonts w:cs="Times New Roman"/>
          <w:sz w:val="24"/>
          <w:szCs w:val="24"/>
        </w:rPr>
      </w:pPr>
      <w:r>
        <w:rPr>
          <w:rFonts w:cs="Times New Roman"/>
          <w:sz w:val="24"/>
          <w:szCs w:val="24"/>
        </w:rPr>
        <w:t xml:space="preserve"> (a)(2) </w:t>
      </w:r>
      <w:r w:rsidR="0029523C">
        <w:rPr>
          <w:rFonts w:cs="Times New Roman"/>
          <w:sz w:val="24"/>
          <w:szCs w:val="24"/>
        </w:rPr>
        <w:t>–</w:t>
      </w:r>
      <w:r>
        <w:rPr>
          <w:rFonts w:cs="Times New Roman"/>
          <w:sz w:val="24"/>
          <w:szCs w:val="24"/>
        </w:rPr>
        <w:t xml:space="preserve"> </w:t>
      </w:r>
      <w:r w:rsidR="0029523C">
        <w:rPr>
          <w:rFonts w:cs="Times New Roman"/>
          <w:sz w:val="24"/>
          <w:szCs w:val="24"/>
        </w:rPr>
        <w:t>I</w:t>
      </w:r>
      <w:r w:rsidR="00E70D69">
        <w:rPr>
          <w:rFonts w:cs="Times New Roman"/>
          <w:sz w:val="24"/>
          <w:szCs w:val="24"/>
        </w:rPr>
        <w:t xml:space="preserve">f a director discloses his conflict of interest, </w:t>
      </w:r>
      <w:r>
        <w:rPr>
          <w:rFonts w:cs="Times New Roman"/>
          <w:sz w:val="24"/>
          <w:szCs w:val="24"/>
        </w:rPr>
        <w:t xml:space="preserve">the shareholders can ratify it. </w:t>
      </w:r>
      <w:r w:rsidR="00E70D69">
        <w:rPr>
          <w:rFonts w:cs="Times New Roman"/>
          <w:sz w:val="24"/>
          <w:szCs w:val="24"/>
        </w:rPr>
        <w:t>Needs a vote by the majority. Says nothing about a quorum and nothing about the need for a vote specifically by the disinterested shareholders.</w:t>
      </w:r>
      <w:r w:rsidR="00144C98">
        <w:rPr>
          <w:rFonts w:cs="Times New Roman"/>
          <w:sz w:val="24"/>
          <w:szCs w:val="24"/>
        </w:rPr>
        <w:t xml:space="preserve"> However, </w:t>
      </w:r>
      <w:proofErr w:type="spellStart"/>
      <w:r w:rsidR="00144C98" w:rsidRPr="00144C98">
        <w:rPr>
          <w:rFonts w:cs="Times New Roman"/>
          <w:i/>
          <w:sz w:val="24"/>
          <w:szCs w:val="24"/>
        </w:rPr>
        <w:t>Fliegler</w:t>
      </w:r>
      <w:proofErr w:type="spellEnd"/>
      <w:r w:rsidR="00144C98">
        <w:rPr>
          <w:rFonts w:cs="Times New Roman"/>
          <w:sz w:val="24"/>
          <w:szCs w:val="24"/>
        </w:rPr>
        <w:t xml:space="preserve"> court reads in disinterested requirement.</w:t>
      </w:r>
    </w:p>
    <w:p w14:paraId="63025AF4" w14:textId="2FCAEFFD" w:rsidR="006C37D2" w:rsidRDefault="006C37D2" w:rsidP="006C37D2">
      <w:pPr>
        <w:pStyle w:val="ListParagraph"/>
        <w:numPr>
          <w:ilvl w:val="3"/>
          <w:numId w:val="9"/>
        </w:numPr>
        <w:rPr>
          <w:rFonts w:cs="Times New Roman"/>
          <w:sz w:val="24"/>
          <w:szCs w:val="24"/>
        </w:rPr>
      </w:pPr>
      <w:r>
        <w:rPr>
          <w:rFonts w:cs="Times New Roman"/>
          <w:sz w:val="24"/>
          <w:szCs w:val="24"/>
        </w:rPr>
        <w:lastRenderedPageBreak/>
        <w:t xml:space="preserve">(a)(3) </w:t>
      </w:r>
      <w:r w:rsidR="0029523C">
        <w:rPr>
          <w:rFonts w:cs="Times New Roman"/>
          <w:sz w:val="24"/>
          <w:szCs w:val="24"/>
        </w:rPr>
        <w:t>–</w:t>
      </w:r>
      <w:r>
        <w:rPr>
          <w:rFonts w:cs="Times New Roman"/>
          <w:sz w:val="24"/>
          <w:szCs w:val="24"/>
        </w:rPr>
        <w:t xml:space="preserve"> </w:t>
      </w:r>
      <w:r w:rsidR="0029523C">
        <w:rPr>
          <w:rFonts w:cs="Times New Roman"/>
          <w:sz w:val="24"/>
          <w:szCs w:val="24"/>
        </w:rPr>
        <w:t>I</w:t>
      </w:r>
      <w:r>
        <w:rPr>
          <w:rFonts w:cs="Times New Roman"/>
          <w:sz w:val="24"/>
          <w:szCs w:val="24"/>
        </w:rPr>
        <w:t>f the director fails to disclose the conflict, he still can enforce the transaction if he can prove that it is “fair as to the corporation.”</w:t>
      </w:r>
    </w:p>
    <w:p w14:paraId="0D3DA2A9" w14:textId="64CDA5FE" w:rsidR="0029523C" w:rsidRDefault="0029523C" w:rsidP="006C37D2">
      <w:pPr>
        <w:pStyle w:val="ListParagraph"/>
        <w:numPr>
          <w:ilvl w:val="3"/>
          <w:numId w:val="9"/>
        </w:numPr>
        <w:rPr>
          <w:rFonts w:cs="Times New Roman"/>
          <w:sz w:val="24"/>
          <w:szCs w:val="24"/>
        </w:rPr>
      </w:pPr>
      <w:r>
        <w:rPr>
          <w:rFonts w:cs="Times New Roman"/>
          <w:sz w:val="24"/>
          <w:szCs w:val="24"/>
        </w:rPr>
        <w:t xml:space="preserve">(b) – </w:t>
      </w:r>
      <w:r w:rsidRPr="0029523C">
        <w:rPr>
          <w:rFonts w:cs="Times New Roman"/>
          <w:sz w:val="24"/>
          <w:szCs w:val="24"/>
        </w:rPr>
        <w:t>Common or interested directors may be counted in determining the presence of a quorum at a meeting of the board of directors or of a committee which authorizes the contract or transaction.</w:t>
      </w:r>
    </w:p>
    <w:p w14:paraId="0FA4349A" w14:textId="2BEBE954" w:rsidR="005501D6" w:rsidRDefault="005501D6" w:rsidP="00144C98">
      <w:pPr>
        <w:pStyle w:val="ListParagraph"/>
        <w:numPr>
          <w:ilvl w:val="2"/>
          <w:numId w:val="9"/>
        </w:numPr>
        <w:rPr>
          <w:rFonts w:cs="Times New Roman"/>
          <w:sz w:val="24"/>
          <w:szCs w:val="24"/>
        </w:rPr>
      </w:pPr>
      <w:r>
        <w:rPr>
          <w:rFonts w:cs="Times New Roman"/>
          <w:sz w:val="24"/>
          <w:szCs w:val="24"/>
        </w:rPr>
        <w:t>Del. Statute does not explicitly demand a meeting of directors or shareholders for ratification, but the importance generally placed on corporate formalities would seem to dictate a formal meeting.</w:t>
      </w:r>
    </w:p>
    <w:p w14:paraId="068329FE" w14:textId="1CBF1543" w:rsidR="00144C98" w:rsidRPr="00144C98" w:rsidRDefault="00C6367E" w:rsidP="00144C98">
      <w:pPr>
        <w:pStyle w:val="ListParagraph"/>
        <w:numPr>
          <w:ilvl w:val="2"/>
          <w:numId w:val="9"/>
        </w:numPr>
        <w:rPr>
          <w:rFonts w:cs="Times New Roman"/>
          <w:sz w:val="24"/>
          <w:szCs w:val="24"/>
        </w:rPr>
      </w:pPr>
      <w:r>
        <w:rPr>
          <w:rFonts w:cs="Times New Roman"/>
          <w:sz w:val="24"/>
          <w:szCs w:val="24"/>
        </w:rPr>
        <w:t>The Requisite Share Vote</w:t>
      </w:r>
      <w:r w:rsidR="00144C98">
        <w:rPr>
          <w:rFonts w:cs="Times New Roman"/>
          <w:sz w:val="24"/>
          <w:szCs w:val="24"/>
        </w:rPr>
        <w:t xml:space="preserve"> for (a)(2) – </w:t>
      </w:r>
      <w:proofErr w:type="spellStart"/>
      <w:r w:rsidR="00144C98" w:rsidRPr="003C6B63">
        <w:rPr>
          <w:rFonts w:cs="Times New Roman"/>
          <w:b/>
          <w:i/>
          <w:sz w:val="24"/>
          <w:szCs w:val="24"/>
        </w:rPr>
        <w:t>Fliegler</w:t>
      </w:r>
      <w:proofErr w:type="spellEnd"/>
      <w:r w:rsidR="00144C98" w:rsidRPr="003C6B63">
        <w:rPr>
          <w:rFonts w:cs="Times New Roman"/>
          <w:b/>
          <w:i/>
          <w:sz w:val="24"/>
          <w:szCs w:val="24"/>
        </w:rPr>
        <w:t xml:space="preserve"> v. Lawrence (Del. 1976)</w:t>
      </w:r>
    </w:p>
    <w:p w14:paraId="2FA50A07" w14:textId="2DCD2237" w:rsidR="00144C98" w:rsidRDefault="00144C98" w:rsidP="00144C98">
      <w:pPr>
        <w:pStyle w:val="ListParagraph"/>
        <w:numPr>
          <w:ilvl w:val="3"/>
          <w:numId w:val="9"/>
        </w:numPr>
        <w:rPr>
          <w:rFonts w:cs="Times New Roman"/>
          <w:sz w:val="24"/>
          <w:szCs w:val="24"/>
        </w:rPr>
      </w:pPr>
      <w:r>
        <w:rPr>
          <w:rFonts w:cs="Times New Roman"/>
          <w:sz w:val="24"/>
          <w:szCs w:val="24"/>
        </w:rPr>
        <w:t xml:space="preserve">Synopsis: Lawrence, president of </w:t>
      </w:r>
      <w:proofErr w:type="spellStart"/>
      <w:r>
        <w:rPr>
          <w:rFonts w:cs="Times New Roman"/>
          <w:sz w:val="24"/>
          <w:szCs w:val="24"/>
        </w:rPr>
        <w:t>Agau</w:t>
      </w:r>
      <w:proofErr w:type="spellEnd"/>
      <w:r w:rsidRPr="00144C98">
        <w:rPr>
          <w:rFonts w:cs="Times New Roman"/>
          <w:sz w:val="24"/>
          <w:szCs w:val="24"/>
        </w:rPr>
        <w:t xml:space="preserve">, acting in his individual capacity, purchased a lease option for antimony (metal) rights. He offered the rights to </w:t>
      </w:r>
      <w:proofErr w:type="spellStart"/>
      <w:r w:rsidRPr="00144C98">
        <w:rPr>
          <w:rFonts w:cs="Times New Roman"/>
          <w:sz w:val="24"/>
          <w:szCs w:val="24"/>
        </w:rPr>
        <w:t>Agau</w:t>
      </w:r>
      <w:proofErr w:type="spellEnd"/>
      <w:r w:rsidRPr="00144C98">
        <w:rPr>
          <w:rFonts w:cs="Times New Roman"/>
          <w:sz w:val="24"/>
          <w:szCs w:val="24"/>
        </w:rPr>
        <w:t xml:space="preserve"> but the directors agreed that </w:t>
      </w:r>
      <w:proofErr w:type="spellStart"/>
      <w:r w:rsidRPr="00144C98">
        <w:rPr>
          <w:rFonts w:cs="Times New Roman"/>
          <w:sz w:val="24"/>
          <w:szCs w:val="24"/>
        </w:rPr>
        <w:t>Agau’s</w:t>
      </w:r>
      <w:proofErr w:type="spellEnd"/>
      <w:r w:rsidRPr="00144C98">
        <w:rPr>
          <w:rFonts w:cs="Times New Roman"/>
          <w:sz w:val="24"/>
          <w:szCs w:val="24"/>
        </w:rPr>
        <w:t xml:space="preserve"> financial position wo</w:t>
      </w:r>
      <w:r>
        <w:rPr>
          <w:rFonts w:cs="Times New Roman"/>
          <w:sz w:val="24"/>
          <w:szCs w:val="24"/>
        </w:rPr>
        <w:t xml:space="preserve">uld not allow the purchase. Lawrence </w:t>
      </w:r>
      <w:r w:rsidRPr="00144C98">
        <w:rPr>
          <w:rFonts w:cs="Times New Roman"/>
          <w:sz w:val="24"/>
          <w:szCs w:val="24"/>
        </w:rPr>
        <w:t>then transferred the rights to a company</w:t>
      </w:r>
      <w:r>
        <w:rPr>
          <w:rFonts w:cs="Times New Roman"/>
          <w:sz w:val="24"/>
          <w:szCs w:val="24"/>
        </w:rPr>
        <w:t>, USAC,</w:t>
      </w:r>
      <w:r w:rsidRPr="00144C98">
        <w:rPr>
          <w:rFonts w:cs="Times New Roman"/>
          <w:sz w:val="24"/>
          <w:szCs w:val="24"/>
        </w:rPr>
        <w:t xml:space="preserve"> formed for the specific purpose of holding those rights. He then gave </w:t>
      </w:r>
      <w:proofErr w:type="spellStart"/>
      <w:r w:rsidRPr="00144C98">
        <w:rPr>
          <w:rFonts w:cs="Times New Roman"/>
          <w:sz w:val="24"/>
          <w:szCs w:val="24"/>
        </w:rPr>
        <w:t>Agau</w:t>
      </w:r>
      <w:proofErr w:type="spellEnd"/>
      <w:r w:rsidRPr="00144C98">
        <w:rPr>
          <w:rFonts w:cs="Times New Roman"/>
          <w:sz w:val="24"/>
          <w:szCs w:val="24"/>
        </w:rPr>
        <w:t xml:space="preserve"> a long-term option to purchase the holding company. A few months later, </w:t>
      </w:r>
      <w:proofErr w:type="spellStart"/>
      <w:r w:rsidRPr="00144C98">
        <w:rPr>
          <w:rFonts w:cs="Times New Roman"/>
          <w:sz w:val="24"/>
          <w:szCs w:val="24"/>
        </w:rPr>
        <w:t>Agau’s</w:t>
      </w:r>
      <w:proofErr w:type="spellEnd"/>
      <w:r w:rsidRPr="00144C98">
        <w:rPr>
          <w:rFonts w:cs="Times New Roman"/>
          <w:sz w:val="24"/>
          <w:szCs w:val="24"/>
        </w:rPr>
        <w:t xml:space="preserve"> directors voted to exercise the option. A majority of shareholders voted the same way, but the directors also comprised a majority of shareholders. </w:t>
      </w:r>
      <w:r>
        <w:rPr>
          <w:rFonts w:cs="Times New Roman"/>
          <w:sz w:val="24"/>
          <w:szCs w:val="24"/>
        </w:rPr>
        <w:t>In a derivative suit, shareholder (P)</w:t>
      </w:r>
      <w:r w:rsidRPr="00144C98">
        <w:rPr>
          <w:rFonts w:cs="Times New Roman"/>
          <w:sz w:val="24"/>
          <w:szCs w:val="24"/>
        </w:rPr>
        <w:t xml:space="preserve"> argued that directors </w:t>
      </w:r>
      <w:r>
        <w:rPr>
          <w:rFonts w:cs="Times New Roman"/>
          <w:sz w:val="24"/>
          <w:szCs w:val="24"/>
        </w:rPr>
        <w:t xml:space="preserve">(D) </w:t>
      </w:r>
      <w:r w:rsidRPr="00144C98">
        <w:rPr>
          <w:rFonts w:cs="Times New Roman"/>
          <w:sz w:val="24"/>
          <w:szCs w:val="24"/>
        </w:rPr>
        <w:t xml:space="preserve">usurped a corporate opportunity for their own individual benefit, and that the transaction was inherently unfair. </w:t>
      </w:r>
      <w:r>
        <w:rPr>
          <w:rFonts w:cs="Times New Roman"/>
          <w:sz w:val="24"/>
          <w:szCs w:val="24"/>
        </w:rPr>
        <w:t>Ds</w:t>
      </w:r>
      <w:r w:rsidRPr="00144C98">
        <w:rPr>
          <w:rFonts w:cs="Times New Roman"/>
          <w:sz w:val="24"/>
          <w:szCs w:val="24"/>
        </w:rPr>
        <w:t xml:space="preserve"> responded that their vote was ratified by shareholders, thereby shifting the burden of proof to </w:t>
      </w:r>
      <w:r>
        <w:rPr>
          <w:rFonts w:cs="Times New Roman"/>
          <w:sz w:val="24"/>
          <w:szCs w:val="24"/>
        </w:rPr>
        <w:t>P</w:t>
      </w:r>
      <w:r w:rsidRPr="00144C98">
        <w:rPr>
          <w:rFonts w:cs="Times New Roman"/>
          <w:sz w:val="24"/>
          <w:szCs w:val="24"/>
        </w:rPr>
        <w:t xml:space="preserve"> to prove that the transaction was fair</w:t>
      </w:r>
      <w:r>
        <w:rPr>
          <w:rFonts w:cs="Times New Roman"/>
          <w:sz w:val="24"/>
          <w:szCs w:val="24"/>
        </w:rPr>
        <w:t xml:space="preserve"> under Del. Corp. § 144(a</w:t>
      </w:r>
      <w:proofErr w:type="gramStart"/>
      <w:r>
        <w:rPr>
          <w:rFonts w:cs="Times New Roman"/>
          <w:sz w:val="24"/>
          <w:szCs w:val="24"/>
        </w:rPr>
        <w:t>)(</w:t>
      </w:r>
      <w:proofErr w:type="gramEnd"/>
      <w:r>
        <w:rPr>
          <w:rFonts w:cs="Times New Roman"/>
          <w:sz w:val="24"/>
          <w:szCs w:val="24"/>
        </w:rPr>
        <w:t xml:space="preserve">2) (court doesn’t address (a)(1)) and D </w:t>
      </w:r>
      <w:r w:rsidRPr="00144C98">
        <w:rPr>
          <w:rFonts w:cs="Times New Roman"/>
          <w:sz w:val="24"/>
          <w:szCs w:val="24"/>
        </w:rPr>
        <w:t>also offered proof that it was fair.</w:t>
      </w:r>
      <w:r w:rsidR="00C90A62">
        <w:rPr>
          <w:rFonts w:cs="Times New Roman"/>
          <w:sz w:val="24"/>
          <w:szCs w:val="24"/>
        </w:rPr>
        <w:t xml:space="preserve"> Court held for D reading into (a</w:t>
      </w:r>
      <w:proofErr w:type="gramStart"/>
      <w:r w:rsidR="00C90A62">
        <w:rPr>
          <w:rFonts w:cs="Times New Roman"/>
          <w:sz w:val="24"/>
          <w:szCs w:val="24"/>
        </w:rPr>
        <w:t>)(</w:t>
      </w:r>
      <w:proofErr w:type="gramEnd"/>
      <w:r w:rsidR="00C90A62">
        <w:rPr>
          <w:rFonts w:cs="Times New Roman"/>
          <w:sz w:val="24"/>
          <w:szCs w:val="24"/>
        </w:rPr>
        <w:t>2) “disinterested” in front of shareholders, but finding that D met “fair” standard.”</w:t>
      </w:r>
    </w:p>
    <w:p w14:paraId="4678E624" w14:textId="77777777" w:rsidR="00C90A62" w:rsidRDefault="00144C98" w:rsidP="00144C98">
      <w:pPr>
        <w:pStyle w:val="ListParagraph"/>
        <w:numPr>
          <w:ilvl w:val="3"/>
          <w:numId w:val="9"/>
        </w:numPr>
        <w:rPr>
          <w:rFonts w:cs="Times New Roman"/>
          <w:sz w:val="24"/>
          <w:szCs w:val="24"/>
        </w:rPr>
      </w:pPr>
      <w:r>
        <w:rPr>
          <w:rFonts w:cs="Times New Roman"/>
          <w:sz w:val="24"/>
          <w:szCs w:val="24"/>
        </w:rPr>
        <w:t xml:space="preserve">Tool: </w:t>
      </w:r>
    </w:p>
    <w:p w14:paraId="0ED7F82A" w14:textId="217693A1" w:rsidR="00144C98" w:rsidRDefault="00144C98" w:rsidP="00C90A62">
      <w:pPr>
        <w:pStyle w:val="ListParagraph"/>
        <w:numPr>
          <w:ilvl w:val="4"/>
          <w:numId w:val="9"/>
        </w:numPr>
        <w:rPr>
          <w:rFonts w:cs="Times New Roman"/>
          <w:sz w:val="24"/>
          <w:szCs w:val="24"/>
        </w:rPr>
      </w:pPr>
      <w:r>
        <w:rPr>
          <w:rFonts w:cs="Times New Roman"/>
          <w:sz w:val="24"/>
          <w:szCs w:val="24"/>
        </w:rPr>
        <w:t>Only disinter</w:t>
      </w:r>
      <w:r w:rsidR="00181F8C">
        <w:rPr>
          <w:rFonts w:cs="Times New Roman"/>
          <w:sz w:val="24"/>
          <w:szCs w:val="24"/>
        </w:rPr>
        <w:t>est</w:t>
      </w:r>
      <w:r>
        <w:rPr>
          <w:rFonts w:cs="Times New Roman"/>
          <w:sz w:val="24"/>
          <w:szCs w:val="24"/>
        </w:rPr>
        <w:t>ed shareholders can vote to fall under Del. Corp. § 144(a</w:t>
      </w:r>
      <w:proofErr w:type="gramStart"/>
      <w:r>
        <w:rPr>
          <w:rFonts w:cs="Times New Roman"/>
          <w:sz w:val="24"/>
          <w:szCs w:val="24"/>
        </w:rPr>
        <w:t>)(</w:t>
      </w:r>
      <w:proofErr w:type="gramEnd"/>
      <w:r>
        <w:rPr>
          <w:rFonts w:cs="Times New Roman"/>
          <w:sz w:val="24"/>
          <w:szCs w:val="24"/>
        </w:rPr>
        <w:t xml:space="preserve">2). </w:t>
      </w:r>
    </w:p>
    <w:p w14:paraId="20F9A5F1" w14:textId="77777777" w:rsidR="00C90A62" w:rsidRPr="00C90A62" w:rsidRDefault="00C90A62" w:rsidP="00C90A62">
      <w:pPr>
        <w:pStyle w:val="ListParagraph"/>
        <w:numPr>
          <w:ilvl w:val="4"/>
          <w:numId w:val="9"/>
        </w:numPr>
        <w:rPr>
          <w:rFonts w:cs="Times New Roman"/>
          <w:sz w:val="24"/>
          <w:szCs w:val="24"/>
        </w:rPr>
      </w:pPr>
      <w:r w:rsidRPr="00C90A62">
        <w:rPr>
          <w:rFonts w:cs="Times New Roman"/>
          <w:sz w:val="24"/>
          <w:szCs w:val="24"/>
        </w:rPr>
        <w:t>“</w:t>
      </w:r>
      <w:proofErr w:type="gramStart"/>
      <w:r w:rsidRPr="00C90A62">
        <w:rPr>
          <w:rFonts w:cs="Times New Roman"/>
          <w:sz w:val="24"/>
          <w:szCs w:val="24"/>
        </w:rPr>
        <w:t>shareholder</w:t>
      </w:r>
      <w:proofErr w:type="gramEnd"/>
      <w:r w:rsidRPr="00C90A62">
        <w:rPr>
          <w:rFonts w:cs="Times New Roman"/>
          <w:sz w:val="24"/>
          <w:szCs w:val="24"/>
        </w:rPr>
        <w:t xml:space="preserve"> ratification of an interested transaction, although less than unanimous, shifts the burden of proof to an objecting shareholder to demonstrate that the terms are so unequal as to amount to a gift or waste of corporate assets.”</w:t>
      </w:r>
    </w:p>
    <w:p w14:paraId="54572BBE" w14:textId="16AA31D4" w:rsidR="00144C98" w:rsidRPr="00C90A62" w:rsidRDefault="00C90A62" w:rsidP="00C90A62">
      <w:pPr>
        <w:pStyle w:val="ListParagraph"/>
        <w:numPr>
          <w:ilvl w:val="4"/>
          <w:numId w:val="9"/>
        </w:numPr>
        <w:rPr>
          <w:rFonts w:cs="Times New Roman"/>
          <w:sz w:val="24"/>
          <w:szCs w:val="24"/>
        </w:rPr>
      </w:pPr>
      <w:r w:rsidRPr="00C90A62">
        <w:rPr>
          <w:rFonts w:cs="Times New Roman"/>
          <w:sz w:val="24"/>
          <w:szCs w:val="24"/>
        </w:rPr>
        <w:t xml:space="preserve">8 </w:t>
      </w:r>
      <w:proofErr w:type="spellStart"/>
      <w:r w:rsidRPr="00C90A62">
        <w:rPr>
          <w:rFonts w:cs="Times New Roman"/>
          <w:sz w:val="24"/>
          <w:szCs w:val="24"/>
        </w:rPr>
        <w:t>Del.C</w:t>
      </w:r>
      <w:proofErr w:type="spellEnd"/>
      <w:r w:rsidRPr="00C90A62">
        <w:rPr>
          <w:rFonts w:cs="Times New Roman"/>
          <w:sz w:val="24"/>
          <w:szCs w:val="24"/>
        </w:rPr>
        <w:t>. Section 144 removes an “interested director” cloud when its terms are met and provides against invalidation of an agreement “solely” because such a director or officer is involved.</w:t>
      </w:r>
    </w:p>
    <w:p w14:paraId="31A65755" w14:textId="67509678" w:rsidR="00C90A62" w:rsidRPr="00181F8C" w:rsidRDefault="00C6367E" w:rsidP="00181F8C">
      <w:pPr>
        <w:pStyle w:val="ListParagraph"/>
        <w:numPr>
          <w:ilvl w:val="2"/>
          <w:numId w:val="9"/>
        </w:numPr>
        <w:rPr>
          <w:rFonts w:cs="Times New Roman"/>
          <w:sz w:val="24"/>
          <w:szCs w:val="24"/>
        </w:rPr>
      </w:pPr>
      <w:r>
        <w:rPr>
          <w:rFonts w:cs="Times New Roman"/>
          <w:sz w:val="24"/>
          <w:szCs w:val="24"/>
        </w:rPr>
        <w:t>Summary</w:t>
      </w:r>
    </w:p>
    <w:tbl>
      <w:tblPr>
        <w:tblStyle w:val="TableGrid"/>
        <w:tblW w:w="9312" w:type="dxa"/>
        <w:jc w:val="center"/>
        <w:tblLook w:val="04A0" w:firstRow="1" w:lastRow="0" w:firstColumn="1" w:lastColumn="0" w:noHBand="0" w:noVBand="1"/>
      </w:tblPr>
      <w:tblGrid>
        <w:gridCol w:w="1656"/>
        <w:gridCol w:w="1656"/>
        <w:gridCol w:w="1333"/>
        <w:gridCol w:w="1402"/>
        <w:gridCol w:w="1613"/>
        <w:gridCol w:w="1652"/>
      </w:tblGrid>
      <w:tr w:rsidR="004F68A2" w:rsidRPr="005E6862" w14:paraId="69921AB8" w14:textId="7F5C01BD" w:rsidTr="00181F8C">
        <w:trPr>
          <w:trHeight w:val="452"/>
          <w:jc w:val="center"/>
        </w:trPr>
        <w:tc>
          <w:tcPr>
            <w:tcW w:w="1656" w:type="dxa"/>
            <w:tcBorders>
              <w:left w:val="single" w:sz="4" w:space="0" w:color="FFFFFF" w:themeColor="background1"/>
              <w:right w:val="single" w:sz="4" w:space="0" w:color="FFFFFF" w:themeColor="background1"/>
            </w:tcBorders>
            <w:vAlign w:val="center"/>
          </w:tcPr>
          <w:p w14:paraId="0AEC4541" w14:textId="1791FE66" w:rsidR="004F68A2" w:rsidRPr="005E6862" w:rsidRDefault="004F68A2" w:rsidP="004F68A2">
            <w:pPr>
              <w:jc w:val="center"/>
              <w:rPr>
                <w:rFonts w:cs="Times New Roman"/>
                <w:i/>
                <w:sz w:val="20"/>
                <w:szCs w:val="20"/>
              </w:rPr>
            </w:pPr>
            <w:r>
              <w:rPr>
                <w:rFonts w:cs="Times New Roman"/>
                <w:i/>
                <w:sz w:val="20"/>
                <w:szCs w:val="20"/>
              </w:rPr>
              <w:t>Cases</w:t>
            </w:r>
          </w:p>
        </w:tc>
        <w:tc>
          <w:tcPr>
            <w:tcW w:w="1656" w:type="dxa"/>
            <w:tcBorders>
              <w:left w:val="single" w:sz="4" w:space="0" w:color="FFFFFF" w:themeColor="background1"/>
              <w:right w:val="single" w:sz="4" w:space="0" w:color="FFFFFF" w:themeColor="background1"/>
            </w:tcBorders>
            <w:vAlign w:val="center"/>
          </w:tcPr>
          <w:p w14:paraId="1F1AF2DC" w14:textId="4C0C3223" w:rsidR="004F68A2" w:rsidRPr="005E6862" w:rsidRDefault="004F68A2" w:rsidP="005E6862">
            <w:pPr>
              <w:jc w:val="center"/>
              <w:rPr>
                <w:rFonts w:cs="Times New Roman"/>
                <w:i/>
                <w:sz w:val="20"/>
                <w:szCs w:val="20"/>
              </w:rPr>
            </w:pPr>
            <w:r w:rsidRPr="005E6862">
              <w:rPr>
                <w:rFonts w:cs="Times New Roman"/>
                <w:i/>
                <w:sz w:val="20"/>
                <w:szCs w:val="20"/>
              </w:rPr>
              <w:t>Conflict of Interest</w:t>
            </w:r>
          </w:p>
        </w:tc>
        <w:tc>
          <w:tcPr>
            <w:tcW w:w="1333" w:type="dxa"/>
            <w:tcBorders>
              <w:left w:val="single" w:sz="4" w:space="0" w:color="FFFFFF" w:themeColor="background1"/>
              <w:right w:val="single" w:sz="4" w:space="0" w:color="FFFFFF" w:themeColor="background1"/>
            </w:tcBorders>
            <w:vAlign w:val="center"/>
          </w:tcPr>
          <w:p w14:paraId="78074350" w14:textId="63408539" w:rsidR="004F68A2" w:rsidRPr="005E6862" w:rsidRDefault="004F68A2" w:rsidP="005E6862">
            <w:pPr>
              <w:jc w:val="center"/>
              <w:rPr>
                <w:rFonts w:cs="Times New Roman"/>
                <w:i/>
                <w:sz w:val="20"/>
                <w:szCs w:val="20"/>
              </w:rPr>
            </w:pPr>
            <w:r w:rsidRPr="005E6862">
              <w:rPr>
                <w:rFonts w:cs="Times New Roman"/>
                <w:i/>
                <w:sz w:val="20"/>
                <w:szCs w:val="20"/>
              </w:rPr>
              <w:t>Ratification w/ Disclosure</w:t>
            </w:r>
          </w:p>
        </w:tc>
        <w:tc>
          <w:tcPr>
            <w:tcW w:w="1402" w:type="dxa"/>
            <w:tcBorders>
              <w:left w:val="single" w:sz="4" w:space="0" w:color="FFFFFF" w:themeColor="background1"/>
              <w:right w:val="single" w:sz="4" w:space="0" w:color="FFFFFF" w:themeColor="background1"/>
            </w:tcBorders>
            <w:vAlign w:val="center"/>
          </w:tcPr>
          <w:p w14:paraId="67E3AE92" w14:textId="302DAD89" w:rsidR="004F68A2" w:rsidRPr="005E6862" w:rsidRDefault="004F68A2" w:rsidP="005E6862">
            <w:pPr>
              <w:jc w:val="center"/>
              <w:rPr>
                <w:rFonts w:cs="Times New Roman"/>
                <w:i/>
                <w:sz w:val="20"/>
                <w:szCs w:val="20"/>
              </w:rPr>
            </w:pPr>
            <w:r w:rsidRPr="005E6862">
              <w:rPr>
                <w:rFonts w:cs="Times New Roman"/>
                <w:i/>
                <w:sz w:val="20"/>
                <w:szCs w:val="20"/>
              </w:rPr>
              <w:t>BJR</w:t>
            </w:r>
          </w:p>
        </w:tc>
        <w:tc>
          <w:tcPr>
            <w:tcW w:w="1613" w:type="dxa"/>
            <w:tcBorders>
              <w:left w:val="single" w:sz="4" w:space="0" w:color="FFFFFF" w:themeColor="background1"/>
              <w:right w:val="single" w:sz="4" w:space="0" w:color="FFFFFF" w:themeColor="background1"/>
            </w:tcBorders>
            <w:vAlign w:val="center"/>
          </w:tcPr>
          <w:p w14:paraId="1E56233A" w14:textId="6457DC31" w:rsidR="004F68A2" w:rsidRPr="005E6862" w:rsidRDefault="004F68A2" w:rsidP="005E6862">
            <w:pPr>
              <w:jc w:val="center"/>
              <w:rPr>
                <w:rFonts w:cs="Times New Roman"/>
                <w:i/>
                <w:sz w:val="20"/>
                <w:szCs w:val="20"/>
              </w:rPr>
            </w:pPr>
            <w:r w:rsidRPr="005E6862">
              <w:rPr>
                <w:rFonts w:cs="Times New Roman"/>
                <w:i/>
                <w:sz w:val="20"/>
                <w:szCs w:val="20"/>
              </w:rPr>
              <w:t>BOP</w:t>
            </w:r>
          </w:p>
        </w:tc>
        <w:tc>
          <w:tcPr>
            <w:tcW w:w="1652" w:type="dxa"/>
            <w:tcBorders>
              <w:left w:val="single" w:sz="4" w:space="0" w:color="FFFFFF" w:themeColor="background1"/>
              <w:right w:val="single" w:sz="4" w:space="0" w:color="FFFFFF" w:themeColor="background1"/>
            </w:tcBorders>
            <w:vAlign w:val="center"/>
          </w:tcPr>
          <w:p w14:paraId="07BBAC58" w14:textId="19A72788" w:rsidR="004F68A2" w:rsidRPr="005E6862" w:rsidRDefault="004F68A2" w:rsidP="005E6862">
            <w:pPr>
              <w:jc w:val="center"/>
              <w:rPr>
                <w:rFonts w:cs="Times New Roman"/>
                <w:i/>
                <w:sz w:val="20"/>
                <w:szCs w:val="20"/>
              </w:rPr>
            </w:pPr>
            <w:r w:rsidRPr="005E6862">
              <w:rPr>
                <w:rFonts w:cs="Times New Roman"/>
                <w:i/>
                <w:sz w:val="20"/>
                <w:szCs w:val="20"/>
              </w:rPr>
              <w:t>Standard</w:t>
            </w:r>
          </w:p>
        </w:tc>
      </w:tr>
      <w:tr w:rsidR="004F68A2" w:rsidRPr="005E6862" w14:paraId="0E9D65A6" w14:textId="45CF6909" w:rsidTr="00181F8C">
        <w:trPr>
          <w:trHeight w:val="640"/>
          <w:jc w:val="center"/>
        </w:trPr>
        <w:tc>
          <w:tcPr>
            <w:tcW w:w="1656" w:type="dxa"/>
            <w:tcBorders>
              <w:left w:val="single" w:sz="4" w:space="0" w:color="FFFFFF" w:themeColor="background1"/>
              <w:bottom w:val="single" w:sz="4" w:space="0" w:color="FFFFFF" w:themeColor="background1"/>
              <w:right w:val="single" w:sz="4" w:space="0" w:color="FFFFFF" w:themeColor="background1"/>
            </w:tcBorders>
            <w:vAlign w:val="center"/>
          </w:tcPr>
          <w:p w14:paraId="4650886E" w14:textId="56D94E98" w:rsidR="004F68A2" w:rsidRPr="005E6862" w:rsidRDefault="004F68A2" w:rsidP="00CF0A8A">
            <w:pPr>
              <w:jc w:val="center"/>
              <w:rPr>
                <w:rFonts w:cs="Times New Roman"/>
                <w:sz w:val="20"/>
                <w:szCs w:val="20"/>
              </w:rPr>
            </w:pPr>
            <w:r>
              <w:rPr>
                <w:rFonts w:cs="Times New Roman"/>
                <w:sz w:val="20"/>
                <w:szCs w:val="20"/>
              </w:rPr>
              <w:t>American Express</w:t>
            </w:r>
          </w:p>
        </w:tc>
        <w:tc>
          <w:tcPr>
            <w:tcW w:w="1656" w:type="dxa"/>
            <w:tcBorders>
              <w:left w:val="single" w:sz="4" w:space="0" w:color="FFFFFF" w:themeColor="background1"/>
              <w:bottom w:val="single" w:sz="4" w:space="0" w:color="FFFFFF" w:themeColor="background1"/>
              <w:right w:val="single" w:sz="4" w:space="0" w:color="FFFFFF" w:themeColor="background1"/>
            </w:tcBorders>
            <w:vAlign w:val="center"/>
          </w:tcPr>
          <w:p w14:paraId="2517FCF5" w14:textId="25298E9B" w:rsidR="004F68A2" w:rsidRPr="005E6862" w:rsidRDefault="004F68A2" w:rsidP="00CF0A8A">
            <w:pPr>
              <w:jc w:val="center"/>
              <w:rPr>
                <w:rFonts w:cs="Times New Roman"/>
                <w:sz w:val="20"/>
                <w:szCs w:val="20"/>
              </w:rPr>
            </w:pPr>
            <w:r w:rsidRPr="005E6862">
              <w:rPr>
                <w:rFonts w:cs="Times New Roman"/>
                <w:sz w:val="20"/>
                <w:szCs w:val="20"/>
              </w:rPr>
              <w:t>No (also no fraud, illegality, or negligence)</w:t>
            </w:r>
          </w:p>
        </w:tc>
        <w:tc>
          <w:tcPr>
            <w:tcW w:w="1333" w:type="dxa"/>
            <w:tcBorders>
              <w:left w:val="single" w:sz="4" w:space="0" w:color="FFFFFF" w:themeColor="background1"/>
              <w:bottom w:val="single" w:sz="4" w:space="0" w:color="FFFFFF" w:themeColor="background1"/>
              <w:right w:val="single" w:sz="4" w:space="0" w:color="FFFFFF" w:themeColor="background1"/>
            </w:tcBorders>
            <w:vAlign w:val="center"/>
          </w:tcPr>
          <w:p w14:paraId="3E70B735" w14:textId="2E4E3377" w:rsidR="004F68A2" w:rsidRPr="005E6862" w:rsidRDefault="00CF0A8A" w:rsidP="00CF0A8A">
            <w:pPr>
              <w:jc w:val="center"/>
              <w:rPr>
                <w:rFonts w:cs="Times New Roman"/>
                <w:sz w:val="20"/>
                <w:szCs w:val="20"/>
              </w:rPr>
            </w:pPr>
            <w:r>
              <w:rPr>
                <w:rFonts w:cs="Times New Roman"/>
                <w:sz w:val="20"/>
                <w:szCs w:val="20"/>
              </w:rPr>
              <w:t>Not necessary</w:t>
            </w:r>
          </w:p>
        </w:tc>
        <w:tc>
          <w:tcPr>
            <w:tcW w:w="1402" w:type="dxa"/>
            <w:tcBorders>
              <w:left w:val="single" w:sz="4" w:space="0" w:color="FFFFFF" w:themeColor="background1"/>
              <w:bottom w:val="single" w:sz="4" w:space="0" w:color="FFFFFF" w:themeColor="background1"/>
              <w:right w:val="single" w:sz="4" w:space="0" w:color="FFFFFF" w:themeColor="background1"/>
            </w:tcBorders>
            <w:vAlign w:val="center"/>
          </w:tcPr>
          <w:p w14:paraId="244FFD00" w14:textId="09576ED3" w:rsidR="004F68A2" w:rsidRPr="005E6862" w:rsidRDefault="004F68A2" w:rsidP="00CF0A8A">
            <w:pPr>
              <w:jc w:val="center"/>
              <w:rPr>
                <w:rFonts w:cs="Times New Roman"/>
                <w:sz w:val="20"/>
                <w:szCs w:val="20"/>
              </w:rPr>
            </w:pPr>
            <w:r w:rsidRPr="005E6862">
              <w:rPr>
                <w:rFonts w:cs="Times New Roman"/>
                <w:sz w:val="20"/>
                <w:szCs w:val="20"/>
              </w:rPr>
              <w:t>Yes</w:t>
            </w:r>
          </w:p>
        </w:tc>
        <w:tc>
          <w:tcPr>
            <w:tcW w:w="1613" w:type="dxa"/>
            <w:tcBorders>
              <w:left w:val="single" w:sz="4" w:space="0" w:color="FFFFFF" w:themeColor="background1"/>
              <w:bottom w:val="single" w:sz="4" w:space="0" w:color="FFFFFF" w:themeColor="background1"/>
              <w:right w:val="single" w:sz="4" w:space="0" w:color="FFFFFF" w:themeColor="background1"/>
            </w:tcBorders>
            <w:vAlign w:val="center"/>
          </w:tcPr>
          <w:p w14:paraId="2848DEF0" w14:textId="7509557B" w:rsidR="004F68A2" w:rsidRPr="005E6862" w:rsidRDefault="004F68A2" w:rsidP="00CF0A8A">
            <w:pPr>
              <w:jc w:val="center"/>
              <w:rPr>
                <w:rFonts w:cs="Times New Roman"/>
                <w:sz w:val="20"/>
                <w:szCs w:val="20"/>
              </w:rPr>
            </w:pPr>
            <w:r w:rsidRPr="005E6862">
              <w:rPr>
                <w:rFonts w:cs="Times New Roman"/>
                <w:sz w:val="20"/>
                <w:szCs w:val="20"/>
              </w:rPr>
              <w:t>Plaintiff</w:t>
            </w:r>
          </w:p>
        </w:tc>
        <w:tc>
          <w:tcPr>
            <w:tcW w:w="1652" w:type="dxa"/>
            <w:tcBorders>
              <w:left w:val="single" w:sz="4" w:space="0" w:color="FFFFFF" w:themeColor="background1"/>
              <w:bottom w:val="single" w:sz="4" w:space="0" w:color="FFFFFF" w:themeColor="background1"/>
              <w:right w:val="single" w:sz="4" w:space="0" w:color="FFFFFF" w:themeColor="background1"/>
            </w:tcBorders>
            <w:vAlign w:val="center"/>
          </w:tcPr>
          <w:p w14:paraId="40FD5988" w14:textId="022141A7" w:rsidR="004F68A2" w:rsidRPr="005E6862" w:rsidRDefault="004F68A2" w:rsidP="00CF0A8A">
            <w:pPr>
              <w:jc w:val="center"/>
              <w:rPr>
                <w:rFonts w:cs="Times New Roman"/>
                <w:sz w:val="20"/>
                <w:szCs w:val="20"/>
              </w:rPr>
            </w:pPr>
            <w:r w:rsidRPr="005E6862">
              <w:rPr>
                <w:rFonts w:cs="Times New Roman"/>
                <w:sz w:val="20"/>
                <w:szCs w:val="20"/>
              </w:rPr>
              <w:t>Waste</w:t>
            </w:r>
          </w:p>
        </w:tc>
      </w:tr>
      <w:tr w:rsidR="004F68A2" w:rsidRPr="005E6862" w14:paraId="19A1A832" w14:textId="52609963" w:rsidTr="00181F8C">
        <w:trPr>
          <w:trHeight w:val="1088"/>
          <w:jc w:val="center"/>
        </w:trPr>
        <w:tc>
          <w:tcPr>
            <w:tcW w:w="1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15C0FE9" w14:textId="786482E0" w:rsidR="004F68A2" w:rsidRPr="005E6862" w:rsidRDefault="003C6B63" w:rsidP="00CF0A8A">
            <w:pPr>
              <w:jc w:val="center"/>
              <w:rPr>
                <w:rFonts w:cs="Times New Roman"/>
                <w:sz w:val="20"/>
                <w:szCs w:val="20"/>
              </w:rPr>
            </w:pPr>
            <w:r>
              <w:rPr>
                <w:rFonts w:cs="Times New Roman"/>
                <w:sz w:val="20"/>
                <w:szCs w:val="20"/>
              </w:rPr>
              <w:t>Baye</w:t>
            </w:r>
            <w:r w:rsidR="00181F8C">
              <w:rPr>
                <w:rFonts w:cs="Times New Roman"/>
                <w:sz w:val="20"/>
                <w:szCs w:val="20"/>
              </w:rPr>
              <w:t>r</w:t>
            </w:r>
          </w:p>
        </w:tc>
        <w:tc>
          <w:tcPr>
            <w:tcW w:w="1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513738" w14:textId="1A8EBFAD" w:rsidR="004F68A2" w:rsidRPr="005E6862" w:rsidRDefault="004F68A2" w:rsidP="00CF0A8A">
            <w:pPr>
              <w:jc w:val="center"/>
              <w:rPr>
                <w:rFonts w:cs="Times New Roman"/>
                <w:sz w:val="20"/>
                <w:szCs w:val="20"/>
              </w:rPr>
            </w:pPr>
            <w:r w:rsidRPr="005E6862">
              <w:rPr>
                <w:rFonts w:cs="Times New Roman"/>
                <w:sz w:val="20"/>
                <w:szCs w:val="20"/>
              </w:rPr>
              <w:t>Yes</w:t>
            </w:r>
          </w:p>
        </w:tc>
        <w:tc>
          <w:tcPr>
            <w:tcW w:w="13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8E6A8D" w14:textId="62B24543" w:rsidR="004F68A2" w:rsidRPr="005E6862" w:rsidRDefault="004F68A2" w:rsidP="00CF0A8A">
            <w:pPr>
              <w:jc w:val="center"/>
              <w:rPr>
                <w:rFonts w:cs="Times New Roman"/>
                <w:sz w:val="20"/>
                <w:szCs w:val="20"/>
              </w:rPr>
            </w:pPr>
            <w:r w:rsidRPr="005E6862">
              <w:rPr>
                <w:rFonts w:cs="Times New Roman"/>
                <w:sz w:val="20"/>
                <w:szCs w:val="20"/>
              </w:rPr>
              <w:t>No</w:t>
            </w:r>
          </w:p>
        </w:tc>
        <w:tc>
          <w:tcPr>
            <w:tcW w:w="1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C035BD" w14:textId="0069E03A" w:rsidR="004F68A2" w:rsidRPr="005E6862" w:rsidRDefault="004F68A2" w:rsidP="00CF0A8A">
            <w:pPr>
              <w:jc w:val="center"/>
              <w:rPr>
                <w:rFonts w:cs="Times New Roman"/>
                <w:sz w:val="20"/>
                <w:szCs w:val="20"/>
              </w:rPr>
            </w:pPr>
            <w:r w:rsidRPr="005E6862">
              <w:rPr>
                <w:rFonts w:cs="Times New Roman"/>
                <w:sz w:val="20"/>
                <w:szCs w:val="20"/>
              </w:rPr>
              <w:t>No</w:t>
            </w:r>
          </w:p>
        </w:tc>
        <w:tc>
          <w:tcPr>
            <w:tcW w:w="16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631ECE" w14:textId="62F65FA1" w:rsidR="004F68A2" w:rsidRPr="005E6862" w:rsidRDefault="004F68A2" w:rsidP="00CF0A8A">
            <w:pPr>
              <w:jc w:val="center"/>
              <w:rPr>
                <w:rFonts w:cs="Times New Roman"/>
                <w:sz w:val="20"/>
                <w:szCs w:val="20"/>
              </w:rPr>
            </w:pPr>
            <w:r w:rsidRPr="005E6862">
              <w:rPr>
                <w:rFonts w:cs="Times New Roman"/>
                <w:sz w:val="20"/>
                <w:szCs w:val="20"/>
              </w:rPr>
              <w:t>Defendant</w:t>
            </w:r>
          </w:p>
        </w:tc>
        <w:tc>
          <w:tcPr>
            <w:tcW w:w="16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E942C7" w14:textId="20B6405D" w:rsidR="004F68A2" w:rsidRPr="005E6862" w:rsidRDefault="0077023C" w:rsidP="00CF0A8A">
            <w:pPr>
              <w:jc w:val="center"/>
              <w:rPr>
                <w:rFonts w:cs="Times New Roman"/>
                <w:sz w:val="20"/>
                <w:szCs w:val="20"/>
              </w:rPr>
            </w:pPr>
            <w:r>
              <w:rPr>
                <w:rFonts w:cs="Times New Roman"/>
                <w:sz w:val="20"/>
                <w:szCs w:val="20"/>
              </w:rPr>
              <w:t>Intrinsic</w:t>
            </w:r>
            <w:r w:rsidR="0029523C">
              <w:rPr>
                <w:rFonts w:cs="Times New Roman"/>
                <w:sz w:val="20"/>
                <w:szCs w:val="20"/>
              </w:rPr>
              <w:t xml:space="preserve"> Fairness</w:t>
            </w:r>
            <w:r w:rsidR="004F68A2" w:rsidRPr="005E6862">
              <w:rPr>
                <w:rFonts w:cs="Times New Roman"/>
                <w:sz w:val="20"/>
                <w:szCs w:val="20"/>
              </w:rPr>
              <w:t xml:space="preserve"> (insider may still have to disgorge profits)</w:t>
            </w:r>
          </w:p>
        </w:tc>
      </w:tr>
      <w:tr w:rsidR="004F68A2" w:rsidRPr="005E6862" w14:paraId="0715C706" w14:textId="35B3C800" w:rsidTr="00181F8C">
        <w:trPr>
          <w:trHeight w:val="225"/>
          <w:jc w:val="center"/>
        </w:trPr>
        <w:tc>
          <w:tcPr>
            <w:tcW w:w="1656" w:type="dxa"/>
            <w:tcBorders>
              <w:top w:val="single" w:sz="4" w:space="0" w:color="FFFFFF" w:themeColor="background1"/>
              <w:left w:val="single" w:sz="4" w:space="0" w:color="FFFFFF" w:themeColor="background1"/>
              <w:right w:val="single" w:sz="4" w:space="0" w:color="FFFFFF" w:themeColor="background1"/>
            </w:tcBorders>
            <w:vAlign w:val="center"/>
          </w:tcPr>
          <w:p w14:paraId="3DA9EDD3" w14:textId="42FDC8BB" w:rsidR="004F68A2" w:rsidRPr="005E6862" w:rsidRDefault="00181F8C" w:rsidP="00CF0A8A">
            <w:pPr>
              <w:jc w:val="center"/>
              <w:rPr>
                <w:rFonts w:cs="Times New Roman"/>
                <w:sz w:val="20"/>
                <w:szCs w:val="20"/>
              </w:rPr>
            </w:pPr>
            <w:proofErr w:type="spellStart"/>
            <w:r>
              <w:rPr>
                <w:rFonts w:cs="Times New Roman"/>
                <w:sz w:val="20"/>
                <w:szCs w:val="20"/>
              </w:rPr>
              <w:t>Fliegler</w:t>
            </w:r>
            <w:proofErr w:type="spellEnd"/>
          </w:p>
        </w:tc>
        <w:tc>
          <w:tcPr>
            <w:tcW w:w="1656" w:type="dxa"/>
            <w:tcBorders>
              <w:top w:val="single" w:sz="4" w:space="0" w:color="FFFFFF" w:themeColor="background1"/>
              <w:left w:val="single" w:sz="4" w:space="0" w:color="FFFFFF" w:themeColor="background1"/>
              <w:right w:val="single" w:sz="4" w:space="0" w:color="FFFFFF" w:themeColor="background1"/>
            </w:tcBorders>
            <w:vAlign w:val="center"/>
          </w:tcPr>
          <w:p w14:paraId="69BE343E" w14:textId="73DB4318" w:rsidR="004F68A2" w:rsidRPr="005E6862" w:rsidRDefault="004F68A2" w:rsidP="00CF0A8A">
            <w:pPr>
              <w:jc w:val="center"/>
              <w:rPr>
                <w:rFonts w:cs="Times New Roman"/>
                <w:sz w:val="20"/>
                <w:szCs w:val="20"/>
              </w:rPr>
            </w:pPr>
            <w:r w:rsidRPr="005E6862">
              <w:rPr>
                <w:rFonts w:cs="Times New Roman"/>
                <w:sz w:val="20"/>
                <w:szCs w:val="20"/>
              </w:rPr>
              <w:t>Yes</w:t>
            </w:r>
          </w:p>
        </w:tc>
        <w:tc>
          <w:tcPr>
            <w:tcW w:w="1333" w:type="dxa"/>
            <w:tcBorders>
              <w:top w:val="single" w:sz="4" w:space="0" w:color="FFFFFF" w:themeColor="background1"/>
              <w:left w:val="single" w:sz="4" w:space="0" w:color="FFFFFF" w:themeColor="background1"/>
              <w:right w:val="single" w:sz="4" w:space="0" w:color="FFFFFF" w:themeColor="background1"/>
            </w:tcBorders>
            <w:vAlign w:val="center"/>
          </w:tcPr>
          <w:p w14:paraId="3593DFC4" w14:textId="6C180656" w:rsidR="004F68A2" w:rsidRPr="005E6862" w:rsidRDefault="004F68A2" w:rsidP="00CF0A8A">
            <w:pPr>
              <w:jc w:val="center"/>
              <w:rPr>
                <w:rFonts w:cs="Times New Roman"/>
                <w:sz w:val="20"/>
                <w:szCs w:val="20"/>
              </w:rPr>
            </w:pPr>
            <w:r w:rsidRPr="005E6862">
              <w:rPr>
                <w:rFonts w:cs="Times New Roman"/>
                <w:sz w:val="20"/>
                <w:szCs w:val="20"/>
              </w:rPr>
              <w:t>Yes</w:t>
            </w:r>
          </w:p>
        </w:tc>
        <w:tc>
          <w:tcPr>
            <w:tcW w:w="1402" w:type="dxa"/>
            <w:tcBorders>
              <w:top w:val="single" w:sz="4" w:space="0" w:color="FFFFFF" w:themeColor="background1"/>
              <w:left w:val="single" w:sz="4" w:space="0" w:color="FFFFFF" w:themeColor="background1"/>
              <w:right w:val="single" w:sz="4" w:space="0" w:color="FFFFFF" w:themeColor="background1"/>
            </w:tcBorders>
            <w:vAlign w:val="center"/>
          </w:tcPr>
          <w:p w14:paraId="40E72390" w14:textId="3CA77BE1" w:rsidR="004F68A2" w:rsidRPr="005E6862" w:rsidRDefault="004F68A2" w:rsidP="00CF0A8A">
            <w:pPr>
              <w:jc w:val="center"/>
              <w:rPr>
                <w:rFonts w:cs="Times New Roman"/>
                <w:sz w:val="20"/>
                <w:szCs w:val="20"/>
              </w:rPr>
            </w:pPr>
            <w:r w:rsidRPr="005E6862">
              <w:rPr>
                <w:rFonts w:cs="Times New Roman"/>
                <w:sz w:val="20"/>
                <w:szCs w:val="20"/>
              </w:rPr>
              <w:t>Yes</w:t>
            </w:r>
          </w:p>
        </w:tc>
        <w:tc>
          <w:tcPr>
            <w:tcW w:w="1613" w:type="dxa"/>
            <w:tcBorders>
              <w:top w:val="single" w:sz="4" w:space="0" w:color="FFFFFF" w:themeColor="background1"/>
              <w:left w:val="single" w:sz="4" w:space="0" w:color="FFFFFF" w:themeColor="background1"/>
              <w:right w:val="single" w:sz="4" w:space="0" w:color="FFFFFF" w:themeColor="background1"/>
            </w:tcBorders>
            <w:vAlign w:val="center"/>
          </w:tcPr>
          <w:p w14:paraId="48A1ED34" w14:textId="56E513BE" w:rsidR="004F68A2" w:rsidRPr="005E6862" w:rsidRDefault="004F68A2" w:rsidP="00CF0A8A">
            <w:pPr>
              <w:jc w:val="center"/>
              <w:rPr>
                <w:rFonts w:cs="Times New Roman"/>
                <w:sz w:val="20"/>
                <w:szCs w:val="20"/>
              </w:rPr>
            </w:pPr>
            <w:r w:rsidRPr="005E6862">
              <w:rPr>
                <w:rFonts w:cs="Times New Roman"/>
                <w:sz w:val="20"/>
                <w:szCs w:val="20"/>
              </w:rPr>
              <w:t>Plaintiff</w:t>
            </w:r>
          </w:p>
        </w:tc>
        <w:tc>
          <w:tcPr>
            <w:tcW w:w="1652" w:type="dxa"/>
            <w:tcBorders>
              <w:top w:val="single" w:sz="4" w:space="0" w:color="FFFFFF" w:themeColor="background1"/>
              <w:left w:val="single" w:sz="4" w:space="0" w:color="FFFFFF" w:themeColor="background1"/>
              <w:right w:val="single" w:sz="4" w:space="0" w:color="FFFFFF" w:themeColor="background1"/>
            </w:tcBorders>
            <w:vAlign w:val="center"/>
          </w:tcPr>
          <w:p w14:paraId="4D0C7D91" w14:textId="2D333D3C" w:rsidR="004F68A2" w:rsidRPr="005E6862" w:rsidRDefault="004F68A2" w:rsidP="00CF0A8A">
            <w:pPr>
              <w:jc w:val="center"/>
              <w:rPr>
                <w:rFonts w:cs="Times New Roman"/>
                <w:sz w:val="20"/>
                <w:szCs w:val="20"/>
              </w:rPr>
            </w:pPr>
            <w:r w:rsidRPr="005E6862">
              <w:rPr>
                <w:rFonts w:cs="Times New Roman"/>
                <w:sz w:val="20"/>
                <w:szCs w:val="20"/>
              </w:rPr>
              <w:t>Waste</w:t>
            </w:r>
          </w:p>
        </w:tc>
      </w:tr>
    </w:tbl>
    <w:p w14:paraId="12150EA2" w14:textId="77777777" w:rsidR="00C90A62" w:rsidRPr="00C90A62" w:rsidRDefault="00C90A62" w:rsidP="00C90A62">
      <w:pPr>
        <w:jc w:val="center"/>
        <w:rPr>
          <w:rFonts w:cs="Times New Roman"/>
          <w:szCs w:val="24"/>
        </w:rPr>
      </w:pPr>
    </w:p>
    <w:p w14:paraId="0408C17A" w14:textId="2FD452BB" w:rsidR="00C90A62" w:rsidRDefault="00C90A62" w:rsidP="00C90A62">
      <w:pPr>
        <w:pStyle w:val="ListParagraph"/>
        <w:rPr>
          <w:rFonts w:cs="Times New Roman"/>
          <w:sz w:val="24"/>
          <w:szCs w:val="24"/>
        </w:rPr>
      </w:pPr>
      <w:r>
        <w:rPr>
          <w:rFonts w:cs="Times New Roman"/>
          <w:sz w:val="24"/>
          <w:szCs w:val="24"/>
        </w:rPr>
        <w:t>Note: Corporate rules merely restate agency-principal rules</w:t>
      </w:r>
    </w:p>
    <w:p w14:paraId="5EF31E0A" w14:textId="77777777" w:rsidR="00C90A62" w:rsidRDefault="00C90A62" w:rsidP="00C90A62">
      <w:pPr>
        <w:pStyle w:val="ListParagraph"/>
        <w:rPr>
          <w:rFonts w:cs="Times New Roman"/>
          <w:sz w:val="24"/>
          <w:szCs w:val="24"/>
        </w:rPr>
      </w:pPr>
    </w:p>
    <w:p w14:paraId="129FD8BC" w14:textId="3E2F06FF" w:rsidR="00C6367E" w:rsidRDefault="00C6367E" w:rsidP="00703047">
      <w:pPr>
        <w:pStyle w:val="Heading3"/>
        <w:numPr>
          <w:ilvl w:val="1"/>
          <w:numId w:val="9"/>
        </w:numPr>
      </w:pPr>
      <w:r>
        <w:t>Dominant Shareholders</w:t>
      </w:r>
    </w:p>
    <w:p w14:paraId="53022504" w14:textId="457C6BC1" w:rsidR="00C6367E" w:rsidRDefault="00C6367E" w:rsidP="00C6367E">
      <w:pPr>
        <w:pStyle w:val="ListParagraph"/>
        <w:numPr>
          <w:ilvl w:val="2"/>
          <w:numId w:val="9"/>
        </w:numPr>
        <w:rPr>
          <w:rFonts w:cs="Times New Roman"/>
          <w:sz w:val="24"/>
          <w:szCs w:val="24"/>
        </w:rPr>
      </w:pPr>
      <w:r>
        <w:rPr>
          <w:rFonts w:cs="Times New Roman"/>
          <w:sz w:val="24"/>
          <w:szCs w:val="24"/>
        </w:rPr>
        <w:t>Introduction</w:t>
      </w:r>
    </w:p>
    <w:p w14:paraId="610EBC58" w14:textId="0F45FBF6" w:rsidR="001E7260" w:rsidRDefault="001E7260" w:rsidP="001E7260">
      <w:pPr>
        <w:pStyle w:val="ListParagraph"/>
        <w:numPr>
          <w:ilvl w:val="3"/>
          <w:numId w:val="9"/>
        </w:numPr>
        <w:rPr>
          <w:rFonts w:cs="Times New Roman"/>
          <w:sz w:val="24"/>
          <w:szCs w:val="24"/>
        </w:rPr>
      </w:pPr>
      <w:r>
        <w:rPr>
          <w:rFonts w:cs="Times New Roman"/>
          <w:sz w:val="24"/>
          <w:szCs w:val="24"/>
        </w:rPr>
        <w:t xml:space="preserve">Shareholders work as no one’s agent, so they owe no one a fiduciary duty. </w:t>
      </w:r>
    </w:p>
    <w:p w14:paraId="7FCA4F02" w14:textId="19676449" w:rsidR="001E7260" w:rsidRDefault="001E7260" w:rsidP="001E7260">
      <w:pPr>
        <w:pStyle w:val="ListParagraph"/>
        <w:numPr>
          <w:ilvl w:val="3"/>
          <w:numId w:val="9"/>
        </w:numPr>
        <w:rPr>
          <w:rFonts w:cs="Times New Roman"/>
          <w:sz w:val="24"/>
          <w:szCs w:val="24"/>
        </w:rPr>
      </w:pPr>
      <w:r>
        <w:rPr>
          <w:rFonts w:cs="Times New Roman"/>
          <w:sz w:val="24"/>
          <w:szCs w:val="24"/>
        </w:rPr>
        <w:t>Yet, sometimes shareholders can structure corporate transactions to redistribute wealth from other shareholders to themselves in two broad ways:</w:t>
      </w:r>
    </w:p>
    <w:p w14:paraId="45C10847" w14:textId="53AE5927" w:rsidR="001E7260" w:rsidRDefault="001E7260" w:rsidP="001E7260">
      <w:pPr>
        <w:pStyle w:val="ListParagraph"/>
        <w:numPr>
          <w:ilvl w:val="4"/>
          <w:numId w:val="9"/>
        </w:numPr>
        <w:rPr>
          <w:rFonts w:cs="Times New Roman"/>
          <w:sz w:val="24"/>
          <w:szCs w:val="24"/>
        </w:rPr>
      </w:pPr>
      <w:r>
        <w:rPr>
          <w:rFonts w:cs="Times New Roman"/>
          <w:sz w:val="24"/>
          <w:szCs w:val="24"/>
        </w:rPr>
        <w:t>Sometimes they control the board. Nominally, directors serve as agents for the firm (and its shareholders) as a whole. Where one shareholder (or one group) dominates the firm, however, the directors serve at his whim. If he orders them explicitly or implicitly to redistribute wealth to him, they refuse at the cost of their job.</w:t>
      </w:r>
    </w:p>
    <w:p w14:paraId="67341249" w14:textId="6B5A6A3C" w:rsidR="001E7260" w:rsidRDefault="001E7260" w:rsidP="001E7260">
      <w:pPr>
        <w:pStyle w:val="ListParagraph"/>
        <w:numPr>
          <w:ilvl w:val="4"/>
          <w:numId w:val="9"/>
        </w:numPr>
        <w:rPr>
          <w:rFonts w:cs="Times New Roman"/>
          <w:sz w:val="24"/>
          <w:szCs w:val="24"/>
        </w:rPr>
      </w:pPr>
      <w:r>
        <w:rPr>
          <w:rFonts w:cs="Times New Roman"/>
          <w:sz w:val="24"/>
          <w:szCs w:val="24"/>
        </w:rPr>
        <w:lastRenderedPageBreak/>
        <w:t>Sometimes shareholders themselves take actions with redistributive consequences. To merge one firm with another, for example, both directors and shareholders must approve the transaction. Skew the terms of the merger in his favor, and a controlling shareholder can pocket money at his colleagues’ expense.</w:t>
      </w:r>
    </w:p>
    <w:p w14:paraId="06AA6614" w14:textId="220BAA28" w:rsidR="001E7260" w:rsidRDefault="001E7260" w:rsidP="001E7260">
      <w:pPr>
        <w:pStyle w:val="ListParagraph"/>
        <w:numPr>
          <w:ilvl w:val="3"/>
          <w:numId w:val="9"/>
        </w:numPr>
        <w:rPr>
          <w:rFonts w:cs="Times New Roman"/>
          <w:sz w:val="24"/>
          <w:szCs w:val="24"/>
        </w:rPr>
      </w:pPr>
      <w:r>
        <w:rPr>
          <w:rFonts w:cs="Times New Roman"/>
          <w:sz w:val="24"/>
          <w:szCs w:val="24"/>
        </w:rPr>
        <w:t xml:space="preserve">To police this misbehavior, court declare that controlling shareholders owe other shareholders a fiduciary duty. </w:t>
      </w:r>
    </w:p>
    <w:p w14:paraId="41A944C6" w14:textId="373FB4E6" w:rsidR="000A24A3" w:rsidRDefault="000A24A3" w:rsidP="001E7260">
      <w:pPr>
        <w:pStyle w:val="ListParagraph"/>
        <w:numPr>
          <w:ilvl w:val="3"/>
          <w:numId w:val="9"/>
        </w:numPr>
        <w:rPr>
          <w:rFonts w:cs="Times New Roman"/>
          <w:sz w:val="24"/>
          <w:szCs w:val="24"/>
        </w:rPr>
      </w:pPr>
      <w:r>
        <w:rPr>
          <w:rFonts w:cs="Times New Roman"/>
          <w:sz w:val="24"/>
          <w:szCs w:val="24"/>
        </w:rPr>
        <w:t>What constitute</w:t>
      </w:r>
      <w:r w:rsidR="00CF0A8A">
        <w:rPr>
          <w:rFonts w:cs="Times New Roman"/>
          <w:sz w:val="24"/>
          <w:szCs w:val="24"/>
        </w:rPr>
        <w:t>s</w:t>
      </w:r>
      <w:r>
        <w:rPr>
          <w:rFonts w:cs="Times New Roman"/>
          <w:sz w:val="24"/>
          <w:szCs w:val="24"/>
        </w:rPr>
        <w:t xml:space="preserve"> control? A majority stake almost always gives control. But where shareholdings are broadly dispersed, even a much smaller stake may give control effectively. </w:t>
      </w:r>
    </w:p>
    <w:p w14:paraId="5222EA4A" w14:textId="33ABF8C7" w:rsidR="00695E64" w:rsidRPr="001C1AF9" w:rsidRDefault="00F34B46" w:rsidP="00F34B46">
      <w:pPr>
        <w:pStyle w:val="ListParagraph"/>
        <w:numPr>
          <w:ilvl w:val="2"/>
          <w:numId w:val="9"/>
        </w:numPr>
        <w:rPr>
          <w:rFonts w:cs="Times New Roman"/>
          <w:b/>
          <w:sz w:val="24"/>
          <w:szCs w:val="24"/>
          <w:u w:val="single"/>
        </w:rPr>
      </w:pPr>
      <w:r w:rsidRPr="001C1AF9">
        <w:rPr>
          <w:rFonts w:cs="Times New Roman"/>
          <w:b/>
          <w:sz w:val="24"/>
          <w:szCs w:val="24"/>
          <w:u w:val="single"/>
        </w:rPr>
        <w:t>Business judgment rule applies to controlling shareholders unless there is self-dealing. Then, controlling shareholders have burden to prove “intrinsi</w:t>
      </w:r>
      <w:r w:rsidR="0077023C">
        <w:rPr>
          <w:rFonts w:cs="Times New Roman"/>
          <w:b/>
          <w:sz w:val="24"/>
          <w:szCs w:val="24"/>
          <w:u w:val="single"/>
        </w:rPr>
        <w:t>c fairness</w:t>
      </w:r>
      <w:r w:rsidRPr="001C1AF9">
        <w:rPr>
          <w:rFonts w:cs="Times New Roman"/>
          <w:b/>
          <w:sz w:val="24"/>
          <w:szCs w:val="24"/>
          <w:u w:val="single"/>
        </w:rPr>
        <w:t>”</w:t>
      </w:r>
      <w:r w:rsidR="0077023C">
        <w:rPr>
          <w:rFonts w:cs="Times New Roman"/>
          <w:b/>
          <w:sz w:val="24"/>
          <w:szCs w:val="24"/>
          <w:u w:val="single"/>
        </w:rPr>
        <w:t xml:space="preserve"> – fair and reasonable</w:t>
      </w:r>
      <w:r w:rsidRPr="001C1AF9">
        <w:rPr>
          <w:rFonts w:cs="Times New Roman"/>
          <w:b/>
          <w:sz w:val="24"/>
          <w:szCs w:val="24"/>
          <w:u w:val="single"/>
        </w:rPr>
        <w:t xml:space="preserve"> </w:t>
      </w:r>
    </w:p>
    <w:p w14:paraId="4CC78F00" w14:textId="208307EE" w:rsidR="00C6367E" w:rsidRPr="003C6B63" w:rsidRDefault="00C6367E" w:rsidP="00695E64">
      <w:pPr>
        <w:pStyle w:val="ListParagraph"/>
        <w:numPr>
          <w:ilvl w:val="3"/>
          <w:numId w:val="9"/>
        </w:numPr>
        <w:rPr>
          <w:rFonts w:cs="Times New Roman"/>
          <w:b/>
          <w:sz w:val="24"/>
          <w:szCs w:val="24"/>
        </w:rPr>
      </w:pPr>
      <w:r w:rsidRPr="003C6B63">
        <w:rPr>
          <w:rFonts w:cs="Times New Roman"/>
          <w:b/>
          <w:i/>
          <w:sz w:val="24"/>
          <w:szCs w:val="24"/>
        </w:rPr>
        <w:t xml:space="preserve">Sinclair Oil Corp. v. </w:t>
      </w:r>
      <w:proofErr w:type="spellStart"/>
      <w:r w:rsidRPr="003C6B63">
        <w:rPr>
          <w:rFonts w:cs="Times New Roman"/>
          <w:b/>
          <w:i/>
          <w:sz w:val="24"/>
          <w:szCs w:val="24"/>
        </w:rPr>
        <w:t>Levien</w:t>
      </w:r>
      <w:proofErr w:type="spellEnd"/>
      <w:r w:rsidR="0093321B" w:rsidRPr="003C6B63">
        <w:rPr>
          <w:rFonts w:cs="Times New Roman"/>
          <w:b/>
          <w:i/>
          <w:sz w:val="24"/>
          <w:szCs w:val="24"/>
        </w:rPr>
        <w:t xml:space="preserve"> (Del. 1971)</w:t>
      </w:r>
    </w:p>
    <w:p w14:paraId="49246ADD" w14:textId="42CDE86E" w:rsidR="0093321B" w:rsidRDefault="0093321B" w:rsidP="00695E64">
      <w:pPr>
        <w:pStyle w:val="ListParagraph"/>
        <w:numPr>
          <w:ilvl w:val="4"/>
          <w:numId w:val="9"/>
        </w:numPr>
        <w:rPr>
          <w:rFonts w:cs="Times New Roman"/>
          <w:sz w:val="24"/>
          <w:szCs w:val="24"/>
        </w:rPr>
      </w:pPr>
      <w:r>
        <w:rPr>
          <w:rFonts w:cs="Times New Roman"/>
          <w:sz w:val="24"/>
          <w:szCs w:val="24"/>
        </w:rPr>
        <w:t xml:space="preserve">Synopsis: </w:t>
      </w:r>
      <w:proofErr w:type="spellStart"/>
      <w:r w:rsidRPr="0093321B">
        <w:rPr>
          <w:rFonts w:cs="Times New Roman"/>
          <w:sz w:val="24"/>
          <w:szCs w:val="24"/>
        </w:rPr>
        <w:t>Sinven</w:t>
      </w:r>
      <w:proofErr w:type="spellEnd"/>
      <w:r w:rsidRPr="0093321B">
        <w:rPr>
          <w:rFonts w:cs="Times New Roman"/>
          <w:sz w:val="24"/>
          <w:szCs w:val="24"/>
        </w:rPr>
        <w:t xml:space="preserve"> was a subsidiary of D with operations exclusively in Venezuela. D, as the majority shareholder of </w:t>
      </w:r>
      <w:proofErr w:type="spellStart"/>
      <w:r w:rsidRPr="0093321B">
        <w:rPr>
          <w:rFonts w:cs="Times New Roman"/>
          <w:sz w:val="24"/>
          <w:szCs w:val="24"/>
        </w:rPr>
        <w:t>Sinven</w:t>
      </w:r>
      <w:proofErr w:type="spellEnd"/>
      <w:r w:rsidRPr="0093321B">
        <w:rPr>
          <w:rFonts w:cs="Times New Roman"/>
          <w:sz w:val="24"/>
          <w:szCs w:val="24"/>
        </w:rPr>
        <w:t xml:space="preserve">, caused </w:t>
      </w:r>
      <w:proofErr w:type="spellStart"/>
      <w:r w:rsidRPr="0093321B">
        <w:rPr>
          <w:rFonts w:cs="Times New Roman"/>
          <w:sz w:val="24"/>
          <w:szCs w:val="24"/>
        </w:rPr>
        <w:t>Sinven</w:t>
      </w:r>
      <w:proofErr w:type="spellEnd"/>
      <w:r w:rsidRPr="0093321B">
        <w:rPr>
          <w:rFonts w:cs="Times New Roman"/>
          <w:sz w:val="24"/>
          <w:szCs w:val="24"/>
        </w:rPr>
        <w:t xml:space="preserve"> to pay dividends that were so large that the amount exceeded the earnings of </w:t>
      </w:r>
      <w:proofErr w:type="spellStart"/>
      <w:r w:rsidRPr="0093321B">
        <w:rPr>
          <w:rFonts w:cs="Times New Roman"/>
          <w:sz w:val="24"/>
          <w:szCs w:val="24"/>
        </w:rPr>
        <w:t>Sinven</w:t>
      </w:r>
      <w:proofErr w:type="spellEnd"/>
      <w:r w:rsidRPr="0093321B">
        <w:rPr>
          <w:rFonts w:cs="Times New Roman"/>
          <w:sz w:val="24"/>
          <w:szCs w:val="24"/>
        </w:rPr>
        <w:t xml:space="preserve">. The dividends provided cash to </w:t>
      </w:r>
      <w:proofErr w:type="spellStart"/>
      <w:r w:rsidRPr="0093321B">
        <w:rPr>
          <w:rFonts w:cs="Times New Roman"/>
          <w:sz w:val="24"/>
          <w:szCs w:val="24"/>
        </w:rPr>
        <w:t>D</w:t>
      </w:r>
      <w:proofErr w:type="spellEnd"/>
      <w:r w:rsidRPr="0093321B">
        <w:rPr>
          <w:rFonts w:cs="Times New Roman"/>
          <w:sz w:val="24"/>
          <w:szCs w:val="24"/>
        </w:rPr>
        <w:t xml:space="preserve"> as well as minority shareholders, but it left no resources for </w:t>
      </w:r>
      <w:proofErr w:type="spellStart"/>
      <w:r w:rsidRPr="0093321B">
        <w:rPr>
          <w:rFonts w:cs="Times New Roman"/>
          <w:sz w:val="24"/>
          <w:szCs w:val="24"/>
        </w:rPr>
        <w:t>Sinven</w:t>
      </w:r>
      <w:proofErr w:type="spellEnd"/>
      <w:r w:rsidRPr="0093321B">
        <w:rPr>
          <w:rFonts w:cs="Times New Roman"/>
          <w:sz w:val="24"/>
          <w:szCs w:val="24"/>
        </w:rPr>
        <w:t xml:space="preserve"> to expand its operations. D also neglected to meet the terms of the contract between them and </w:t>
      </w:r>
      <w:proofErr w:type="spellStart"/>
      <w:r w:rsidRPr="0093321B">
        <w:rPr>
          <w:rFonts w:cs="Times New Roman"/>
          <w:sz w:val="24"/>
          <w:szCs w:val="24"/>
        </w:rPr>
        <w:t>Sinven</w:t>
      </w:r>
      <w:proofErr w:type="spellEnd"/>
      <w:r w:rsidRPr="0093321B">
        <w:rPr>
          <w:rFonts w:cs="Times New Roman"/>
          <w:sz w:val="24"/>
          <w:szCs w:val="24"/>
        </w:rPr>
        <w:t xml:space="preserve">. The agreement required </w:t>
      </w:r>
      <w:proofErr w:type="spellStart"/>
      <w:r w:rsidRPr="0093321B">
        <w:rPr>
          <w:rFonts w:cs="Times New Roman"/>
          <w:sz w:val="24"/>
          <w:szCs w:val="24"/>
        </w:rPr>
        <w:t>Sinven</w:t>
      </w:r>
      <w:proofErr w:type="spellEnd"/>
      <w:r w:rsidRPr="0093321B">
        <w:rPr>
          <w:rFonts w:cs="Times New Roman"/>
          <w:sz w:val="24"/>
          <w:szCs w:val="24"/>
        </w:rPr>
        <w:t xml:space="preserve"> to sell all of its products to D at specified prices, but D was late in payments and did not fulfill their minimum purchasing obligations. P therefore brought this action, claiming (1) the dividends were excessive; (2) D breached fiduciary duties by placing business opportunities with its 100% subsidiaries rather than the 97% </w:t>
      </w:r>
      <w:proofErr w:type="spellStart"/>
      <w:r w:rsidRPr="0093321B">
        <w:rPr>
          <w:rFonts w:cs="Times New Roman"/>
          <w:sz w:val="24"/>
          <w:szCs w:val="24"/>
        </w:rPr>
        <w:t>Sinven</w:t>
      </w:r>
      <w:proofErr w:type="spellEnd"/>
      <w:r w:rsidRPr="0093321B">
        <w:rPr>
          <w:rFonts w:cs="Times New Roman"/>
          <w:sz w:val="24"/>
          <w:szCs w:val="24"/>
        </w:rPr>
        <w:t xml:space="preserve">; </w:t>
      </w:r>
      <w:r w:rsidR="00F34B46">
        <w:rPr>
          <w:rFonts w:cs="Times New Roman"/>
          <w:sz w:val="24"/>
          <w:szCs w:val="24"/>
        </w:rPr>
        <w:t>and (3) that D caused its 100%-o</w:t>
      </w:r>
      <w:r w:rsidRPr="0093321B">
        <w:rPr>
          <w:rFonts w:cs="Times New Roman"/>
          <w:sz w:val="24"/>
          <w:szCs w:val="24"/>
        </w:rPr>
        <w:t>wned Sinclai</w:t>
      </w:r>
      <w:r w:rsidR="00F34B46">
        <w:rPr>
          <w:rFonts w:cs="Times New Roman"/>
          <w:sz w:val="24"/>
          <w:szCs w:val="24"/>
        </w:rPr>
        <w:t>r</w:t>
      </w:r>
      <w:r w:rsidRPr="0093321B">
        <w:rPr>
          <w:rFonts w:cs="Times New Roman"/>
          <w:sz w:val="24"/>
          <w:szCs w:val="24"/>
        </w:rPr>
        <w:t xml:space="preserve"> International to breach the contracts with the 97%-owned </w:t>
      </w:r>
      <w:proofErr w:type="spellStart"/>
      <w:r w:rsidRPr="0093321B">
        <w:rPr>
          <w:rFonts w:cs="Times New Roman"/>
          <w:sz w:val="24"/>
          <w:szCs w:val="24"/>
        </w:rPr>
        <w:t>Sinven</w:t>
      </w:r>
      <w:proofErr w:type="spellEnd"/>
      <w:r w:rsidRPr="0093321B">
        <w:rPr>
          <w:rFonts w:cs="Times New Roman"/>
          <w:sz w:val="24"/>
          <w:szCs w:val="24"/>
        </w:rPr>
        <w:t>.</w:t>
      </w:r>
      <w:r>
        <w:rPr>
          <w:rFonts w:cs="Times New Roman"/>
          <w:sz w:val="24"/>
          <w:szCs w:val="24"/>
        </w:rPr>
        <w:t xml:space="preserve"> Court held that (1) </w:t>
      </w:r>
      <w:r w:rsidRPr="006C7C45">
        <w:rPr>
          <w:rFonts w:cs="Times New Roman"/>
          <w:b/>
          <w:sz w:val="24"/>
          <w:szCs w:val="24"/>
          <w:u w:val="single"/>
        </w:rPr>
        <w:t>there was no self-dealing since D paid equal dividends on all shares</w:t>
      </w:r>
      <w:r>
        <w:rPr>
          <w:rFonts w:cs="Times New Roman"/>
          <w:sz w:val="24"/>
          <w:szCs w:val="24"/>
        </w:rPr>
        <w:t xml:space="preserve">; thus the business judgment rule applied and court did not find waste. (2) </w:t>
      </w:r>
      <w:r w:rsidR="00F34B46">
        <w:rPr>
          <w:rFonts w:cs="Times New Roman"/>
          <w:sz w:val="24"/>
          <w:szCs w:val="24"/>
        </w:rPr>
        <w:t xml:space="preserve">D did not receive corporate business opportunities in Venezuela so found in favor of D on this. (3) D owed </w:t>
      </w:r>
      <w:proofErr w:type="spellStart"/>
      <w:r w:rsidR="00F34B46">
        <w:rPr>
          <w:rFonts w:cs="Times New Roman"/>
          <w:sz w:val="24"/>
          <w:szCs w:val="24"/>
        </w:rPr>
        <w:t>Sinven</w:t>
      </w:r>
      <w:proofErr w:type="spellEnd"/>
      <w:r w:rsidR="00F34B46">
        <w:rPr>
          <w:rFonts w:cs="Times New Roman"/>
          <w:sz w:val="24"/>
          <w:szCs w:val="24"/>
        </w:rPr>
        <w:t xml:space="preserve"> a fiduciary duty; in causing International to breach its contracts with </w:t>
      </w:r>
      <w:proofErr w:type="spellStart"/>
      <w:r w:rsidR="00F34B46">
        <w:rPr>
          <w:rFonts w:cs="Times New Roman"/>
          <w:sz w:val="24"/>
          <w:szCs w:val="24"/>
        </w:rPr>
        <w:t>Sinven</w:t>
      </w:r>
      <w:proofErr w:type="spellEnd"/>
      <w:r w:rsidR="00F34B46">
        <w:rPr>
          <w:rFonts w:cs="Times New Roman"/>
          <w:sz w:val="24"/>
          <w:szCs w:val="24"/>
        </w:rPr>
        <w:t xml:space="preserve">, it violated that duty and was liable. </w:t>
      </w:r>
    </w:p>
    <w:p w14:paraId="50F5A5BA" w14:textId="6C0FB375" w:rsidR="00F34B46" w:rsidRPr="00F34B46" w:rsidRDefault="0093321B" w:rsidP="00695E64">
      <w:pPr>
        <w:pStyle w:val="ListParagraph"/>
        <w:numPr>
          <w:ilvl w:val="4"/>
          <w:numId w:val="9"/>
        </w:numPr>
        <w:rPr>
          <w:rFonts w:cs="Times New Roman"/>
          <w:sz w:val="24"/>
          <w:szCs w:val="24"/>
        </w:rPr>
      </w:pPr>
      <w:r>
        <w:rPr>
          <w:rFonts w:cs="Times New Roman"/>
          <w:sz w:val="24"/>
          <w:szCs w:val="24"/>
        </w:rPr>
        <w:t xml:space="preserve">Tool: </w:t>
      </w:r>
      <w:r w:rsidR="00F34B46" w:rsidRPr="00F34B46">
        <w:rPr>
          <w:rFonts w:cs="Times New Roman"/>
          <w:sz w:val="24"/>
          <w:szCs w:val="24"/>
        </w:rPr>
        <w:t>“</w:t>
      </w:r>
      <w:r w:rsidR="00F34B46" w:rsidRPr="00F902F8">
        <w:rPr>
          <w:rFonts w:cs="Times New Roman"/>
          <w:sz w:val="24"/>
          <w:szCs w:val="24"/>
          <w:u w:val="single"/>
        </w:rPr>
        <w:t>A parent does indeed owe a fiduciary duty to its subsidiary</w:t>
      </w:r>
      <w:r w:rsidR="00F34B46" w:rsidRPr="00F34B46">
        <w:rPr>
          <w:rFonts w:cs="Times New Roman"/>
          <w:sz w:val="24"/>
          <w:szCs w:val="24"/>
        </w:rPr>
        <w:t xml:space="preserve"> when there are parent-subsidiary dealings. However, this alone will not evoke the intrinsic fairness standard. This standard will be applied only when the fiduciary duty is accompanied by self-dealing-the situation when a parent is on both sides of a transaction with its subsidiary. Self-dealing occurs when the parent, by virtue of its domination of the subsidiary, causes the subsidiary to act in such a way that the parent receives something from the subsidiary to the exclusion of, and detriment to, the minority stockholders of the subsidiary.”</w:t>
      </w:r>
    </w:p>
    <w:p w14:paraId="700C8A54" w14:textId="57A120FA" w:rsidR="00F34B46" w:rsidRPr="00C212D1" w:rsidRDefault="00F34B46" w:rsidP="00695E64">
      <w:pPr>
        <w:pStyle w:val="ListParagraph"/>
        <w:numPr>
          <w:ilvl w:val="3"/>
          <w:numId w:val="9"/>
        </w:numPr>
        <w:rPr>
          <w:rFonts w:cs="Times New Roman"/>
          <w:b/>
          <w:i/>
          <w:sz w:val="24"/>
          <w:szCs w:val="24"/>
        </w:rPr>
      </w:pPr>
      <w:r w:rsidRPr="00C212D1">
        <w:rPr>
          <w:rFonts w:cs="Times New Roman"/>
          <w:b/>
          <w:i/>
          <w:sz w:val="24"/>
          <w:szCs w:val="24"/>
        </w:rPr>
        <w:t>Zahn v. Transamerica Corporation (3d Cir. 1947)</w:t>
      </w:r>
    </w:p>
    <w:p w14:paraId="5B7AE9C4" w14:textId="45016700" w:rsidR="00F34B46" w:rsidRDefault="00F34B46" w:rsidP="00695E64">
      <w:pPr>
        <w:pStyle w:val="ListParagraph"/>
        <w:numPr>
          <w:ilvl w:val="4"/>
          <w:numId w:val="9"/>
        </w:numPr>
        <w:rPr>
          <w:rFonts w:cs="Times New Roman"/>
          <w:sz w:val="24"/>
          <w:szCs w:val="24"/>
        </w:rPr>
      </w:pPr>
      <w:r>
        <w:rPr>
          <w:rFonts w:cs="Times New Roman"/>
          <w:sz w:val="24"/>
          <w:szCs w:val="24"/>
        </w:rPr>
        <w:t xml:space="preserve">Synopsis: </w:t>
      </w:r>
      <w:r w:rsidR="00695E64" w:rsidRPr="00695E64">
        <w:rPr>
          <w:rFonts w:cs="Times New Roman"/>
          <w:sz w:val="24"/>
          <w:szCs w:val="24"/>
        </w:rPr>
        <w:t xml:space="preserve">A-F was a tobacco company that had as its principal asset leaf tobacco which they bought in late 1942 and early 1943 for $6,361,981. By April of 1943 the value of the tobacco was about $20 million. </w:t>
      </w:r>
      <w:r w:rsidR="00695E64">
        <w:rPr>
          <w:rFonts w:cs="Times New Roman"/>
          <w:sz w:val="24"/>
          <w:szCs w:val="24"/>
        </w:rPr>
        <w:t>Transamerica (D)</w:t>
      </w:r>
      <w:r w:rsidR="00695E64" w:rsidRPr="00695E64">
        <w:rPr>
          <w:rFonts w:cs="Times New Roman"/>
          <w:sz w:val="24"/>
          <w:szCs w:val="24"/>
        </w:rPr>
        <w:t xml:space="preserve">, a holding company, was the majority shareholder which entitled them to control nearly every aspect of A-F’s operations. </w:t>
      </w:r>
      <w:r w:rsidR="00695E64">
        <w:rPr>
          <w:rFonts w:cs="Times New Roman"/>
          <w:sz w:val="24"/>
          <w:szCs w:val="24"/>
        </w:rPr>
        <w:t>D</w:t>
      </w:r>
      <w:r w:rsidR="00695E64" w:rsidRPr="00695E64">
        <w:rPr>
          <w:rFonts w:cs="Times New Roman"/>
          <w:sz w:val="24"/>
          <w:szCs w:val="24"/>
        </w:rPr>
        <w:t xml:space="preserve"> converted all of their Class A stocks to class B stocks, and then called for a redemption of outstanding Class A stocks at $80.80 per share. The company’s charter allowed for the redemption, but the timing of it was suspicious because right after the redemption</w:t>
      </w:r>
      <w:r w:rsidR="00695E64">
        <w:rPr>
          <w:rFonts w:cs="Times New Roman"/>
          <w:sz w:val="24"/>
          <w:szCs w:val="24"/>
        </w:rPr>
        <w:t>,</w:t>
      </w:r>
      <w:r w:rsidR="00695E64" w:rsidRPr="00695E64">
        <w:rPr>
          <w:rFonts w:cs="Times New Roman"/>
          <w:sz w:val="24"/>
          <w:szCs w:val="24"/>
        </w:rPr>
        <w:t xml:space="preserve"> </w:t>
      </w:r>
      <w:r w:rsidR="00695E64">
        <w:rPr>
          <w:rFonts w:cs="Times New Roman"/>
          <w:sz w:val="24"/>
          <w:szCs w:val="24"/>
        </w:rPr>
        <w:t>D</w:t>
      </w:r>
      <w:r w:rsidR="00695E64" w:rsidRPr="00695E64">
        <w:rPr>
          <w:rFonts w:cs="Times New Roman"/>
          <w:sz w:val="24"/>
          <w:szCs w:val="24"/>
        </w:rPr>
        <w:t xml:space="preserve"> liquidated A-F. As a result, owners of Class A shares lost out on what </w:t>
      </w:r>
      <w:r w:rsidR="00695E64">
        <w:rPr>
          <w:rFonts w:cs="Times New Roman"/>
          <w:sz w:val="24"/>
          <w:szCs w:val="24"/>
        </w:rPr>
        <w:t>P</w:t>
      </w:r>
      <w:r w:rsidR="00695E64" w:rsidRPr="00695E64">
        <w:rPr>
          <w:rFonts w:cs="Times New Roman"/>
          <w:sz w:val="24"/>
          <w:szCs w:val="24"/>
        </w:rPr>
        <w:t xml:space="preserve"> valued to be a $240 per share return. </w:t>
      </w:r>
      <w:r w:rsidR="00695E64">
        <w:rPr>
          <w:rFonts w:cs="Times New Roman"/>
          <w:sz w:val="24"/>
          <w:szCs w:val="24"/>
        </w:rPr>
        <w:t>P</w:t>
      </w:r>
      <w:r w:rsidR="00695E64" w:rsidRPr="00695E64">
        <w:rPr>
          <w:rFonts w:cs="Times New Roman"/>
          <w:sz w:val="24"/>
          <w:szCs w:val="24"/>
        </w:rPr>
        <w:t xml:space="preserve"> redeemed some Class A shares, so </w:t>
      </w:r>
      <w:r w:rsidR="00695E64">
        <w:rPr>
          <w:rFonts w:cs="Times New Roman"/>
          <w:sz w:val="24"/>
          <w:szCs w:val="24"/>
        </w:rPr>
        <w:t>P</w:t>
      </w:r>
      <w:r w:rsidR="00695E64" w:rsidRPr="00695E64">
        <w:rPr>
          <w:rFonts w:cs="Times New Roman"/>
          <w:sz w:val="24"/>
          <w:szCs w:val="24"/>
        </w:rPr>
        <w:t xml:space="preserve"> sought equitable relief to turn in outstanding shares at $240 per share and sought the difference between the $80.80 and $240 for the redeemed shares. </w:t>
      </w:r>
      <w:r w:rsidR="00695E64">
        <w:rPr>
          <w:rFonts w:cs="Times New Roman"/>
          <w:sz w:val="24"/>
          <w:szCs w:val="24"/>
        </w:rPr>
        <w:t>D</w:t>
      </w:r>
      <w:r w:rsidR="00695E64" w:rsidRPr="00695E64">
        <w:rPr>
          <w:rFonts w:cs="Times New Roman"/>
          <w:sz w:val="24"/>
          <w:szCs w:val="24"/>
        </w:rPr>
        <w:t xml:space="preserve"> argued that they followed the corporate charter when they voted for the redemption.</w:t>
      </w:r>
      <w:r w:rsidR="00695E64">
        <w:rPr>
          <w:rFonts w:cs="Times New Roman"/>
          <w:sz w:val="24"/>
          <w:szCs w:val="24"/>
        </w:rPr>
        <w:t xml:space="preserve"> Court held that because calling the A shares transferred money from the A shareholders to D, the transaction was </w:t>
      </w:r>
      <w:r w:rsidR="00695E64" w:rsidRPr="001C1AF9">
        <w:rPr>
          <w:rFonts w:cs="Times New Roman"/>
          <w:b/>
          <w:sz w:val="24"/>
          <w:szCs w:val="24"/>
          <w:u w:val="single"/>
        </w:rPr>
        <w:t>self-dealing</w:t>
      </w:r>
      <w:r w:rsidR="00695E64">
        <w:rPr>
          <w:rFonts w:cs="Times New Roman"/>
          <w:sz w:val="24"/>
          <w:szCs w:val="24"/>
        </w:rPr>
        <w:t xml:space="preserve">. D had to show the deal was </w:t>
      </w:r>
      <w:r w:rsidR="00695E64" w:rsidRPr="001C1AF9">
        <w:rPr>
          <w:rFonts w:cs="Times New Roman"/>
          <w:b/>
          <w:sz w:val="24"/>
          <w:szCs w:val="24"/>
          <w:u w:val="single"/>
        </w:rPr>
        <w:t>intrinsically fair</w:t>
      </w:r>
      <w:r w:rsidR="00695E64">
        <w:rPr>
          <w:rFonts w:cs="Times New Roman"/>
          <w:sz w:val="24"/>
          <w:szCs w:val="24"/>
        </w:rPr>
        <w:t xml:space="preserve"> which it did not so held in favor of P. </w:t>
      </w:r>
    </w:p>
    <w:p w14:paraId="153509C7" w14:textId="77777777" w:rsidR="00695E64" w:rsidRPr="00695E64" w:rsidRDefault="00695E64" w:rsidP="00695E64">
      <w:pPr>
        <w:pStyle w:val="ListParagraph"/>
        <w:numPr>
          <w:ilvl w:val="4"/>
          <w:numId w:val="9"/>
        </w:numPr>
        <w:rPr>
          <w:rFonts w:cs="Times New Roman"/>
          <w:sz w:val="24"/>
          <w:szCs w:val="24"/>
        </w:rPr>
      </w:pPr>
      <w:r w:rsidRPr="00695E64">
        <w:rPr>
          <w:rFonts w:cs="Times New Roman"/>
          <w:sz w:val="24"/>
          <w:szCs w:val="24"/>
        </w:rPr>
        <w:t>Tool:</w:t>
      </w:r>
    </w:p>
    <w:p w14:paraId="2EC4CDFE" w14:textId="77777777" w:rsidR="00695E64" w:rsidRPr="00695E64" w:rsidRDefault="00695E64" w:rsidP="00695E64">
      <w:pPr>
        <w:pStyle w:val="ListParagraph"/>
        <w:numPr>
          <w:ilvl w:val="5"/>
          <w:numId w:val="9"/>
        </w:numPr>
        <w:rPr>
          <w:rFonts w:cs="Times New Roman"/>
          <w:sz w:val="24"/>
          <w:szCs w:val="24"/>
        </w:rPr>
      </w:pPr>
      <w:r w:rsidRPr="00695E64">
        <w:rPr>
          <w:rFonts w:cs="Times New Roman"/>
          <w:sz w:val="24"/>
          <w:szCs w:val="24"/>
        </w:rPr>
        <w:lastRenderedPageBreak/>
        <w:t xml:space="preserve">“The </w:t>
      </w:r>
      <w:r w:rsidRPr="00F902F8">
        <w:rPr>
          <w:rFonts w:cs="Times New Roman"/>
          <w:sz w:val="24"/>
          <w:szCs w:val="24"/>
          <w:u w:val="single"/>
        </w:rPr>
        <w:t>majority has the right to control; but when it does so, it occupies a fiduciary relation toward the minority</w:t>
      </w:r>
      <w:r w:rsidRPr="00695E64">
        <w:rPr>
          <w:rFonts w:cs="Times New Roman"/>
          <w:sz w:val="24"/>
          <w:szCs w:val="24"/>
        </w:rPr>
        <w:t>, as much so as the corporation itself or its officers and directors.”</w:t>
      </w:r>
    </w:p>
    <w:p w14:paraId="4F1F53AD" w14:textId="75A6B028" w:rsidR="00695E64" w:rsidRPr="00695E64" w:rsidRDefault="00695E64" w:rsidP="00695E64">
      <w:pPr>
        <w:pStyle w:val="ListParagraph"/>
        <w:numPr>
          <w:ilvl w:val="5"/>
          <w:numId w:val="9"/>
        </w:numPr>
        <w:rPr>
          <w:rFonts w:cs="Times New Roman"/>
          <w:sz w:val="24"/>
          <w:szCs w:val="24"/>
        </w:rPr>
      </w:pPr>
      <w:r w:rsidRPr="00695E64">
        <w:rPr>
          <w:rFonts w:cs="Times New Roman"/>
          <w:sz w:val="24"/>
          <w:szCs w:val="24"/>
        </w:rPr>
        <w:t>“When voting as a stockholder he may have the legal right to vote with a view of his own benefits and to represent himself only; but when he votes as a director he represents all the stockholders in the capacity of a trustee for them and cannot use his office as a director for his personal benefit at the expense of the stockholders.”</w:t>
      </w:r>
    </w:p>
    <w:p w14:paraId="0727DB7D" w14:textId="5A9CF2FE" w:rsidR="00695E64" w:rsidRDefault="00695E64" w:rsidP="00695E64">
      <w:pPr>
        <w:pStyle w:val="ListParagraph"/>
        <w:numPr>
          <w:ilvl w:val="5"/>
          <w:numId w:val="9"/>
        </w:numPr>
        <w:rPr>
          <w:rFonts w:cs="Times New Roman"/>
          <w:sz w:val="24"/>
          <w:szCs w:val="24"/>
        </w:rPr>
      </w:pPr>
      <w:r w:rsidRPr="00695E64">
        <w:rPr>
          <w:rFonts w:cs="Times New Roman"/>
          <w:sz w:val="24"/>
          <w:szCs w:val="24"/>
        </w:rPr>
        <w:t>“</w:t>
      </w:r>
      <w:proofErr w:type="gramStart"/>
      <w:r w:rsidRPr="00695E64">
        <w:rPr>
          <w:rFonts w:cs="Times New Roman"/>
          <w:sz w:val="24"/>
          <w:szCs w:val="24"/>
        </w:rPr>
        <w:t>directors</w:t>
      </w:r>
      <w:proofErr w:type="gramEnd"/>
      <w:r w:rsidRPr="00695E64">
        <w:rPr>
          <w:rFonts w:cs="Times New Roman"/>
          <w:sz w:val="24"/>
          <w:szCs w:val="24"/>
        </w:rPr>
        <w:t xml:space="preserve"> may not declare or withhold the declaration of dividends for the purpose of personal profit or, by analogy, take any corporate action for such a purpose.”</w:t>
      </w:r>
    </w:p>
    <w:p w14:paraId="1AD0D6AE" w14:textId="0EBCA6F8" w:rsidR="00C212D1" w:rsidRPr="00F902F8" w:rsidRDefault="00F902F8" w:rsidP="00F902F8">
      <w:pPr>
        <w:pStyle w:val="ListParagraph"/>
        <w:numPr>
          <w:ilvl w:val="5"/>
          <w:numId w:val="9"/>
        </w:numPr>
        <w:rPr>
          <w:rFonts w:cs="Times New Roman"/>
          <w:b/>
          <w:sz w:val="24"/>
          <w:szCs w:val="24"/>
          <w:u w:val="single"/>
        </w:rPr>
      </w:pPr>
      <w:r>
        <w:rPr>
          <w:rFonts w:cs="Times New Roman"/>
          <w:b/>
          <w:sz w:val="24"/>
          <w:szCs w:val="24"/>
          <w:u w:val="single"/>
        </w:rPr>
        <w:t xml:space="preserve">When there is self-dealing, have to show intrinsically fair </w:t>
      </w:r>
      <w:r w:rsidRPr="00F902F8">
        <w:rPr>
          <w:rFonts w:cs="Times New Roman"/>
          <w:b/>
          <w:sz w:val="24"/>
          <w:szCs w:val="24"/>
          <w:u w:val="single"/>
        </w:rPr>
        <w:sym w:font="Wingdings" w:char="F0E0"/>
      </w:r>
      <w:r>
        <w:rPr>
          <w:rFonts w:cs="Times New Roman"/>
          <w:b/>
          <w:sz w:val="24"/>
          <w:szCs w:val="24"/>
          <w:u w:val="single"/>
        </w:rPr>
        <w:t xml:space="preserve"> prove that transaction was fair and reasonable. This standard is what a disinterested board would do. </w:t>
      </w:r>
      <w:r w:rsidR="00C212D1" w:rsidRPr="00F902F8">
        <w:rPr>
          <w:rFonts w:cs="Times New Roman"/>
          <w:b/>
          <w:sz w:val="24"/>
          <w:szCs w:val="24"/>
          <w:u w:val="single"/>
        </w:rPr>
        <w:t xml:space="preserve">Facing multiple tiers of securities, a disinterested board should adopt those strategies that maximize the returns to the junior-most security (the residual claimant, the security paid last). </w:t>
      </w:r>
    </w:p>
    <w:p w14:paraId="45C4BCFA" w14:textId="27E7AC40" w:rsidR="00C6367E" w:rsidRPr="008B6809" w:rsidRDefault="00C6367E" w:rsidP="008B6809">
      <w:pPr>
        <w:pStyle w:val="Heading3"/>
        <w:numPr>
          <w:ilvl w:val="1"/>
          <w:numId w:val="9"/>
        </w:numPr>
      </w:pPr>
      <w:r>
        <w:t>Corporate Opportunities</w:t>
      </w:r>
    </w:p>
    <w:p w14:paraId="4EB6C2C1" w14:textId="174D6C1C" w:rsidR="00615937" w:rsidRDefault="00615937" w:rsidP="008B6809">
      <w:pPr>
        <w:pStyle w:val="ListParagraph"/>
        <w:numPr>
          <w:ilvl w:val="2"/>
          <w:numId w:val="9"/>
        </w:numPr>
        <w:rPr>
          <w:rFonts w:cs="Times New Roman"/>
          <w:sz w:val="24"/>
          <w:szCs w:val="24"/>
        </w:rPr>
      </w:pPr>
      <w:r>
        <w:rPr>
          <w:rFonts w:cs="Times New Roman"/>
          <w:sz w:val="24"/>
          <w:szCs w:val="24"/>
        </w:rPr>
        <w:t xml:space="preserve">Previous Cases </w:t>
      </w:r>
    </w:p>
    <w:p w14:paraId="10393A27" w14:textId="7C880DF8" w:rsidR="00615937" w:rsidRDefault="00615937" w:rsidP="008B6809">
      <w:pPr>
        <w:pStyle w:val="ListParagraph"/>
        <w:numPr>
          <w:ilvl w:val="3"/>
          <w:numId w:val="9"/>
        </w:numPr>
        <w:rPr>
          <w:rFonts w:cs="Times New Roman"/>
          <w:sz w:val="24"/>
          <w:szCs w:val="24"/>
        </w:rPr>
      </w:pPr>
      <w:proofErr w:type="spellStart"/>
      <w:r w:rsidRPr="00372004">
        <w:rPr>
          <w:rFonts w:cs="Times New Roman"/>
          <w:i/>
          <w:sz w:val="24"/>
          <w:szCs w:val="24"/>
        </w:rPr>
        <w:t>Meinhard</w:t>
      </w:r>
      <w:proofErr w:type="spellEnd"/>
      <w:r w:rsidRPr="00372004">
        <w:rPr>
          <w:rFonts w:cs="Times New Roman"/>
          <w:i/>
          <w:sz w:val="24"/>
          <w:szCs w:val="24"/>
        </w:rPr>
        <w:t xml:space="preserve"> v. Salmon</w:t>
      </w:r>
      <w:r w:rsidRPr="00615937">
        <w:rPr>
          <w:rFonts w:cs="Times New Roman"/>
          <w:sz w:val="24"/>
          <w:szCs w:val="24"/>
        </w:rPr>
        <w:t xml:space="preserve"> (NY 1928)</w:t>
      </w:r>
      <w:r>
        <w:rPr>
          <w:rFonts w:cs="Times New Roman"/>
          <w:sz w:val="24"/>
          <w:szCs w:val="24"/>
        </w:rPr>
        <w:t xml:space="preserve"> </w:t>
      </w:r>
      <w:r w:rsidR="00372004">
        <w:rPr>
          <w:rFonts w:cs="Times New Roman"/>
          <w:sz w:val="24"/>
          <w:szCs w:val="24"/>
        </w:rPr>
        <w:t>–</w:t>
      </w:r>
      <w:r>
        <w:rPr>
          <w:rFonts w:cs="Times New Roman"/>
          <w:sz w:val="24"/>
          <w:szCs w:val="24"/>
        </w:rPr>
        <w:t xml:space="preserve"> </w:t>
      </w:r>
      <w:r w:rsidR="00372004">
        <w:rPr>
          <w:rFonts w:cs="Times New Roman"/>
          <w:sz w:val="24"/>
          <w:szCs w:val="24"/>
        </w:rPr>
        <w:t xml:space="preserve">Salon ran a joint venture with </w:t>
      </w:r>
      <w:proofErr w:type="spellStart"/>
      <w:r w:rsidR="00372004">
        <w:rPr>
          <w:rFonts w:cs="Times New Roman"/>
          <w:sz w:val="24"/>
          <w:szCs w:val="24"/>
        </w:rPr>
        <w:t>Meinhard</w:t>
      </w:r>
      <w:proofErr w:type="spellEnd"/>
      <w:r w:rsidR="00372004">
        <w:rPr>
          <w:rFonts w:cs="Times New Roman"/>
          <w:sz w:val="24"/>
          <w:szCs w:val="24"/>
        </w:rPr>
        <w:t xml:space="preserve"> to exploit a lease from Gerry. Near the end of the term, Gerry invited Salmon to invest in a new lease that would replace the expiring one. Salmon accepted, </w:t>
      </w:r>
      <w:proofErr w:type="spellStart"/>
      <w:r w:rsidR="00372004">
        <w:rPr>
          <w:rFonts w:cs="Times New Roman"/>
          <w:sz w:val="24"/>
          <w:szCs w:val="24"/>
        </w:rPr>
        <w:t>Meinhard</w:t>
      </w:r>
      <w:proofErr w:type="spellEnd"/>
      <w:r w:rsidR="00372004">
        <w:rPr>
          <w:rFonts w:cs="Times New Roman"/>
          <w:sz w:val="24"/>
          <w:szCs w:val="24"/>
        </w:rPr>
        <w:t xml:space="preserve"> sued, and J. Cardozo declared that Salmon breached his duty of loyalty to </w:t>
      </w:r>
      <w:proofErr w:type="spellStart"/>
      <w:r w:rsidR="00372004">
        <w:rPr>
          <w:rFonts w:cs="Times New Roman"/>
          <w:sz w:val="24"/>
          <w:szCs w:val="24"/>
        </w:rPr>
        <w:t>Meinhard</w:t>
      </w:r>
      <w:proofErr w:type="spellEnd"/>
      <w:r w:rsidR="00372004">
        <w:rPr>
          <w:rFonts w:cs="Times New Roman"/>
          <w:sz w:val="24"/>
          <w:szCs w:val="24"/>
        </w:rPr>
        <w:t>. The new lease was an “opportunity” of the joint venture. Had the two operated a corporation rather than a joint venture, J. Cardozo might have called it a “corporate opportunity.” Salmon could not “take” the opportunity for himself without first offering it to their firm.</w:t>
      </w:r>
    </w:p>
    <w:p w14:paraId="07630373" w14:textId="07690717" w:rsidR="00372004" w:rsidRDefault="00372004" w:rsidP="008B6809">
      <w:pPr>
        <w:pStyle w:val="ListParagraph"/>
        <w:numPr>
          <w:ilvl w:val="3"/>
          <w:numId w:val="9"/>
        </w:numPr>
        <w:rPr>
          <w:rFonts w:cs="Times New Roman"/>
          <w:sz w:val="24"/>
          <w:szCs w:val="24"/>
        </w:rPr>
      </w:pPr>
      <w:proofErr w:type="spellStart"/>
      <w:r w:rsidRPr="00372004">
        <w:rPr>
          <w:rFonts w:cs="Times New Roman"/>
          <w:i/>
          <w:sz w:val="24"/>
          <w:szCs w:val="24"/>
        </w:rPr>
        <w:t>Fliegler</w:t>
      </w:r>
      <w:proofErr w:type="spellEnd"/>
      <w:r w:rsidRPr="00372004">
        <w:rPr>
          <w:rFonts w:cs="Times New Roman"/>
          <w:i/>
          <w:sz w:val="24"/>
          <w:szCs w:val="24"/>
        </w:rPr>
        <w:t xml:space="preserve"> v. Lawrence</w:t>
      </w:r>
      <w:r w:rsidRPr="00372004">
        <w:rPr>
          <w:rFonts w:cs="Times New Roman"/>
          <w:sz w:val="24"/>
          <w:szCs w:val="24"/>
        </w:rPr>
        <w:t xml:space="preserve"> (Del. 1976)</w:t>
      </w:r>
      <w:r>
        <w:rPr>
          <w:rFonts w:cs="Times New Roman"/>
          <w:sz w:val="24"/>
          <w:szCs w:val="24"/>
        </w:rPr>
        <w:t xml:space="preserve"> – Lawrence ran </w:t>
      </w:r>
      <w:proofErr w:type="spellStart"/>
      <w:r>
        <w:rPr>
          <w:rFonts w:cs="Times New Roman"/>
          <w:sz w:val="24"/>
          <w:szCs w:val="24"/>
        </w:rPr>
        <w:t>Agau</w:t>
      </w:r>
      <w:proofErr w:type="spellEnd"/>
      <w:r>
        <w:rPr>
          <w:rFonts w:cs="Times New Roman"/>
          <w:sz w:val="24"/>
          <w:szCs w:val="24"/>
        </w:rPr>
        <w:t xml:space="preserve">, which mined for silver and gold. Through his work for the company, he acquired several antimony mines. Lest minority shareholders claim that the antimony mines were “corporate opportunities” to </w:t>
      </w:r>
      <w:proofErr w:type="spellStart"/>
      <w:r>
        <w:rPr>
          <w:rFonts w:cs="Times New Roman"/>
          <w:sz w:val="24"/>
          <w:szCs w:val="24"/>
        </w:rPr>
        <w:t>Agau</w:t>
      </w:r>
      <w:proofErr w:type="spellEnd"/>
      <w:r>
        <w:rPr>
          <w:rFonts w:cs="Times New Roman"/>
          <w:sz w:val="24"/>
          <w:szCs w:val="24"/>
        </w:rPr>
        <w:t xml:space="preserve">, he did not immediately exploit them in his own firm USAC. Instead, he “offered” them to </w:t>
      </w:r>
      <w:proofErr w:type="spellStart"/>
      <w:r>
        <w:rPr>
          <w:rFonts w:cs="Times New Roman"/>
          <w:sz w:val="24"/>
          <w:szCs w:val="24"/>
        </w:rPr>
        <w:t>Agau</w:t>
      </w:r>
      <w:proofErr w:type="spellEnd"/>
      <w:r>
        <w:rPr>
          <w:rFonts w:cs="Times New Roman"/>
          <w:sz w:val="24"/>
          <w:szCs w:val="24"/>
        </w:rPr>
        <w:t xml:space="preserve">. Only after the </w:t>
      </w:r>
      <w:proofErr w:type="spellStart"/>
      <w:r>
        <w:rPr>
          <w:rFonts w:cs="Times New Roman"/>
          <w:sz w:val="24"/>
          <w:szCs w:val="24"/>
        </w:rPr>
        <w:t>Agau</w:t>
      </w:r>
      <w:proofErr w:type="spellEnd"/>
      <w:r>
        <w:rPr>
          <w:rFonts w:cs="Times New Roman"/>
          <w:sz w:val="24"/>
          <w:szCs w:val="24"/>
        </w:rPr>
        <w:t xml:space="preserve"> board “rejected” his offer did he develop them himself.</w:t>
      </w:r>
    </w:p>
    <w:p w14:paraId="5FE0BD9D" w14:textId="5C762D3D" w:rsidR="00960582" w:rsidRPr="009F3231" w:rsidRDefault="009F3231" w:rsidP="009F3231">
      <w:pPr>
        <w:pStyle w:val="ListParagraph"/>
        <w:numPr>
          <w:ilvl w:val="2"/>
          <w:numId w:val="9"/>
        </w:numPr>
        <w:rPr>
          <w:rFonts w:cs="Times New Roman"/>
          <w:sz w:val="24"/>
          <w:szCs w:val="24"/>
        </w:rPr>
      </w:pPr>
      <w:r>
        <w:rPr>
          <w:rFonts w:cs="Times New Roman"/>
          <w:sz w:val="24"/>
          <w:szCs w:val="24"/>
        </w:rPr>
        <w:t xml:space="preserve">Agent-Principal Rules – </w:t>
      </w:r>
      <w:r w:rsidR="00960582" w:rsidRPr="009F3231">
        <w:rPr>
          <w:rFonts w:cs="Times New Roman"/>
          <w:sz w:val="24"/>
          <w:szCs w:val="24"/>
        </w:rPr>
        <w:t>“Unless otherwise agreed, an agent who makes a profit in connection with transactions conducted by him on behalf of the principal is under a duty to give such profit to the principal.”</w:t>
      </w:r>
      <w:r w:rsidRPr="009F3231">
        <w:rPr>
          <w:rFonts w:cs="Times New Roman"/>
          <w:sz w:val="24"/>
          <w:szCs w:val="24"/>
        </w:rPr>
        <w:t xml:space="preserve"> R2 Agency 388</w:t>
      </w:r>
      <w:r>
        <w:rPr>
          <w:rFonts w:cs="Times New Roman"/>
          <w:sz w:val="24"/>
          <w:szCs w:val="24"/>
        </w:rPr>
        <w:t>.</w:t>
      </w:r>
    </w:p>
    <w:p w14:paraId="6341BA58" w14:textId="10CF2D3B" w:rsidR="00372004" w:rsidRDefault="00372004" w:rsidP="008B6809">
      <w:pPr>
        <w:pStyle w:val="ListParagraph"/>
        <w:numPr>
          <w:ilvl w:val="2"/>
          <w:numId w:val="9"/>
        </w:numPr>
        <w:rPr>
          <w:rFonts w:cs="Times New Roman"/>
          <w:sz w:val="24"/>
          <w:szCs w:val="24"/>
        </w:rPr>
      </w:pPr>
      <w:r>
        <w:rPr>
          <w:rFonts w:cs="Times New Roman"/>
          <w:sz w:val="24"/>
          <w:szCs w:val="24"/>
        </w:rPr>
        <w:t>What is a Corporate Opportunity?</w:t>
      </w:r>
    </w:p>
    <w:p w14:paraId="6B96BCA0" w14:textId="09659D3D" w:rsidR="00372004" w:rsidRDefault="00372004" w:rsidP="008B6809">
      <w:pPr>
        <w:pStyle w:val="ListParagraph"/>
        <w:numPr>
          <w:ilvl w:val="3"/>
          <w:numId w:val="9"/>
        </w:numPr>
        <w:rPr>
          <w:rFonts w:cs="Times New Roman"/>
          <w:sz w:val="24"/>
          <w:szCs w:val="24"/>
        </w:rPr>
      </w:pPr>
      <w:r w:rsidRPr="008B6809">
        <w:rPr>
          <w:rFonts w:cs="Times New Roman"/>
          <w:i/>
          <w:sz w:val="24"/>
          <w:szCs w:val="24"/>
        </w:rPr>
        <w:t xml:space="preserve">Beam ex re. Martha Stewart Living </w:t>
      </w:r>
      <w:proofErr w:type="spellStart"/>
      <w:r w:rsidRPr="008B6809">
        <w:rPr>
          <w:rFonts w:cs="Times New Roman"/>
          <w:i/>
          <w:sz w:val="24"/>
          <w:szCs w:val="24"/>
        </w:rPr>
        <w:t>Omnimedia</w:t>
      </w:r>
      <w:proofErr w:type="spellEnd"/>
      <w:r w:rsidRPr="008B6809">
        <w:rPr>
          <w:rFonts w:cs="Times New Roman"/>
          <w:i/>
          <w:sz w:val="24"/>
          <w:szCs w:val="24"/>
        </w:rPr>
        <w:t xml:space="preserve"> Inc. v. Stewart</w:t>
      </w:r>
      <w:r>
        <w:rPr>
          <w:rFonts w:cs="Times New Roman"/>
          <w:sz w:val="24"/>
          <w:szCs w:val="24"/>
        </w:rPr>
        <w:t xml:space="preserve"> – </w:t>
      </w:r>
      <w:r w:rsidRPr="00372004">
        <w:rPr>
          <w:rFonts w:cs="Times New Roman"/>
          <w:sz w:val="24"/>
          <w:szCs w:val="24"/>
        </w:rPr>
        <w:t>an opportunity is within the corporation’s line of business when it is “an activity as to which [the corporation] has fundamental knowledge, practical experience and ability to pursue.”</w:t>
      </w:r>
    </w:p>
    <w:p w14:paraId="3C9C805C" w14:textId="55860D65" w:rsidR="00960582" w:rsidRDefault="00960582" w:rsidP="008B6809">
      <w:pPr>
        <w:pStyle w:val="ListParagraph"/>
        <w:numPr>
          <w:ilvl w:val="3"/>
          <w:numId w:val="9"/>
        </w:numPr>
        <w:rPr>
          <w:rFonts w:cs="Times New Roman"/>
          <w:sz w:val="24"/>
          <w:szCs w:val="24"/>
        </w:rPr>
      </w:pPr>
      <w:r>
        <w:rPr>
          <w:rFonts w:cs="Times New Roman"/>
          <w:sz w:val="24"/>
          <w:szCs w:val="24"/>
        </w:rPr>
        <w:t>ALI 5.05(b) – a corporate opportunity is one of three types of business opportunities:</w:t>
      </w:r>
    </w:p>
    <w:p w14:paraId="54BC43E8" w14:textId="0D5CB9B1" w:rsidR="00960582" w:rsidRPr="00960582" w:rsidRDefault="00960582" w:rsidP="008B6809">
      <w:pPr>
        <w:pStyle w:val="ListParagraph"/>
        <w:ind w:left="1440"/>
        <w:rPr>
          <w:rFonts w:cs="Times New Roman"/>
          <w:i/>
          <w:sz w:val="24"/>
          <w:szCs w:val="24"/>
        </w:rPr>
      </w:pPr>
      <w:r w:rsidRPr="00960582">
        <w:rPr>
          <w:rFonts w:cs="Times New Roman"/>
          <w:i/>
          <w:sz w:val="24"/>
          <w:szCs w:val="24"/>
        </w:rPr>
        <w:t>(1) Any opportunity to engage in a business activity of which a director or senior executive becomes aware, either:</w:t>
      </w:r>
    </w:p>
    <w:p w14:paraId="7351349F" w14:textId="24952721" w:rsidR="00960582" w:rsidRPr="00960582" w:rsidRDefault="00960582" w:rsidP="008B6809">
      <w:pPr>
        <w:pStyle w:val="ListParagraph"/>
        <w:ind w:left="1440"/>
        <w:rPr>
          <w:rFonts w:cs="Times New Roman"/>
          <w:i/>
          <w:sz w:val="24"/>
          <w:szCs w:val="24"/>
        </w:rPr>
      </w:pPr>
      <w:r w:rsidRPr="00960582">
        <w:rPr>
          <w:rFonts w:cs="Times New Roman"/>
          <w:i/>
          <w:sz w:val="24"/>
          <w:szCs w:val="24"/>
        </w:rPr>
        <w:tab/>
        <w:t>(A) In connection with the performance of functions as a director or senior executive, or under circumstances that should reasonably lead the director senior executive to believe that the person offering the opportunity expects it to be offered to the corporation; or</w:t>
      </w:r>
    </w:p>
    <w:p w14:paraId="7CA016BC" w14:textId="7705660D" w:rsidR="00960582" w:rsidRPr="00960582" w:rsidRDefault="00960582" w:rsidP="008B6809">
      <w:pPr>
        <w:pStyle w:val="ListParagraph"/>
        <w:ind w:left="1440"/>
        <w:rPr>
          <w:rFonts w:cs="Times New Roman"/>
          <w:i/>
          <w:sz w:val="24"/>
          <w:szCs w:val="24"/>
        </w:rPr>
      </w:pPr>
      <w:r w:rsidRPr="00960582">
        <w:rPr>
          <w:rFonts w:cs="Times New Roman"/>
          <w:i/>
          <w:sz w:val="24"/>
          <w:szCs w:val="24"/>
        </w:rPr>
        <w:tab/>
        <w:t>(B) Through the use of corporate information or property…; or</w:t>
      </w:r>
    </w:p>
    <w:p w14:paraId="3C81765A" w14:textId="4DA6356F" w:rsidR="004B56AC" w:rsidRPr="00960582" w:rsidRDefault="00960582" w:rsidP="008B6809">
      <w:pPr>
        <w:pStyle w:val="ListParagraph"/>
        <w:ind w:left="1440"/>
        <w:rPr>
          <w:rFonts w:cs="Times New Roman"/>
          <w:i/>
          <w:sz w:val="24"/>
          <w:szCs w:val="24"/>
        </w:rPr>
      </w:pPr>
      <w:r w:rsidRPr="00960582">
        <w:rPr>
          <w:rFonts w:cs="Times New Roman"/>
          <w:i/>
          <w:sz w:val="24"/>
          <w:szCs w:val="24"/>
        </w:rPr>
        <w:t>(2) Any opportunity to engage in a business activity of which a senior executive becomes aware and knows is closely related to a business in which the corporation is engaged…</w:t>
      </w:r>
    </w:p>
    <w:p w14:paraId="7C5CBBE3" w14:textId="3B1FBBC2" w:rsidR="004B56AC" w:rsidRDefault="004B56AC" w:rsidP="008B6809">
      <w:pPr>
        <w:pStyle w:val="ListParagraph"/>
        <w:numPr>
          <w:ilvl w:val="4"/>
          <w:numId w:val="9"/>
        </w:numPr>
        <w:rPr>
          <w:rFonts w:cs="Times New Roman"/>
          <w:sz w:val="24"/>
          <w:szCs w:val="24"/>
        </w:rPr>
      </w:pPr>
      <w:r>
        <w:rPr>
          <w:rFonts w:cs="Times New Roman"/>
          <w:sz w:val="24"/>
          <w:szCs w:val="24"/>
        </w:rPr>
        <w:t xml:space="preserve">Director v. Officer (aka Executive) </w:t>
      </w:r>
    </w:p>
    <w:p w14:paraId="1FFEC09B" w14:textId="2C5BD0DA" w:rsidR="004B56AC" w:rsidRDefault="004B56AC" w:rsidP="008B6809">
      <w:pPr>
        <w:pStyle w:val="ListParagraph"/>
        <w:numPr>
          <w:ilvl w:val="5"/>
          <w:numId w:val="9"/>
        </w:numPr>
        <w:rPr>
          <w:rFonts w:cs="Times New Roman"/>
          <w:sz w:val="24"/>
          <w:szCs w:val="24"/>
        </w:rPr>
      </w:pPr>
      <w:r>
        <w:rPr>
          <w:rFonts w:cs="Times New Roman"/>
          <w:sz w:val="24"/>
          <w:szCs w:val="24"/>
        </w:rPr>
        <w:t>Director – Directors work part time and may serve on the boards of several firms in the same industry</w:t>
      </w:r>
    </w:p>
    <w:p w14:paraId="367E7503" w14:textId="696D194B" w:rsidR="004B56AC" w:rsidRDefault="004B56AC" w:rsidP="008B6809">
      <w:pPr>
        <w:pStyle w:val="ListParagraph"/>
        <w:numPr>
          <w:ilvl w:val="5"/>
          <w:numId w:val="9"/>
        </w:numPr>
        <w:rPr>
          <w:rFonts w:cs="Times New Roman"/>
          <w:sz w:val="24"/>
          <w:szCs w:val="24"/>
        </w:rPr>
      </w:pPr>
      <w:r>
        <w:rPr>
          <w:rFonts w:cs="Times New Roman"/>
          <w:sz w:val="24"/>
          <w:szCs w:val="24"/>
        </w:rPr>
        <w:t xml:space="preserve">Officer (aka </w:t>
      </w:r>
      <w:proofErr w:type="spellStart"/>
      <w:r>
        <w:rPr>
          <w:rFonts w:cs="Times New Roman"/>
          <w:sz w:val="24"/>
          <w:szCs w:val="24"/>
        </w:rPr>
        <w:t>Exeuctive</w:t>
      </w:r>
      <w:proofErr w:type="spellEnd"/>
      <w:r>
        <w:rPr>
          <w:rFonts w:cs="Times New Roman"/>
          <w:sz w:val="24"/>
          <w:szCs w:val="24"/>
        </w:rPr>
        <w:t>) – typically work full time for a firm</w:t>
      </w:r>
    </w:p>
    <w:p w14:paraId="34B3107D" w14:textId="43EAABBC" w:rsidR="004B56AC" w:rsidRDefault="004B56AC" w:rsidP="008B6809">
      <w:pPr>
        <w:pStyle w:val="ListParagraph"/>
        <w:numPr>
          <w:ilvl w:val="2"/>
          <w:numId w:val="9"/>
        </w:numPr>
        <w:rPr>
          <w:rFonts w:cs="Times New Roman"/>
          <w:sz w:val="24"/>
          <w:szCs w:val="24"/>
        </w:rPr>
      </w:pPr>
      <w:r>
        <w:rPr>
          <w:rFonts w:cs="Times New Roman"/>
          <w:sz w:val="24"/>
          <w:szCs w:val="24"/>
        </w:rPr>
        <w:lastRenderedPageBreak/>
        <w:t xml:space="preserve">What should one do with a Corporate Opportunity? If a director or an officer receives a corporate opportunity, he will need to offer it to the firm. Only if the firm then rejects it can he exploit it for himself. </w:t>
      </w:r>
    </w:p>
    <w:p w14:paraId="1CCB1FD2" w14:textId="423710BD" w:rsidR="004B56AC" w:rsidRDefault="004B56AC" w:rsidP="008B6809">
      <w:pPr>
        <w:pStyle w:val="ListParagraph"/>
        <w:numPr>
          <w:ilvl w:val="3"/>
          <w:numId w:val="9"/>
        </w:numPr>
        <w:rPr>
          <w:rFonts w:cs="Times New Roman"/>
          <w:sz w:val="24"/>
          <w:szCs w:val="24"/>
        </w:rPr>
      </w:pPr>
      <w:r>
        <w:rPr>
          <w:rFonts w:cs="Times New Roman"/>
          <w:sz w:val="24"/>
          <w:szCs w:val="24"/>
        </w:rPr>
        <w:t>ALI 5.05(a) – a director or senior executive may not take advantage of a corporate opportunity unless:</w:t>
      </w:r>
    </w:p>
    <w:p w14:paraId="27278903" w14:textId="4B533249" w:rsidR="004B56AC" w:rsidRPr="004B56AC" w:rsidRDefault="004B56AC" w:rsidP="008B6809">
      <w:pPr>
        <w:pStyle w:val="ListParagraph"/>
        <w:ind w:left="1440"/>
        <w:rPr>
          <w:rFonts w:cs="Times New Roman"/>
          <w:i/>
          <w:sz w:val="24"/>
          <w:szCs w:val="24"/>
        </w:rPr>
      </w:pPr>
      <w:r w:rsidRPr="004B56AC">
        <w:rPr>
          <w:rFonts w:cs="Times New Roman"/>
          <w:i/>
          <w:sz w:val="24"/>
          <w:szCs w:val="24"/>
        </w:rPr>
        <w:t>(1) The director or senior executive first offers the corporate opportunity to the corporation and makes full disclosure concerning the conflict of interest and the corporate opportunity;</w:t>
      </w:r>
    </w:p>
    <w:p w14:paraId="7F82786F" w14:textId="64E088D2" w:rsidR="004B56AC" w:rsidRPr="004B56AC" w:rsidRDefault="004B56AC" w:rsidP="008B6809">
      <w:pPr>
        <w:pStyle w:val="ListParagraph"/>
        <w:ind w:left="1440"/>
        <w:rPr>
          <w:rFonts w:cs="Times New Roman"/>
          <w:i/>
          <w:sz w:val="24"/>
          <w:szCs w:val="24"/>
        </w:rPr>
      </w:pPr>
      <w:r w:rsidRPr="004B56AC">
        <w:rPr>
          <w:rFonts w:cs="Times New Roman"/>
          <w:i/>
          <w:sz w:val="24"/>
          <w:szCs w:val="24"/>
        </w:rPr>
        <w:t xml:space="preserve">(2) The corporate opportunity is rejected by the corporation; and </w:t>
      </w:r>
    </w:p>
    <w:p w14:paraId="0DFE03B2" w14:textId="02CD4A57" w:rsidR="004B56AC" w:rsidRPr="004B56AC" w:rsidRDefault="004B56AC" w:rsidP="008B6809">
      <w:pPr>
        <w:pStyle w:val="ListParagraph"/>
        <w:ind w:left="1440"/>
        <w:rPr>
          <w:rFonts w:cs="Times New Roman"/>
          <w:i/>
          <w:sz w:val="24"/>
          <w:szCs w:val="24"/>
        </w:rPr>
      </w:pPr>
      <w:r w:rsidRPr="004B56AC">
        <w:rPr>
          <w:rFonts w:cs="Times New Roman"/>
          <w:i/>
          <w:sz w:val="24"/>
          <w:szCs w:val="24"/>
        </w:rPr>
        <w:t>(3) Either:</w:t>
      </w:r>
    </w:p>
    <w:p w14:paraId="14EDD33B" w14:textId="6D40468B" w:rsidR="004B56AC" w:rsidRPr="004B56AC" w:rsidRDefault="004B56AC" w:rsidP="008B6809">
      <w:pPr>
        <w:pStyle w:val="ListParagraph"/>
        <w:ind w:left="1440"/>
        <w:rPr>
          <w:rFonts w:cs="Times New Roman"/>
          <w:i/>
          <w:sz w:val="24"/>
          <w:szCs w:val="24"/>
        </w:rPr>
      </w:pPr>
      <w:r w:rsidRPr="004B56AC">
        <w:rPr>
          <w:rFonts w:cs="Times New Roman"/>
          <w:i/>
          <w:sz w:val="24"/>
          <w:szCs w:val="24"/>
        </w:rPr>
        <w:tab/>
        <w:t>(A) The rejection of the opportunity is fair to the corporation;</w:t>
      </w:r>
    </w:p>
    <w:p w14:paraId="214849B4" w14:textId="46616F6F" w:rsidR="004B56AC" w:rsidRPr="004B56AC" w:rsidRDefault="004B56AC" w:rsidP="008B6809">
      <w:pPr>
        <w:pStyle w:val="ListParagraph"/>
        <w:ind w:left="1440"/>
        <w:rPr>
          <w:rFonts w:cs="Times New Roman"/>
          <w:i/>
          <w:sz w:val="24"/>
          <w:szCs w:val="24"/>
        </w:rPr>
      </w:pPr>
      <w:r w:rsidRPr="004B56AC">
        <w:rPr>
          <w:rFonts w:cs="Times New Roman"/>
          <w:i/>
          <w:sz w:val="24"/>
          <w:szCs w:val="24"/>
        </w:rPr>
        <w:tab/>
        <w:t>(B) The opportunity is rejected in advance, following such disc</w:t>
      </w:r>
      <w:r w:rsidR="009F3231">
        <w:rPr>
          <w:rFonts w:cs="Times New Roman"/>
          <w:i/>
          <w:sz w:val="24"/>
          <w:szCs w:val="24"/>
        </w:rPr>
        <w:t xml:space="preserve">losure, by </w:t>
      </w:r>
      <w:r w:rsidRPr="004B56AC">
        <w:rPr>
          <w:rFonts w:cs="Times New Roman"/>
          <w:i/>
          <w:sz w:val="24"/>
          <w:szCs w:val="24"/>
        </w:rPr>
        <w:t xml:space="preserve">disinterested </w:t>
      </w:r>
      <w:r w:rsidR="009F3231">
        <w:rPr>
          <w:rFonts w:cs="Times New Roman"/>
          <w:i/>
          <w:sz w:val="24"/>
          <w:szCs w:val="24"/>
        </w:rPr>
        <w:tab/>
      </w:r>
      <w:r w:rsidRPr="004B56AC">
        <w:rPr>
          <w:rFonts w:cs="Times New Roman"/>
          <w:i/>
          <w:sz w:val="24"/>
          <w:szCs w:val="24"/>
        </w:rPr>
        <w:t>directors…; or</w:t>
      </w:r>
    </w:p>
    <w:p w14:paraId="7E2BA9D9" w14:textId="451B60E8" w:rsidR="004B56AC" w:rsidRPr="004B56AC" w:rsidRDefault="004B56AC" w:rsidP="004B56AC">
      <w:pPr>
        <w:pStyle w:val="ListParagraph"/>
        <w:ind w:left="1800"/>
        <w:rPr>
          <w:rFonts w:cs="Times New Roman"/>
          <w:i/>
          <w:sz w:val="24"/>
          <w:szCs w:val="24"/>
        </w:rPr>
      </w:pPr>
      <w:r w:rsidRPr="004B56AC">
        <w:rPr>
          <w:rFonts w:cs="Times New Roman"/>
          <w:i/>
          <w:sz w:val="24"/>
          <w:szCs w:val="24"/>
        </w:rPr>
        <w:tab/>
        <w:t>(C) The rejection is authorized in advan</w:t>
      </w:r>
      <w:r w:rsidR="009F3231">
        <w:rPr>
          <w:rFonts w:cs="Times New Roman"/>
          <w:i/>
          <w:sz w:val="24"/>
          <w:szCs w:val="24"/>
        </w:rPr>
        <w:t xml:space="preserve">ce or ratified, following such </w:t>
      </w:r>
      <w:r w:rsidRPr="004B56AC">
        <w:rPr>
          <w:rFonts w:cs="Times New Roman"/>
          <w:i/>
          <w:sz w:val="24"/>
          <w:szCs w:val="24"/>
        </w:rPr>
        <w:t>disclosure, by disinterested shareholders…</w:t>
      </w:r>
    </w:p>
    <w:p w14:paraId="38C532E9" w14:textId="28F49647" w:rsidR="004B56AC" w:rsidRDefault="004B56AC" w:rsidP="008B6809">
      <w:pPr>
        <w:pStyle w:val="ListParagraph"/>
        <w:numPr>
          <w:ilvl w:val="3"/>
          <w:numId w:val="9"/>
        </w:numPr>
        <w:rPr>
          <w:rFonts w:cs="Times New Roman"/>
          <w:sz w:val="24"/>
          <w:szCs w:val="24"/>
        </w:rPr>
      </w:pPr>
      <w:r>
        <w:rPr>
          <w:rFonts w:cs="Times New Roman"/>
          <w:sz w:val="24"/>
          <w:szCs w:val="24"/>
        </w:rPr>
        <w:t>ALI 5.05(c) – A party who challenges the taking of a corporate opportunity has the burden of proof, except that if such party establishes that the requirements of Subsection (a</w:t>
      </w:r>
      <w:proofErr w:type="gramStart"/>
      <w:r>
        <w:rPr>
          <w:rFonts w:cs="Times New Roman"/>
          <w:sz w:val="24"/>
          <w:szCs w:val="24"/>
        </w:rPr>
        <w:t>)(</w:t>
      </w:r>
      <w:proofErr w:type="gramEnd"/>
      <w:r>
        <w:rPr>
          <w:rFonts w:cs="Times New Roman"/>
          <w:sz w:val="24"/>
          <w:szCs w:val="24"/>
        </w:rPr>
        <w:t xml:space="preserve">3)(B) or (C) are not met, the director or senior executive has the burden of proving that the rejection and the taking of the opportunity were fair to the corporation. </w:t>
      </w:r>
    </w:p>
    <w:p w14:paraId="773CDA8A" w14:textId="77777777" w:rsidR="00442412" w:rsidRPr="00181F8C" w:rsidRDefault="00442412" w:rsidP="00442412">
      <w:pPr>
        <w:pStyle w:val="ListParagraph"/>
        <w:numPr>
          <w:ilvl w:val="2"/>
          <w:numId w:val="9"/>
        </w:numPr>
        <w:rPr>
          <w:rFonts w:cs="Times New Roman"/>
          <w:b/>
          <w:i/>
          <w:sz w:val="24"/>
          <w:szCs w:val="24"/>
        </w:rPr>
      </w:pPr>
      <w:r w:rsidRPr="00181F8C">
        <w:rPr>
          <w:rFonts w:cs="Times New Roman"/>
          <w:b/>
          <w:i/>
          <w:sz w:val="24"/>
          <w:szCs w:val="24"/>
        </w:rPr>
        <w:t>In re eBay, Inc. Shareholders Litigation (Del. Ch.)(Memorandum Opinion)</w:t>
      </w:r>
    </w:p>
    <w:p w14:paraId="27E314FE" w14:textId="01ABE97E" w:rsidR="00442412" w:rsidRDefault="002F6D84" w:rsidP="002F6D84">
      <w:pPr>
        <w:pStyle w:val="ListParagraph"/>
        <w:numPr>
          <w:ilvl w:val="3"/>
          <w:numId w:val="9"/>
        </w:numPr>
        <w:rPr>
          <w:rFonts w:cs="Times New Roman"/>
          <w:sz w:val="24"/>
          <w:szCs w:val="24"/>
        </w:rPr>
      </w:pPr>
      <w:r w:rsidRPr="002F6D84">
        <w:rPr>
          <w:rFonts w:cs="Times New Roman"/>
          <w:sz w:val="24"/>
          <w:szCs w:val="24"/>
        </w:rPr>
        <w:t>Synopsis: Shareholders of eBay, Inc. (P) filed these consolidated derivative actions against certain eBay directors and officers (D) for usurping corporate opportunities. Ps allege that eBay’s investment banking advisor, Goldman Sachs, engaged in “spinning,” a practice that involves allocating shares of lucrative initial public offering of stock to favored clients. In effect, the plaintiff shareholders allege that Goldman Sachs bribed certain eBay insiders, using the currency of highly profitable investment opportunities, which should have been offered to eBay rather than the favored insiders.</w:t>
      </w:r>
      <w:r>
        <w:rPr>
          <w:rFonts w:cs="Times New Roman"/>
          <w:sz w:val="24"/>
          <w:szCs w:val="24"/>
        </w:rPr>
        <w:t xml:space="preserve"> Court agreed that these were corporate opportunities or bribery and that both violated duty of loyalty. </w:t>
      </w:r>
    </w:p>
    <w:p w14:paraId="7525CBE1" w14:textId="3BCD1AD5" w:rsidR="002F6D84" w:rsidRDefault="002F6D84" w:rsidP="002F6D84">
      <w:pPr>
        <w:pStyle w:val="ListParagraph"/>
        <w:numPr>
          <w:ilvl w:val="3"/>
          <w:numId w:val="9"/>
        </w:numPr>
        <w:rPr>
          <w:rFonts w:cs="Times New Roman"/>
          <w:sz w:val="24"/>
          <w:szCs w:val="24"/>
        </w:rPr>
      </w:pPr>
      <w:r>
        <w:rPr>
          <w:rFonts w:cs="Times New Roman"/>
          <w:sz w:val="24"/>
          <w:szCs w:val="24"/>
        </w:rPr>
        <w:t xml:space="preserve">Tool: Could be seen as a stretch. </w:t>
      </w:r>
      <w:proofErr w:type="gramStart"/>
      <w:r>
        <w:rPr>
          <w:rFonts w:cs="Times New Roman"/>
          <w:sz w:val="24"/>
          <w:szCs w:val="24"/>
        </w:rPr>
        <w:t>eBay</w:t>
      </w:r>
      <w:proofErr w:type="gramEnd"/>
      <w:r>
        <w:rPr>
          <w:rFonts w:cs="Times New Roman"/>
          <w:sz w:val="24"/>
          <w:szCs w:val="24"/>
        </w:rPr>
        <w:t xml:space="preserve"> regularly invested in securities and had the  money to buy these shares too. But don’t all big corporations invest in securities to some extent?</w:t>
      </w:r>
      <w:r w:rsidR="003E3C77">
        <w:rPr>
          <w:rFonts w:cs="Times New Roman"/>
          <w:sz w:val="24"/>
          <w:szCs w:val="24"/>
        </w:rPr>
        <w:t xml:space="preserve"> Why is corporate opportunity a separate doctrine when it is covered under duty of loyalty?</w:t>
      </w:r>
    </w:p>
    <w:p w14:paraId="7578A80D" w14:textId="77777777" w:rsidR="00C6367E" w:rsidRDefault="00C6367E" w:rsidP="00C6367E">
      <w:pPr>
        <w:rPr>
          <w:rFonts w:cs="Times New Roman"/>
          <w:szCs w:val="24"/>
        </w:rPr>
      </w:pPr>
    </w:p>
    <w:p w14:paraId="2D64C84B" w14:textId="7B688991" w:rsidR="00C6367E" w:rsidRPr="008B6809" w:rsidRDefault="00C6367E" w:rsidP="008B6809">
      <w:pPr>
        <w:pStyle w:val="Heading1"/>
      </w:pPr>
      <w:r>
        <w:t>INSIDER TRADING</w:t>
      </w:r>
    </w:p>
    <w:p w14:paraId="389B73F1" w14:textId="7291FDE1" w:rsidR="00C6367E" w:rsidRDefault="00C6367E" w:rsidP="00703047">
      <w:pPr>
        <w:pStyle w:val="Heading2"/>
        <w:numPr>
          <w:ilvl w:val="0"/>
          <w:numId w:val="10"/>
        </w:numPr>
      </w:pPr>
      <w:r>
        <w:t>State Law</w:t>
      </w:r>
    </w:p>
    <w:p w14:paraId="7CF55EDE" w14:textId="67B75CA6" w:rsidR="00F108D1" w:rsidRDefault="00F108D1" w:rsidP="00703047">
      <w:pPr>
        <w:pStyle w:val="Heading3"/>
        <w:numPr>
          <w:ilvl w:val="1"/>
          <w:numId w:val="10"/>
        </w:numPr>
      </w:pPr>
      <w:r>
        <w:t>Fraud</w:t>
      </w:r>
    </w:p>
    <w:p w14:paraId="071D7427" w14:textId="44EAD866" w:rsidR="00F108D1" w:rsidRDefault="00F108D1" w:rsidP="00500D72">
      <w:pPr>
        <w:pStyle w:val="ListParagraph"/>
        <w:numPr>
          <w:ilvl w:val="2"/>
          <w:numId w:val="10"/>
        </w:numPr>
        <w:rPr>
          <w:rFonts w:cs="Times New Roman"/>
          <w:sz w:val="24"/>
          <w:szCs w:val="24"/>
        </w:rPr>
      </w:pPr>
      <w:r>
        <w:rPr>
          <w:rFonts w:cs="Times New Roman"/>
          <w:sz w:val="24"/>
          <w:szCs w:val="24"/>
        </w:rPr>
        <w:t>Committed when you lie</w:t>
      </w:r>
      <w:r w:rsidR="00500D72">
        <w:rPr>
          <w:rFonts w:cs="Times New Roman"/>
          <w:sz w:val="24"/>
          <w:szCs w:val="24"/>
        </w:rPr>
        <w:t xml:space="preserve">, or </w:t>
      </w:r>
      <w:r w:rsidRPr="00500D72">
        <w:rPr>
          <w:rFonts w:cs="Times New Roman"/>
          <w:sz w:val="24"/>
          <w:szCs w:val="24"/>
        </w:rPr>
        <w:t xml:space="preserve">don’t say anything </w:t>
      </w:r>
      <w:r w:rsidR="00500D72">
        <w:rPr>
          <w:rFonts w:cs="Times New Roman"/>
          <w:sz w:val="24"/>
          <w:szCs w:val="24"/>
        </w:rPr>
        <w:t>and you have duty to disclose.</w:t>
      </w:r>
    </w:p>
    <w:p w14:paraId="5D475956" w14:textId="6EAB07A0" w:rsidR="00500D72" w:rsidRPr="00500D72" w:rsidRDefault="00DD555C" w:rsidP="00500D72">
      <w:pPr>
        <w:pStyle w:val="ListParagraph"/>
        <w:numPr>
          <w:ilvl w:val="2"/>
          <w:numId w:val="10"/>
        </w:numPr>
        <w:rPr>
          <w:rFonts w:cs="Times New Roman"/>
          <w:sz w:val="24"/>
          <w:szCs w:val="24"/>
        </w:rPr>
      </w:pPr>
      <w:r>
        <w:rPr>
          <w:rFonts w:cs="Times New Roman"/>
          <w:sz w:val="24"/>
          <w:szCs w:val="24"/>
        </w:rPr>
        <w:t>Otherwise, caveat emptor (buyer beware)</w:t>
      </w:r>
    </w:p>
    <w:p w14:paraId="7718A68C" w14:textId="117B2F77" w:rsidR="004156B0" w:rsidRDefault="004156B0" w:rsidP="00703047">
      <w:pPr>
        <w:pStyle w:val="Heading3"/>
        <w:numPr>
          <w:ilvl w:val="1"/>
          <w:numId w:val="10"/>
        </w:numPr>
      </w:pPr>
      <w:r>
        <w:t>Directors’ Fiduciary Duties</w:t>
      </w:r>
    </w:p>
    <w:p w14:paraId="0C164505" w14:textId="1EFB3D4F" w:rsidR="004156B0" w:rsidRDefault="004156B0" w:rsidP="004156B0">
      <w:pPr>
        <w:pStyle w:val="ListParagraph"/>
        <w:numPr>
          <w:ilvl w:val="2"/>
          <w:numId w:val="10"/>
        </w:numPr>
        <w:rPr>
          <w:rFonts w:cs="Times New Roman"/>
          <w:sz w:val="24"/>
          <w:szCs w:val="24"/>
        </w:rPr>
      </w:pPr>
      <w:r>
        <w:rPr>
          <w:rFonts w:cs="Times New Roman"/>
          <w:sz w:val="24"/>
          <w:szCs w:val="24"/>
        </w:rPr>
        <w:t xml:space="preserve">State courts differ on whether directors owe fiduciary duties to individual shareholders, as opposed to a firm as a whole. </w:t>
      </w:r>
    </w:p>
    <w:p w14:paraId="276BB188" w14:textId="3B2A5D91" w:rsidR="004156B0" w:rsidRDefault="004156B0" w:rsidP="004156B0">
      <w:pPr>
        <w:pStyle w:val="ListParagraph"/>
        <w:numPr>
          <w:ilvl w:val="2"/>
          <w:numId w:val="10"/>
        </w:numPr>
        <w:rPr>
          <w:rFonts w:cs="Times New Roman"/>
          <w:sz w:val="24"/>
          <w:szCs w:val="24"/>
        </w:rPr>
      </w:pPr>
      <w:r>
        <w:rPr>
          <w:rFonts w:cs="Times New Roman"/>
          <w:sz w:val="24"/>
          <w:szCs w:val="24"/>
        </w:rPr>
        <w:t xml:space="preserve">Even if directors do owe their shareholders a fiduciary duty, they do not breach it when they sell their stock to an outside investor. Because the investor becomes a shareholder only upon the sale, the director assumes a fiduciary duty to the buyer only after the consummation of the transaction. </w:t>
      </w:r>
    </w:p>
    <w:p w14:paraId="63546801" w14:textId="3A8C5BAE" w:rsidR="004156B0" w:rsidRDefault="004E425A" w:rsidP="004156B0">
      <w:pPr>
        <w:pStyle w:val="ListParagraph"/>
        <w:numPr>
          <w:ilvl w:val="2"/>
          <w:numId w:val="10"/>
        </w:numPr>
        <w:rPr>
          <w:rFonts w:cs="Times New Roman"/>
          <w:sz w:val="24"/>
          <w:szCs w:val="24"/>
        </w:rPr>
      </w:pPr>
      <w:r>
        <w:rPr>
          <w:rFonts w:cs="Times New Roman"/>
          <w:sz w:val="24"/>
          <w:szCs w:val="24"/>
        </w:rPr>
        <w:t xml:space="preserve">Yet, even if directors </w:t>
      </w:r>
      <w:r w:rsidR="004156B0">
        <w:rPr>
          <w:rFonts w:cs="Times New Roman"/>
          <w:sz w:val="24"/>
          <w:szCs w:val="24"/>
        </w:rPr>
        <w:t>owe a fiduciary duty only to the firm, they may not keep the profits they make.</w:t>
      </w:r>
    </w:p>
    <w:p w14:paraId="3826D085" w14:textId="13FBCBA4" w:rsidR="004156B0" w:rsidRDefault="004156B0" w:rsidP="004156B0">
      <w:pPr>
        <w:pStyle w:val="ListParagraph"/>
        <w:numPr>
          <w:ilvl w:val="3"/>
          <w:numId w:val="10"/>
        </w:numPr>
        <w:rPr>
          <w:rFonts w:cs="Times New Roman"/>
          <w:sz w:val="24"/>
          <w:szCs w:val="24"/>
        </w:rPr>
      </w:pPr>
      <w:r>
        <w:rPr>
          <w:rFonts w:cs="Times New Roman"/>
          <w:sz w:val="24"/>
          <w:szCs w:val="24"/>
        </w:rPr>
        <w:t>R2d Agency – If a director has inside information…profits made by him in stick transactions undertaken because of his knowledge are held in constructive trust for the principal. He is also liable for profits made by selling constructive information to third persons, even though the principal is not adversely affected.</w:t>
      </w:r>
    </w:p>
    <w:p w14:paraId="30A2E08D" w14:textId="36A8B454" w:rsidR="00C6367E" w:rsidRPr="003170FC" w:rsidRDefault="003170FC" w:rsidP="00703047">
      <w:pPr>
        <w:pStyle w:val="Heading2"/>
        <w:numPr>
          <w:ilvl w:val="0"/>
          <w:numId w:val="10"/>
        </w:numPr>
      </w:pPr>
      <w:r>
        <w:lastRenderedPageBreak/>
        <w:t>Securities Law</w:t>
      </w:r>
    </w:p>
    <w:p w14:paraId="780AC82D" w14:textId="4C727034" w:rsidR="000E35DF" w:rsidRPr="000E35DF" w:rsidRDefault="000E35DF" w:rsidP="000E35DF">
      <w:pPr>
        <w:pStyle w:val="Heading3"/>
        <w:numPr>
          <w:ilvl w:val="1"/>
          <w:numId w:val="10"/>
        </w:numPr>
      </w:pPr>
      <w:r>
        <w:t>Applicability of Securities Law Provisions</w:t>
      </w:r>
    </w:p>
    <w:tbl>
      <w:tblPr>
        <w:tblStyle w:val="TableGrid"/>
        <w:tblW w:w="8523" w:type="dxa"/>
        <w:tblInd w:w="1080" w:type="dxa"/>
        <w:tblLayout w:type="fixed"/>
        <w:tblLook w:val="04A0" w:firstRow="1" w:lastRow="0" w:firstColumn="1" w:lastColumn="0" w:noHBand="0" w:noVBand="1"/>
      </w:tblPr>
      <w:tblGrid>
        <w:gridCol w:w="1214"/>
        <w:gridCol w:w="1214"/>
        <w:gridCol w:w="1217"/>
        <w:gridCol w:w="1217"/>
        <w:gridCol w:w="3661"/>
      </w:tblGrid>
      <w:tr w:rsidR="000E35DF" w14:paraId="49F7EB21" w14:textId="77777777" w:rsidTr="000E35DF">
        <w:trPr>
          <w:trHeight w:val="158"/>
        </w:trPr>
        <w:tc>
          <w:tcPr>
            <w:tcW w:w="8523" w:type="dxa"/>
            <w:gridSpan w:val="5"/>
            <w:tcBorders>
              <w:left w:val="single" w:sz="4" w:space="0" w:color="FFFFFF" w:themeColor="background1"/>
              <w:right w:val="single" w:sz="4" w:space="0" w:color="FFFFFF" w:themeColor="background1"/>
            </w:tcBorders>
          </w:tcPr>
          <w:p w14:paraId="50AE4E1F" w14:textId="77777777" w:rsidR="000E35DF" w:rsidRDefault="000E35DF" w:rsidP="00601AF0">
            <w:pPr>
              <w:pStyle w:val="ListParagraph"/>
              <w:ind w:left="0"/>
              <w:rPr>
                <w:rFonts w:cs="Times New Roman"/>
                <w:sz w:val="24"/>
                <w:szCs w:val="24"/>
              </w:rPr>
            </w:pPr>
            <w:r>
              <w:rPr>
                <w:rFonts w:cs="Times New Roman"/>
                <w:sz w:val="24"/>
                <w:szCs w:val="24"/>
              </w:rPr>
              <w:t>All investment interests in a firm</w:t>
            </w:r>
          </w:p>
        </w:tc>
      </w:tr>
      <w:tr w:rsidR="000E35DF" w14:paraId="0C92D0BA" w14:textId="77777777" w:rsidTr="000E35DF">
        <w:trPr>
          <w:trHeight w:val="158"/>
        </w:trPr>
        <w:tc>
          <w:tcPr>
            <w:tcW w:w="1214" w:type="dxa"/>
            <w:vMerge w:val="restart"/>
            <w:tcBorders>
              <w:top w:val="single" w:sz="4" w:space="0" w:color="FFFFFF" w:themeColor="background1"/>
              <w:left w:val="single" w:sz="4" w:space="0" w:color="FFFFFF" w:themeColor="background1"/>
              <w:right w:val="single" w:sz="4" w:space="0" w:color="FFFFFF" w:themeColor="background1"/>
            </w:tcBorders>
          </w:tcPr>
          <w:p w14:paraId="47043218" w14:textId="77777777" w:rsidR="000E35DF" w:rsidRDefault="000E35DF" w:rsidP="00601AF0">
            <w:pPr>
              <w:pStyle w:val="ListParagraph"/>
              <w:ind w:left="0"/>
              <w:rPr>
                <w:rFonts w:cs="Times New Roman"/>
                <w:sz w:val="24"/>
                <w:szCs w:val="24"/>
              </w:rPr>
            </w:pPr>
          </w:p>
        </w:tc>
        <w:tc>
          <w:tcPr>
            <w:tcW w:w="7307" w:type="dxa"/>
            <w:gridSpan w:val="4"/>
            <w:tcBorders>
              <w:left w:val="single" w:sz="4" w:space="0" w:color="FFFFFF" w:themeColor="background1"/>
              <w:right w:val="single" w:sz="4" w:space="0" w:color="FFFFFF" w:themeColor="background1"/>
            </w:tcBorders>
          </w:tcPr>
          <w:p w14:paraId="0702AC26" w14:textId="77777777" w:rsidR="000E35DF" w:rsidRDefault="000E35DF" w:rsidP="00601AF0">
            <w:pPr>
              <w:pStyle w:val="ListParagraph"/>
              <w:ind w:left="0"/>
              <w:rPr>
                <w:rFonts w:cs="Times New Roman"/>
                <w:sz w:val="24"/>
                <w:szCs w:val="24"/>
              </w:rPr>
            </w:pPr>
            <w:r>
              <w:rPr>
                <w:rFonts w:cs="Times New Roman"/>
                <w:sz w:val="24"/>
                <w:szCs w:val="24"/>
              </w:rPr>
              <w:t>Securities – Subject to 10b-5</w:t>
            </w:r>
          </w:p>
        </w:tc>
      </w:tr>
      <w:tr w:rsidR="000E35DF" w14:paraId="51084601" w14:textId="77777777" w:rsidTr="000E35DF">
        <w:trPr>
          <w:trHeight w:val="167"/>
        </w:trPr>
        <w:tc>
          <w:tcPr>
            <w:tcW w:w="1214" w:type="dxa"/>
            <w:vMerge/>
            <w:tcBorders>
              <w:left w:val="single" w:sz="4" w:space="0" w:color="FFFFFF" w:themeColor="background1"/>
              <w:right w:val="single" w:sz="4" w:space="0" w:color="FFFFFF" w:themeColor="background1"/>
            </w:tcBorders>
          </w:tcPr>
          <w:p w14:paraId="775E1568" w14:textId="77777777" w:rsidR="000E35DF" w:rsidRDefault="000E35DF" w:rsidP="00601AF0">
            <w:pPr>
              <w:pStyle w:val="ListParagraph"/>
              <w:ind w:left="0"/>
              <w:rPr>
                <w:rFonts w:cs="Times New Roman"/>
                <w:sz w:val="24"/>
                <w:szCs w:val="24"/>
              </w:rPr>
            </w:pPr>
          </w:p>
        </w:tc>
        <w:tc>
          <w:tcPr>
            <w:tcW w:w="1214" w:type="dxa"/>
            <w:vMerge w:val="restart"/>
            <w:tcBorders>
              <w:left w:val="single" w:sz="4" w:space="0" w:color="FFFFFF" w:themeColor="background1"/>
              <w:right w:val="single" w:sz="4" w:space="0" w:color="FFFFFF" w:themeColor="background1"/>
            </w:tcBorders>
          </w:tcPr>
          <w:p w14:paraId="6F682C91" w14:textId="77777777" w:rsidR="000E35DF" w:rsidRDefault="000E35DF" w:rsidP="00601AF0">
            <w:pPr>
              <w:pStyle w:val="ListParagraph"/>
              <w:ind w:left="0"/>
              <w:rPr>
                <w:rFonts w:cs="Times New Roman"/>
                <w:sz w:val="24"/>
                <w:szCs w:val="24"/>
              </w:rPr>
            </w:pPr>
          </w:p>
        </w:tc>
        <w:tc>
          <w:tcPr>
            <w:tcW w:w="6092" w:type="dxa"/>
            <w:gridSpan w:val="3"/>
            <w:tcBorders>
              <w:left w:val="single" w:sz="4" w:space="0" w:color="FFFFFF" w:themeColor="background1"/>
              <w:right w:val="single" w:sz="4" w:space="0" w:color="FFFFFF" w:themeColor="background1"/>
            </w:tcBorders>
          </w:tcPr>
          <w:p w14:paraId="0A82A533" w14:textId="77777777" w:rsidR="000E35DF" w:rsidRDefault="000E35DF" w:rsidP="00601AF0">
            <w:pPr>
              <w:pStyle w:val="ListParagraph"/>
              <w:ind w:left="0"/>
              <w:rPr>
                <w:rFonts w:cs="Times New Roman"/>
                <w:sz w:val="24"/>
                <w:szCs w:val="24"/>
              </w:rPr>
            </w:pPr>
            <w:r>
              <w:rPr>
                <w:rFonts w:cs="Times New Roman"/>
                <w:sz w:val="24"/>
                <w:szCs w:val="24"/>
              </w:rPr>
              <w:t xml:space="preserve">1933 Act Registration Requirements </w:t>
            </w:r>
          </w:p>
        </w:tc>
      </w:tr>
      <w:tr w:rsidR="000E35DF" w14:paraId="0757D2AD" w14:textId="77777777" w:rsidTr="000E35DF">
        <w:trPr>
          <w:trHeight w:val="334"/>
        </w:trPr>
        <w:tc>
          <w:tcPr>
            <w:tcW w:w="1214" w:type="dxa"/>
            <w:vMerge/>
            <w:tcBorders>
              <w:left w:val="single" w:sz="4" w:space="0" w:color="FFFFFF" w:themeColor="background1"/>
              <w:right w:val="single" w:sz="4" w:space="0" w:color="FFFFFF" w:themeColor="background1"/>
            </w:tcBorders>
          </w:tcPr>
          <w:p w14:paraId="45728235" w14:textId="77777777" w:rsidR="000E35DF" w:rsidRDefault="000E35DF" w:rsidP="00601AF0">
            <w:pPr>
              <w:pStyle w:val="ListParagraph"/>
              <w:ind w:left="0"/>
              <w:rPr>
                <w:rFonts w:cs="Times New Roman"/>
                <w:sz w:val="24"/>
                <w:szCs w:val="24"/>
              </w:rPr>
            </w:pPr>
          </w:p>
        </w:tc>
        <w:tc>
          <w:tcPr>
            <w:tcW w:w="1214" w:type="dxa"/>
            <w:vMerge/>
            <w:tcBorders>
              <w:left w:val="single" w:sz="4" w:space="0" w:color="FFFFFF" w:themeColor="background1"/>
              <w:right w:val="single" w:sz="4" w:space="0" w:color="FFFFFF" w:themeColor="background1"/>
            </w:tcBorders>
          </w:tcPr>
          <w:p w14:paraId="54FA1008" w14:textId="77777777" w:rsidR="000E35DF" w:rsidRDefault="000E35DF" w:rsidP="00601AF0">
            <w:pPr>
              <w:pStyle w:val="ListParagraph"/>
              <w:ind w:left="0"/>
              <w:rPr>
                <w:rFonts w:cs="Times New Roman"/>
                <w:sz w:val="24"/>
                <w:szCs w:val="24"/>
              </w:rPr>
            </w:pPr>
          </w:p>
        </w:tc>
        <w:tc>
          <w:tcPr>
            <w:tcW w:w="1217" w:type="dxa"/>
            <w:vMerge w:val="restart"/>
            <w:tcBorders>
              <w:top w:val="single" w:sz="4" w:space="0" w:color="FFFFFF" w:themeColor="background1"/>
              <w:left w:val="single" w:sz="4" w:space="0" w:color="FFFFFF" w:themeColor="background1"/>
              <w:right w:val="single" w:sz="4" w:space="0" w:color="FFFFFF" w:themeColor="background1"/>
            </w:tcBorders>
          </w:tcPr>
          <w:p w14:paraId="1845E883" w14:textId="77777777" w:rsidR="000E35DF" w:rsidRDefault="000E35DF" w:rsidP="00601AF0">
            <w:pPr>
              <w:pStyle w:val="ListParagraph"/>
              <w:ind w:left="0"/>
              <w:rPr>
                <w:rFonts w:cs="Times New Roman"/>
                <w:sz w:val="24"/>
                <w:szCs w:val="24"/>
              </w:rPr>
            </w:pPr>
          </w:p>
        </w:tc>
        <w:tc>
          <w:tcPr>
            <w:tcW w:w="4875" w:type="dxa"/>
            <w:gridSpan w:val="2"/>
            <w:tcBorders>
              <w:left w:val="single" w:sz="4" w:space="0" w:color="FFFFFF" w:themeColor="background1"/>
              <w:right w:val="single" w:sz="4" w:space="0" w:color="FFFFFF" w:themeColor="background1"/>
            </w:tcBorders>
          </w:tcPr>
          <w:p w14:paraId="4CF5A8C1" w14:textId="77777777" w:rsidR="000E35DF" w:rsidRDefault="000E35DF" w:rsidP="00601AF0">
            <w:pPr>
              <w:pStyle w:val="ListParagraph"/>
              <w:ind w:left="0"/>
              <w:rPr>
                <w:rFonts w:cs="Times New Roman"/>
                <w:sz w:val="24"/>
                <w:szCs w:val="24"/>
              </w:rPr>
            </w:pPr>
            <w:r>
              <w:rPr>
                <w:rFonts w:cs="Times New Roman"/>
                <w:sz w:val="24"/>
                <w:szCs w:val="24"/>
              </w:rPr>
              <w:t xml:space="preserve">Largest Firms – 1934 Act Registration Requirements </w:t>
            </w:r>
          </w:p>
        </w:tc>
      </w:tr>
      <w:tr w:rsidR="000E35DF" w14:paraId="62E218B1" w14:textId="77777777" w:rsidTr="000E35DF">
        <w:trPr>
          <w:trHeight w:val="492"/>
        </w:trPr>
        <w:tc>
          <w:tcPr>
            <w:tcW w:w="1214" w:type="dxa"/>
            <w:vMerge/>
            <w:tcBorders>
              <w:left w:val="single" w:sz="4" w:space="0" w:color="FFFFFF" w:themeColor="background1"/>
              <w:bottom w:val="single" w:sz="4" w:space="0" w:color="FFFFFF" w:themeColor="background1"/>
              <w:right w:val="single" w:sz="4" w:space="0" w:color="FFFFFF" w:themeColor="background1"/>
            </w:tcBorders>
          </w:tcPr>
          <w:p w14:paraId="4F39F32A" w14:textId="77777777" w:rsidR="000E35DF" w:rsidRDefault="000E35DF" w:rsidP="00601AF0">
            <w:pPr>
              <w:pStyle w:val="ListParagraph"/>
              <w:ind w:left="0"/>
              <w:rPr>
                <w:rFonts w:cs="Times New Roman"/>
                <w:sz w:val="24"/>
                <w:szCs w:val="24"/>
              </w:rPr>
            </w:pPr>
          </w:p>
        </w:tc>
        <w:tc>
          <w:tcPr>
            <w:tcW w:w="1214" w:type="dxa"/>
            <w:vMerge/>
            <w:tcBorders>
              <w:left w:val="single" w:sz="4" w:space="0" w:color="FFFFFF" w:themeColor="background1"/>
              <w:bottom w:val="single" w:sz="4" w:space="0" w:color="FFFFFF" w:themeColor="background1"/>
              <w:right w:val="single" w:sz="4" w:space="0" w:color="FFFFFF" w:themeColor="background1"/>
            </w:tcBorders>
          </w:tcPr>
          <w:p w14:paraId="7D32748F" w14:textId="77777777" w:rsidR="000E35DF" w:rsidRDefault="000E35DF" w:rsidP="00601AF0">
            <w:pPr>
              <w:pStyle w:val="ListParagraph"/>
              <w:ind w:left="0"/>
              <w:rPr>
                <w:rFonts w:cs="Times New Roman"/>
                <w:sz w:val="24"/>
                <w:szCs w:val="24"/>
              </w:rPr>
            </w:pPr>
          </w:p>
        </w:tc>
        <w:tc>
          <w:tcPr>
            <w:tcW w:w="1217" w:type="dxa"/>
            <w:vMerge/>
            <w:tcBorders>
              <w:left w:val="single" w:sz="4" w:space="0" w:color="FFFFFF" w:themeColor="background1"/>
              <w:bottom w:val="single" w:sz="4" w:space="0" w:color="FFFFFF" w:themeColor="background1"/>
              <w:right w:val="single" w:sz="4" w:space="0" w:color="FFFFFF" w:themeColor="background1"/>
            </w:tcBorders>
          </w:tcPr>
          <w:p w14:paraId="13AE9E25" w14:textId="77777777" w:rsidR="000E35DF" w:rsidRDefault="000E35DF" w:rsidP="00601AF0">
            <w:pPr>
              <w:pStyle w:val="ListParagraph"/>
              <w:ind w:left="0"/>
              <w:rPr>
                <w:rFonts w:cs="Times New Roman"/>
                <w:sz w:val="24"/>
                <w:szCs w:val="24"/>
              </w:rPr>
            </w:pPr>
          </w:p>
        </w:tc>
        <w:tc>
          <w:tcPr>
            <w:tcW w:w="1217" w:type="dxa"/>
            <w:tcBorders>
              <w:left w:val="single" w:sz="4" w:space="0" w:color="FFFFFF" w:themeColor="background1"/>
              <w:bottom w:val="single" w:sz="4" w:space="0" w:color="FFFFFF" w:themeColor="background1"/>
              <w:right w:val="single" w:sz="4" w:space="0" w:color="FFFFFF" w:themeColor="background1"/>
            </w:tcBorders>
          </w:tcPr>
          <w:p w14:paraId="2CF59F39" w14:textId="77777777" w:rsidR="000E35DF" w:rsidRDefault="000E35DF" w:rsidP="00601AF0">
            <w:pPr>
              <w:pStyle w:val="ListParagraph"/>
              <w:ind w:left="0"/>
              <w:rPr>
                <w:rFonts w:cs="Times New Roman"/>
                <w:sz w:val="24"/>
                <w:szCs w:val="24"/>
              </w:rPr>
            </w:pPr>
          </w:p>
        </w:tc>
        <w:tc>
          <w:tcPr>
            <w:tcW w:w="3656" w:type="dxa"/>
            <w:tcBorders>
              <w:left w:val="single" w:sz="4" w:space="0" w:color="FFFFFF" w:themeColor="background1"/>
              <w:right w:val="single" w:sz="4" w:space="0" w:color="FFFFFF" w:themeColor="background1"/>
            </w:tcBorders>
          </w:tcPr>
          <w:p w14:paraId="65EA26DF" w14:textId="77777777" w:rsidR="000E35DF" w:rsidRDefault="000E35DF" w:rsidP="00601AF0">
            <w:pPr>
              <w:pStyle w:val="ListParagraph"/>
              <w:ind w:left="0"/>
              <w:rPr>
                <w:rFonts w:cs="Times New Roman"/>
                <w:sz w:val="24"/>
                <w:szCs w:val="24"/>
              </w:rPr>
            </w:pPr>
            <w:r>
              <w:rPr>
                <w:rFonts w:cs="Times New Roman"/>
                <w:sz w:val="24"/>
                <w:szCs w:val="24"/>
              </w:rPr>
              <w:t>Equity Securities – Subject to 16(b)</w:t>
            </w:r>
          </w:p>
        </w:tc>
      </w:tr>
    </w:tbl>
    <w:p w14:paraId="16AFF9B1" w14:textId="77777777" w:rsidR="000E35DF" w:rsidRDefault="000E35DF" w:rsidP="000E35DF"/>
    <w:p w14:paraId="0E140735" w14:textId="7D1FFA14" w:rsidR="00C6367E" w:rsidRDefault="00C6367E" w:rsidP="00703047">
      <w:pPr>
        <w:pStyle w:val="Heading3"/>
        <w:numPr>
          <w:ilvl w:val="1"/>
          <w:numId w:val="10"/>
        </w:numPr>
      </w:pPr>
      <w:r>
        <w:t>Registration</w:t>
      </w:r>
    </w:p>
    <w:p w14:paraId="12DC1F7D" w14:textId="410CDD1A" w:rsidR="00C6367E" w:rsidRDefault="00C6367E" w:rsidP="00C6367E">
      <w:pPr>
        <w:pStyle w:val="ListParagraph"/>
        <w:numPr>
          <w:ilvl w:val="2"/>
          <w:numId w:val="10"/>
        </w:numPr>
        <w:rPr>
          <w:rFonts w:cs="Times New Roman"/>
          <w:sz w:val="24"/>
          <w:szCs w:val="24"/>
        </w:rPr>
      </w:pPr>
      <w:r>
        <w:rPr>
          <w:rFonts w:cs="Times New Roman"/>
          <w:sz w:val="24"/>
          <w:szCs w:val="24"/>
        </w:rPr>
        <w:t>Introduction</w:t>
      </w:r>
    </w:p>
    <w:p w14:paraId="42D92F10" w14:textId="780B54A3" w:rsidR="00E361D6" w:rsidRDefault="00E361D6" w:rsidP="00E361D6">
      <w:pPr>
        <w:pStyle w:val="ListParagraph"/>
        <w:numPr>
          <w:ilvl w:val="3"/>
          <w:numId w:val="10"/>
        </w:numPr>
        <w:rPr>
          <w:rFonts w:cs="Times New Roman"/>
          <w:sz w:val="24"/>
          <w:szCs w:val="24"/>
        </w:rPr>
      </w:pPr>
      <w:r>
        <w:rPr>
          <w:rFonts w:cs="Times New Roman"/>
          <w:sz w:val="24"/>
          <w:szCs w:val="24"/>
        </w:rPr>
        <w:t xml:space="preserve">1933 </w:t>
      </w:r>
      <w:r w:rsidR="00016F33">
        <w:rPr>
          <w:rFonts w:cs="Times New Roman"/>
          <w:sz w:val="24"/>
          <w:szCs w:val="24"/>
        </w:rPr>
        <w:t>(</w:t>
      </w:r>
      <w:r>
        <w:rPr>
          <w:rFonts w:cs="Times New Roman"/>
          <w:sz w:val="24"/>
          <w:szCs w:val="24"/>
        </w:rPr>
        <w:t>Securities</w:t>
      </w:r>
      <w:r w:rsidR="00016F33">
        <w:rPr>
          <w:rFonts w:cs="Times New Roman"/>
          <w:sz w:val="24"/>
          <w:szCs w:val="24"/>
        </w:rPr>
        <w:t>)</w:t>
      </w:r>
      <w:r>
        <w:rPr>
          <w:rFonts w:cs="Times New Roman"/>
          <w:sz w:val="24"/>
          <w:szCs w:val="24"/>
        </w:rPr>
        <w:t xml:space="preserve"> Act – mandated the disclosure (“registration”) of information</w:t>
      </w:r>
      <w:r w:rsidR="003F4754">
        <w:rPr>
          <w:rFonts w:cs="Times New Roman"/>
          <w:sz w:val="24"/>
          <w:szCs w:val="24"/>
        </w:rPr>
        <w:t>.</w:t>
      </w:r>
    </w:p>
    <w:p w14:paraId="4E4D78E0" w14:textId="7ABDF238" w:rsidR="00E361D6" w:rsidRPr="007B0D8E" w:rsidRDefault="00E361D6" w:rsidP="007B0D8E">
      <w:pPr>
        <w:pStyle w:val="ListParagraph"/>
        <w:numPr>
          <w:ilvl w:val="3"/>
          <w:numId w:val="10"/>
        </w:numPr>
        <w:rPr>
          <w:rFonts w:cs="Times New Roman"/>
          <w:sz w:val="24"/>
          <w:szCs w:val="24"/>
        </w:rPr>
      </w:pPr>
      <w:r>
        <w:rPr>
          <w:rFonts w:cs="Times New Roman"/>
          <w:sz w:val="24"/>
          <w:szCs w:val="24"/>
        </w:rPr>
        <w:t xml:space="preserve">1934 (Securities) Exchange Act – required even more stringent disclosure of the big firms that listed their shares on national exchanges, instituted a variety of rules for the </w:t>
      </w:r>
      <w:r w:rsidR="003F4754">
        <w:rPr>
          <w:rFonts w:cs="Times New Roman"/>
          <w:sz w:val="24"/>
          <w:szCs w:val="24"/>
        </w:rPr>
        <w:t>resale market</w:t>
      </w:r>
      <w:r>
        <w:rPr>
          <w:rFonts w:cs="Times New Roman"/>
          <w:sz w:val="24"/>
          <w:szCs w:val="24"/>
        </w:rPr>
        <w:t>, and crea</w:t>
      </w:r>
      <w:r w:rsidRPr="007B0D8E">
        <w:rPr>
          <w:rFonts w:cs="Times New Roman"/>
          <w:sz w:val="24"/>
          <w:szCs w:val="24"/>
        </w:rPr>
        <w:t xml:space="preserve">ted the SEC to enforce it all. </w:t>
      </w:r>
      <w:r w:rsidR="003170FC" w:rsidRPr="007B0D8E">
        <w:rPr>
          <w:rFonts w:cs="Times New Roman"/>
          <w:sz w:val="24"/>
          <w:szCs w:val="24"/>
        </w:rPr>
        <w:t>Insider trading is covered under section 10b-5.</w:t>
      </w:r>
    </w:p>
    <w:p w14:paraId="258AF315" w14:textId="01B31A16" w:rsidR="00C6367E" w:rsidRDefault="00C6367E" w:rsidP="00C6367E">
      <w:pPr>
        <w:pStyle w:val="ListParagraph"/>
        <w:numPr>
          <w:ilvl w:val="2"/>
          <w:numId w:val="10"/>
        </w:numPr>
        <w:rPr>
          <w:rFonts w:cs="Times New Roman"/>
          <w:sz w:val="24"/>
          <w:szCs w:val="24"/>
        </w:rPr>
      </w:pPr>
      <w:r>
        <w:rPr>
          <w:rFonts w:cs="Times New Roman"/>
          <w:sz w:val="24"/>
          <w:szCs w:val="24"/>
        </w:rPr>
        <w:t>1933 Act</w:t>
      </w:r>
    </w:p>
    <w:p w14:paraId="107AEC48" w14:textId="372EF2A4" w:rsidR="00016F33" w:rsidRDefault="00016F33" w:rsidP="00016F33">
      <w:pPr>
        <w:pStyle w:val="ListParagraph"/>
        <w:numPr>
          <w:ilvl w:val="3"/>
          <w:numId w:val="10"/>
        </w:numPr>
        <w:rPr>
          <w:rFonts w:cs="Times New Roman"/>
          <w:sz w:val="24"/>
          <w:szCs w:val="24"/>
        </w:rPr>
      </w:pPr>
      <w:r>
        <w:rPr>
          <w:rFonts w:cs="Times New Roman"/>
          <w:sz w:val="24"/>
          <w:szCs w:val="24"/>
        </w:rPr>
        <w:t>§ 5 Requirement</w:t>
      </w:r>
    </w:p>
    <w:p w14:paraId="71FC85B3" w14:textId="64023B23" w:rsidR="00016F33" w:rsidRPr="00016F33" w:rsidRDefault="003F4754" w:rsidP="003F4754">
      <w:pPr>
        <w:pStyle w:val="ListParagraph"/>
        <w:ind w:left="1440"/>
        <w:rPr>
          <w:rFonts w:cs="Times New Roman"/>
          <w:i/>
          <w:sz w:val="24"/>
          <w:szCs w:val="24"/>
        </w:rPr>
      </w:pPr>
      <w:r>
        <w:rPr>
          <w:rFonts w:cs="Times New Roman"/>
          <w:sz w:val="24"/>
          <w:szCs w:val="24"/>
        </w:rPr>
        <w:t xml:space="preserve"> </w:t>
      </w:r>
      <w:r w:rsidR="00016F33">
        <w:rPr>
          <w:rFonts w:cs="Times New Roman"/>
          <w:sz w:val="24"/>
          <w:szCs w:val="24"/>
        </w:rPr>
        <w:t>(</w:t>
      </w:r>
      <w:r w:rsidR="00016F33" w:rsidRPr="00016F33">
        <w:rPr>
          <w:rFonts w:cs="Times New Roman"/>
          <w:i/>
          <w:sz w:val="24"/>
          <w:szCs w:val="24"/>
        </w:rPr>
        <w:t>a) Unless a registration statement is in effect as to a security, it shall be unlawful for any person…:</w:t>
      </w:r>
    </w:p>
    <w:p w14:paraId="534B28E5" w14:textId="79C636C9" w:rsidR="00016F33" w:rsidRPr="00016F33" w:rsidRDefault="00016F33" w:rsidP="003F4754">
      <w:pPr>
        <w:pStyle w:val="ListParagraph"/>
        <w:ind w:left="1440"/>
        <w:rPr>
          <w:rFonts w:cs="Times New Roman"/>
          <w:i/>
          <w:sz w:val="24"/>
          <w:szCs w:val="24"/>
        </w:rPr>
      </w:pPr>
      <w:r w:rsidRPr="00016F33">
        <w:rPr>
          <w:rFonts w:cs="Times New Roman"/>
          <w:i/>
          <w:sz w:val="24"/>
          <w:szCs w:val="24"/>
        </w:rPr>
        <w:tab/>
        <w:t>(1)…to sell such security through the use or medium of any prospectus or otherwise…</w:t>
      </w:r>
    </w:p>
    <w:p w14:paraId="4430AB17" w14:textId="575932B2" w:rsidR="00016F33" w:rsidRPr="00016F33" w:rsidRDefault="00016F33" w:rsidP="003F4754">
      <w:pPr>
        <w:pStyle w:val="ListParagraph"/>
        <w:ind w:left="1440"/>
        <w:rPr>
          <w:rFonts w:cs="Times New Roman"/>
          <w:i/>
          <w:sz w:val="24"/>
          <w:szCs w:val="24"/>
        </w:rPr>
      </w:pPr>
      <w:r w:rsidRPr="00016F33">
        <w:rPr>
          <w:rFonts w:cs="Times New Roman"/>
          <w:i/>
          <w:sz w:val="24"/>
          <w:szCs w:val="24"/>
        </w:rPr>
        <w:t xml:space="preserve">(b) It shall be unlawful for any person, directly or indirectly – </w:t>
      </w:r>
    </w:p>
    <w:p w14:paraId="13FAAE09" w14:textId="289C0BEA" w:rsidR="00016F33" w:rsidRPr="00016F33" w:rsidRDefault="00016F33" w:rsidP="003F4754">
      <w:pPr>
        <w:pStyle w:val="ListParagraph"/>
        <w:ind w:left="1440"/>
        <w:rPr>
          <w:rFonts w:cs="Times New Roman"/>
          <w:i/>
          <w:sz w:val="24"/>
          <w:szCs w:val="24"/>
        </w:rPr>
      </w:pPr>
      <w:r w:rsidRPr="00016F33">
        <w:rPr>
          <w:rFonts w:cs="Times New Roman"/>
          <w:i/>
          <w:sz w:val="24"/>
          <w:szCs w:val="24"/>
        </w:rPr>
        <w:tab/>
        <w:t xml:space="preserve">(1)…to carry or transmit any prospectus relating to any security…unless such prospectus </w:t>
      </w:r>
      <w:r w:rsidR="003F4754">
        <w:rPr>
          <w:rFonts w:cs="Times New Roman"/>
          <w:i/>
          <w:sz w:val="24"/>
          <w:szCs w:val="24"/>
        </w:rPr>
        <w:tab/>
      </w:r>
      <w:r w:rsidRPr="00016F33">
        <w:rPr>
          <w:rFonts w:cs="Times New Roman"/>
          <w:i/>
          <w:sz w:val="24"/>
          <w:szCs w:val="24"/>
        </w:rPr>
        <w:t>meets the requirement of [this Act]…</w:t>
      </w:r>
    </w:p>
    <w:p w14:paraId="401792D8" w14:textId="06C3E37E" w:rsidR="00016F33" w:rsidRPr="00016F33" w:rsidRDefault="00016F33" w:rsidP="003F4754">
      <w:pPr>
        <w:pStyle w:val="ListParagraph"/>
        <w:ind w:left="1440"/>
        <w:rPr>
          <w:rFonts w:cs="Times New Roman"/>
          <w:i/>
          <w:sz w:val="24"/>
          <w:szCs w:val="24"/>
        </w:rPr>
      </w:pPr>
      <w:r w:rsidRPr="00016F33">
        <w:rPr>
          <w:rFonts w:cs="Times New Roman"/>
          <w:i/>
          <w:sz w:val="24"/>
          <w:szCs w:val="24"/>
        </w:rPr>
        <w:t>(c) It shall be unlawful for any person…to offer to sell or offer to buy…any security, unless a registration statement has been filed as to such security…</w:t>
      </w:r>
    </w:p>
    <w:p w14:paraId="3B2E72FC" w14:textId="61CF949E" w:rsidR="008E40A8" w:rsidRDefault="008E40A8" w:rsidP="008E40A8">
      <w:pPr>
        <w:pStyle w:val="ListParagraph"/>
        <w:numPr>
          <w:ilvl w:val="3"/>
          <w:numId w:val="10"/>
        </w:numPr>
        <w:rPr>
          <w:rFonts w:cs="Times New Roman"/>
          <w:sz w:val="24"/>
          <w:szCs w:val="24"/>
        </w:rPr>
      </w:pPr>
      <w:r>
        <w:rPr>
          <w:rFonts w:cs="Times New Roman"/>
          <w:sz w:val="24"/>
          <w:szCs w:val="24"/>
        </w:rPr>
        <w:t>The § 2 “Security”</w:t>
      </w:r>
    </w:p>
    <w:p w14:paraId="73855606" w14:textId="0C582A36" w:rsidR="008E40A8" w:rsidRDefault="008E40A8" w:rsidP="008E40A8">
      <w:pPr>
        <w:pStyle w:val="ListParagraph"/>
        <w:numPr>
          <w:ilvl w:val="4"/>
          <w:numId w:val="10"/>
        </w:numPr>
        <w:rPr>
          <w:rFonts w:cs="Times New Roman"/>
          <w:sz w:val="24"/>
          <w:szCs w:val="24"/>
        </w:rPr>
      </w:pPr>
      <w:r>
        <w:rPr>
          <w:rFonts w:cs="Times New Roman"/>
          <w:sz w:val="24"/>
          <w:szCs w:val="24"/>
        </w:rPr>
        <w:t xml:space="preserve">§ 2(a)(1) defines security (defined similarly in 1934 Act): </w:t>
      </w:r>
    </w:p>
    <w:p w14:paraId="2D5819E8" w14:textId="54DFCBD8" w:rsidR="008E40A8" w:rsidRPr="008E40A8" w:rsidRDefault="008E40A8" w:rsidP="008E40A8">
      <w:pPr>
        <w:pStyle w:val="ListParagraph"/>
        <w:ind w:left="1800"/>
        <w:rPr>
          <w:rFonts w:cs="Times New Roman"/>
          <w:i/>
          <w:sz w:val="24"/>
          <w:szCs w:val="24"/>
        </w:rPr>
      </w:pPr>
      <w:r w:rsidRPr="008E40A8">
        <w:rPr>
          <w:rFonts w:cs="Times New Roman"/>
          <w:i/>
          <w:sz w:val="24"/>
          <w:szCs w:val="24"/>
        </w:rPr>
        <w:t>The term “security” means any note, stock, treasury stock, security future, bond, debenture, evidence of indebtedness…investment contract,…any put, call, straddle, option , or privilege on any security,…or, in general, any interest or</w:t>
      </w:r>
      <w:r w:rsidR="003F4754">
        <w:rPr>
          <w:rFonts w:cs="Times New Roman"/>
          <w:i/>
          <w:sz w:val="24"/>
          <w:szCs w:val="24"/>
        </w:rPr>
        <w:t xml:space="preserve"> instrument commonly known as a </w:t>
      </w:r>
      <w:r w:rsidRPr="008E40A8">
        <w:rPr>
          <w:rFonts w:cs="Times New Roman"/>
          <w:i/>
          <w:sz w:val="24"/>
          <w:szCs w:val="24"/>
        </w:rPr>
        <w:t>“security.”…</w:t>
      </w:r>
    </w:p>
    <w:p w14:paraId="2F23FDDB" w14:textId="1F596674" w:rsidR="003124DB" w:rsidRDefault="003124DB" w:rsidP="003124DB">
      <w:pPr>
        <w:pStyle w:val="ListParagraph"/>
        <w:numPr>
          <w:ilvl w:val="4"/>
          <w:numId w:val="10"/>
        </w:numPr>
        <w:rPr>
          <w:rFonts w:cs="Times New Roman"/>
          <w:sz w:val="24"/>
          <w:szCs w:val="24"/>
        </w:rPr>
      </w:pPr>
      <w:r>
        <w:rPr>
          <w:rFonts w:cs="Times New Roman"/>
          <w:sz w:val="24"/>
          <w:szCs w:val="24"/>
        </w:rPr>
        <w:t>“</w:t>
      </w:r>
      <w:proofErr w:type="gramStart"/>
      <w:r>
        <w:rPr>
          <w:rFonts w:cs="Times New Roman"/>
          <w:sz w:val="24"/>
          <w:szCs w:val="24"/>
        </w:rPr>
        <w:t>investment</w:t>
      </w:r>
      <w:proofErr w:type="gramEnd"/>
      <w:r>
        <w:rPr>
          <w:rFonts w:cs="Times New Roman"/>
          <w:sz w:val="24"/>
          <w:szCs w:val="24"/>
        </w:rPr>
        <w:t xml:space="preserve"> contract” – catchall – any contract, transaction or scheme whereby a person invests his money in a common enterprise and is led to expect profits solely from the efforts of a…third party.</w:t>
      </w:r>
    </w:p>
    <w:p w14:paraId="0B3A8FFB" w14:textId="60CA110B" w:rsidR="00AF045F" w:rsidRDefault="00AF045F" w:rsidP="003124DB">
      <w:pPr>
        <w:pStyle w:val="ListParagraph"/>
        <w:numPr>
          <w:ilvl w:val="4"/>
          <w:numId w:val="10"/>
        </w:numPr>
        <w:rPr>
          <w:rFonts w:cs="Times New Roman"/>
          <w:sz w:val="24"/>
          <w:szCs w:val="24"/>
        </w:rPr>
      </w:pPr>
      <w:r>
        <w:rPr>
          <w:rFonts w:cs="Times New Roman"/>
          <w:sz w:val="24"/>
          <w:szCs w:val="24"/>
        </w:rPr>
        <w:t>Note th</w:t>
      </w:r>
      <w:r w:rsidR="00B717B4">
        <w:rPr>
          <w:rFonts w:cs="Times New Roman"/>
          <w:sz w:val="24"/>
          <w:szCs w:val="24"/>
        </w:rPr>
        <w:t xml:space="preserve">at general partnership interest, </w:t>
      </w:r>
      <w:r w:rsidR="0064216E">
        <w:rPr>
          <w:rFonts w:cs="Times New Roman"/>
          <w:sz w:val="24"/>
          <w:szCs w:val="24"/>
        </w:rPr>
        <w:t>land</w:t>
      </w:r>
      <w:r w:rsidR="00B717B4">
        <w:rPr>
          <w:rFonts w:cs="Times New Roman"/>
          <w:sz w:val="24"/>
          <w:szCs w:val="24"/>
        </w:rPr>
        <w:t>, and assets (?)</w:t>
      </w:r>
      <w:r w:rsidR="0064216E">
        <w:rPr>
          <w:rFonts w:cs="Times New Roman"/>
          <w:sz w:val="24"/>
          <w:szCs w:val="24"/>
        </w:rPr>
        <w:t xml:space="preserve"> are not securities</w:t>
      </w:r>
      <w:r>
        <w:rPr>
          <w:rFonts w:cs="Times New Roman"/>
          <w:sz w:val="24"/>
          <w:szCs w:val="24"/>
        </w:rPr>
        <w:t>.</w:t>
      </w:r>
      <w:r w:rsidR="00E87324">
        <w:rPr>
          <w:rFonts w:cs="Times New Roman"/>
          <w:sz w:val="24"/>
          <w:szCs w:val="24"/>
        </w:rPr>
        <w:t xml:space="preserve"> Horse breeding schemes have been held to be securities.</w:t>
      </w:r>
      <w:r w:rsidR="000E116E">
        <w:rPr>
          <w:rFonts w:cs="Times New Roman"/>
          <w:sz w:val="24"/>
          <w:szCs w:val="24"/>
        </w:rPr>
        <w:t xml:space="preserve"> LLC interests may or may not be securities.</w:t>
      </w:r>
    </w:p>
    <w:p w14:paraId="46554633" w14:textId="177B3C76" w:rsidR="003124DB" w:rsidRDefault="003124DB" w:rsidP="003124DB">
      <w:pPr>
        <w:pStyle w:val="ListParagraph"/>
        <w:numPr>
          <w:ilvl w:val="3"/>
          <w:numId w:val="10"/>
        </w:numPr>
        <w:rPr>
          <w:rFonts w:cs="Times New Roman"/>
          <w:sz w:val="24"/>
          <w:szCs w:val="24"/>
        </w:rPr>
      </w:pPr>
      <w:r>
        <w:rPr>
          <w:rFonts w:cs="Times New Roman"/>
          <w:sz w:val="24"/>
          <w:szCs w:val="24"/>
        </w:rPr>
        <w:t>The § 4 Exemptions</w:t>
      </w:r>
    </w:p>
    <w:p w14:paraId="06AF5373" w14:textId="02993636" w:rsidR="00BC6450" w:rsidRDefault="00BC6450" w:rsidP="00BC6450">
      <w:pPr>
        <w:pStyle w:val="ListParagraph"/>
        <w:numPr>
          <w:ilvl w:val="4"/>
          <w:numId w:val="10"/>
        </w:numPr>
        <w:rPr>
          <w:rFonts w:cs="Times New Roman"/>
          <w:sz w:val="24"/>
          <w:szCs w:val="24"/>
        </w:rPr>
      </w:pPr>
      <w:r>
        <w:rPr>
          <w:rFonts w:cs="Times New Roman"/>
          <w:sz w:val="24"/>
          <w:szCs w:val="24"/>
        </w:rPr>
        <w:t>§ 4</w:t>
      </w:r>
    </w:p>
    <w:p w14:paraId="1F2C8A96" w14:textId="0DEDB7D4" w:rsidR="00BC6450" w:rsidRPr="00BC6450" w:rsidRDefault="00BC6450" w:rsidP="00BC6450">
      <w:pPr>
        <w:ind w:left="720"/>
        <w:rPr>
          <w:rFonts w:cs="Times New Roman"/>
          <w:i/>
          <w:szCs w:val="24"/>
        </w:rPr>
      </w:pPr>
      <w:r>
        <w:rPr>
          <w:rFonts w:cs="Times New Roman"/>
          <w:szCs w:val="24"/>
        </w:rPr>
        <w:tab/>
      </w:r>
      <w:r>
        <w:rPr>
          <w:rFonts w:cs="Times New Roman"/>
          <w:szCs w:val="24"/>
        </w:rPr>
        <w:tab/>
      </w:r>
      <w:r w:rsidRPr="00BC6450">
        <w:rPr>
          <w:rFonts w:cs="Times New Roman"/>
          <w:i/>
          <w:szCs w:val="24"/>
        </w:rPr>
        <w:t>The provision of section 5 shall not apply to:</w:t>
      </w:r>
    </w:p>
    <w:p w14:paraId="7166C057" w14:textId="0EC4FFD2" w:rsidR="00BC6450" w:rsidRPr="00BC6450" w:rsidRDefault="00BC6450" w:rsidP="00BC6450">
      <w:pPr>
        <w:ind w:left="720"/>
        <w:rPr>
          <w:rFonts w:cs="Times New Roman"/>
          <w:i/>
          <w:szCs w:val="24"/>
        </w:rPr>
      </w:pPr>
      <w:r w:rsidRPr="00BC6450">
        <w:rPr>
          <w:rFonts w:cs="Times New Roman"/>
          <w:i/>
          <w:szCs w:val="24"/>
        </w:rPr>
        <w:tab/>
      </w:r>
      <w:r w:rsidRPr="00BC6450">
        <w:rPr>
          <w:rFonts w:cs="Times New Roman"/>
          <w:i/>
          <w:szCs w:val="24"/>
        </w:rPr>
        <w:tab/>
        <w:t xml:space="preserve">(1) </w:t>
      </w:r>
      <w:proofErr w:type="gramStart"/>
      <w:r w:rsidRPr="00BC6450">
        <w:rPr>
          <w:rFonts w:cs="Times New Roman"/>
          <w:i/>
          <w:szCs w:val="24"/>
        </w:rPr>
        <w:t>transactions</w:t>
      </w:r>
      <w:proofErr w:type="gramEnd"/>
      <w:r w:rsidRPr="00BC6450">
        <w:rPr>
          <w:rFonts w:cs="Times New Roman"/>
          <w:i/>
          <w:szCs w:val="24"/>
        </w:rPr>
        <w:t xml:space="preserve"> by any person other </w:t>
      </w:r>
      <w:r>
        <w:rPr>
          <w:rFonts w:cs="Times New Roman"/>
          <w:i/>
          <w:szCs w:val="24"/>
        </w:rPr>
        <w:t xml:space="preserve">than an issuer, underwriter, or </w:t>
      </w:r>
      <w:r w:rsidRPr="00BC6450">
        <w:rPr>
          <w:rFonts w:cs="Times New Roman"/>
          <w:i/>
          <w:szCs w:val="24"/>
        </w:rPr>
        <w:t>dealer.</w:t>
      </w:r>
    </w:p>
    <w:p w14:paraId="0D24F619" w14:textId="1FC24835" w:rsidR="00BC6450" w:rsidRPr="00BC6450" w:rsidRDefault="00BC6450" w:rsidP="00BC6450">
      <w:pPr>
        <w:ind w:left="720"/>
        <w:rPr>
          <w:rFonts w:cs="Times New Roman"/>
          <w:i/>
          <w:szCs w:val="24"/>
        </w:rPr>
      </w:pPr>
      <w:r w:rsidRPr="00BC6450">
        <w:rPr>
          <w:rFonts w:cs="Times New Roman"/>
          <w:i/>
          <w:szCs w:val="24"/>
        </w:rPr>
        <w:tab/>
      </w:r>
      <w:r w:rsidRPr="00BC6450">
        <w:rPr>
          <w:rFonts w:cs="Times New Roman"/>
          <w:i/>
          <w:szCs w:val="24"/>
        </w:rPr>
        <w:tab/>
        <w:t xml:space="preserve">(2) </w:t>
      </w:r>
      <w:proofErr w:type="gramStart"/>
      <w:r w:rsidRPr="00BC6450">
        <w:rPr>
          <w:rFonts w:cs="Times New Roman"/>
          <w:i/>
          <w:szCs w:val="24"/>
        </w:rPr>
        <w:t>transactions</w:t>
      </w:r>
      <w:proofErr w:type="gramEnd"/>
      <w:r w:rsidRPr="00BC6450">
        <w:rPr>
          <w:rFonts w:cs="Times New Roman"/>
          <w:i/>
          <w:szCs w:val="24"/>
        </w:rPr>
        <w:t xml:space="preserve"> by an issuer not involving any public offering </w:t>
      </w:r>
    </w:p>
    <w:p w14:paraId="7B58E59A" w14:textId="5F160DF3" w:rsidR="00BC6450" w:rsidRDefault="00BC6450" w:rsidP="00BC6450">
      <w:pPr>
        <w:pStyle w:val="ListParagraph"/>
        <w:numPr>
          <w:ilvl w:val="4"/>
          <w:numId w:val="10"/>
        </w:numPr>
        <w:rPr>
          <w:rFonts w:cs="Times New Roman"/>
          <w:sz w:val="24"/>
          <w:szCs w:val="24"/>
        </w:rPr>
      </w:pPr>
      <w:r>
        <w:rPr>
          <w:rFonts w:cs="Times New Roman"/>
          <w:sz w:val="24"/>
          <w:szCs w:val="24"/>
        </w:rPr>
        <w:t xml:space="preserve">Shouldn’t rely on this exemption because future sales can change what initial sale meant (E.g. in terms of public offering or being an underwriter). </w:t>
      </w:r>
    </w:p>
    <w:p w14:paraId="7E9617A5" w14:textId="6F344AA8" w:rsidR="00BC6450" w:rsidRDefault="00BC6450" w:rsidP="00BC6450">
      <w:pPr>
        <w:pStyle w:val="ListParagraph"/>
        <w:numPr>
          <w:ilvl w:val="4"/>
          <w:numId w:val="10"/>
        </w:numPr>
        <w:rPr>
          <w:rFonts w:cs="Times New Roman"/>
          <w:sz w:val="24"/>
          <w:szCs w:val="24"/>
        </w:rPr>
      </w:pPr>
      <w:r>
        <w:rPr>
          <w:rFonts w:cs="Times New Roman"/>
          <w:sz w:val="24"/>
          <w:szCs w:val="24"/>
        </w:rPr>
        <w:t>Because of these risks, well-advised closely held corporations issue their shares only through elaborate “safe harbors.” SEC typically keys safe harbors to the following factors: (1) number of offerees; (2) the relationship of the offerees to each other and to the issuer; (3) the size of the offering [i.e., the amount of money raised]; (4) the number of units [i.e., shares, in the case of stock] offered; and (5) the manner of the offering [i.e., the type and quantity of advertising].</w:t>
      </w:r>
    </w:p>
    <w:p w14:paraId="7FECF108" w14:textId="7F8BE819" w:rsidR="00626677" w:rsidRPr="00E32C83" w:rsidRDefault="00C6367E" w:rsidP="00E32C83">
      <w:pPr>
        <w:pStyle w:val="ListParagraph"/>
        <w:numPr>
          <w:ilvl w:val="2"/>
          <w:numId w:val="10"/>
        </w:numPr>
        <w:rPr>
          <w:rFonts w:cs="Times New Roman"/>
          <w:sz w:val="24"/>
          <w:szCs w:val="24"/>
        </w:rPr>
      </w:pPr>
      <w:r>
        <w:rPr>
          <w:rFonts w:cs="Times New Roman"/>
          <w:sz w:val="24"/>
          <w:szCs w:val="24"/>
        </w:rPr>
        <w:lastRenderedPageBreak/>
        <w:t>Penalties</w:t>
      </w:r>
      <w:r w:rsidR="00E32C83">
        <w:rPr>
          <w:rFonts w:cs="Times New Roman"/>
          <w:sz w:val="24"/>
          <w:szCs w:val="24"/>
        </w:rPr>
        <w:t xml:space="preserve"> </w:t>
      </w:r>
      <w:r w:rsidR="005856C3">
        <w:rPr>
          <w:rFonts w:cs="Times New Roman"/>
          <w:sz w:val="24"/>
          <w:szCs w:val="24"/>
        </w:rPr>
        <w:t>for False or Omitted Statements</w:t>
      </w:r>
    </w:p>
    <w:p w14:paraId="624152A6" w14:textId="24B381E5" w:rsidR="00626677" w:rsidRDefault="00626677" w:rsidP="00E32C83">
      <w:pPr>
        <w:pStyle w:val="ListParagraph"/>
        <w:numPr>
          <w:ilvl w:val="3"/>
          <w:numId w:val="10"/>
        </w:numPr>
        <w:rPr>
          <w:rFonts w:cs="Times New Roman"/>
          <w:sz w:val="24"/>
          <w:szCs w:val="24"/>
        </w:rPr>
      </w:pPr>
      <w:r>
        <w:rPr>
          <w:rFonts w:cs="Times New Roman"/>
          <w:sz w:val="24"/>
          <w:szCs w:val="24"/>
        </w:rPr>
        <w:t>§ 11</w:t>
      </w:r>
    </w:p>
    <w:p w14:paraId="460ABADF" w14:textId="52CAA094" w:rsidR="00626677" w:rsidRPr="00626677" w:rsidRDefault="00626677" w:rsidP="00E32C83">
      <w:pPr>
        <w:ind w:left="1440"/>
        <w:rPr>
          <w:rFonts w:cs="Times New Roman"/>
          <w:i/>
          <w:szCs w:val="24"/>
        </w:rPr>
      </w:pPr>
      <w:r w:rsidRPr="00626677">
        <w:rPr>
          <w:rFonts w:cs="Times New Roman"/>
          <w:i/>
          <w:szCs w:val="24"/>
        </w:rPr>
        <w:t xml:space="preserve">(a) </w:t>
      </w:r>
      <w:r w:rsidR="004216B9">
        <w:rPr>
          <w:rFonts w:cs="Times New Roman"/>
          <w:i/>
          <w:szCs w:val="24"/>
        </w:rPr>
        <w:t>…</w:t>
      </w:r>
      <w:r w:rsidRPr="00626677">
        <w:rPr>
          <w:rFonts w:cs="Times New Roman"/>
          <w:i/>
          <w:szCs w:val="24"/>
        </w:rPr>
        <w:t>. In case any part of the registration statement, when such part became effective, contained an untrue statement of a material fact or omitted to state a material fact required to be stated therein or necessary to make the statements therein not misleading, any person acquiring such security (unless it is proved that at the time of such acquisition he knew of such untruth or omission) may, either at law or in equity, in any court of competent jurisdiction, sue—</w:t>
      </w:r>
    </w:p>
    <w:p w14:paraId="24AFC9F7" w14:textId="77777777" w:rsidR="00626677" w:rsidRPr="00626677" w:rsidRDefault="00626677" w:rsidP="00E32C83">
      <w:pPr>
        <w:ind w:left="2160"/>
        <w:rPr>
          <w:rFonts w:cs="Times New Roman"/>
          <w:i/>
          <w:szCs w:val="24"/>
        </w:rPr>
      </w:pPr>
      <w:r w:rsidRPr="00626677">
        <w:rPr>
          <w:rFonts w:cs="Times New Roman"/>
          <w:i/>
          <w:szCs w:val="24"/>
        </w:rPr>
        <w:t xml:space="preserve">(1) </w:t>
      </w:r>
      <w:proofErr w:type="gramStart"/>
      <w:r w:rsidRPr="00626677">
        <w:rPr>
          <w:rFonts w:cs="Times New Roman"/>
          <w:i/>
          <w:szCs w:val="24"/>
        </w:rPr>
        <w:t>every</w:t>
      </w:r>
      <w:proofErr w:type="gramEnd"/>
      <w:r w:rsidRPr="00626677">
        <w:rPr>
          <w:rFonts w:cs="Times New Roman"/>
          <w:i/>
          <w:szCs w:val="24"/>
        </w:rPr>
        <w:t xml:space="preserve"> person who signed the registration statement;</w:t>
      </w:r>
    </w:p>
    <w:p w14:paraId="06E3D11D" w14:textId="77777777" w:rsidR="00626677" w:rsidRPr="00626677" w:rsidRDefault="00626677" w:rsidP="00E32C83">
      <w:pPr>
        <w:ind w:left="2160"/>
        <w:rPr>
          <w:rFonts w:cs="Times New Roman"/>
          <w:i/>
          <w:szCs w:val="24"/>
        </w:rPr>
      </w:pPr>
      <w:r w:rsidRPr="00626677">
        <w:rPr>
          <w:rFonts w:cs="Times New Roman"/>
          <w:i/>
          <w:szCs w:val="24"/>
        </w:rPr>
        <w:t xml:space="preserve">(2) </w:t>
      </w:r>
      <w:proofErr w:type="gramStart"/>
      <w:r w:rsidRPr="00626677">
        <w:rPr>
          <w:rFonts w:cs="Times New Roman"/>
          <w:i/>
          <w:szCs w:val="24"/>
        </w:rPr>
        <w:t>every</w:t>
      </w:r>
      <w:proofErr w:type="gramEnd"/>
      <w:r w:rsidRPr="00626677">
        <w:rPr>
          <w:rFonts w:cs="Times New Roman"/>
          <w:i/>
          <w:szCs w:val="24"/>
        </w:rPr>
        <w:t xml:space="preserve"> person who was a director of (or person performing similar functions) or partner in the issuer at the time of the filing of the part of the registration statement with respect to which his liability is asserted;</w:t>
      </w:r>
    </w:p>
    <w:p w14:paraId="6CDA0AD7" w14:textId="77777777" w:rsidR="00626677" w:rsidRPr="00626677" w:rsidRDefault="00626677" w:rsidP="00E32C83">
      <w:pPr>
        <w:ind w:left="2160"/>
        <w:rPr>
          <w:rFonts w:cs="Times New Roman"/>
          <w:i/>
          <w:szCs w:val="24"/>
        </w:rPr>
      </w:pPr>
      <w:r w:rsidRPr="00626677">
        <w:rPr>
          <w:rFonts w:cs="Times New Roman"/>
          <w:i/>
          <w:szCs w:val="24"/>
        </w:rPr>
        <w:t xml:space="preserve">(3) </w:t>
      </w:r>
      <w:proofErr w:type="gramStart"/>
      <w:r w:rsidRPr="00626677">
        <w:rPr>
          <w:rFonts w:cs="Times New Roman"/>
          <w:i/>
          <w:szCs w:val="24"/>
        </w:rPr>
        <w:t>every</w:t>
      </w:r>
      <w:proofErr w:type="gramEnd"/>
      <w:r w:rsidRPr="00626677">
        <w:rPr>
          <w:rFonts w:cs="Times New Roman"/>
          <w:i/>
          <w:szCs w:val="24"/>
        </w:rPr>
        <w:t xml:space="preserve"> person who, with his consent, is named in the registration statement as being or about to become a director, person performing similar functions, or partner;</w:t>
      </w:r>
    </w:p>
    <w:p w14:paraId="03DEDAFC" w14:textId="77777777" w:rsidR="00626677" w:rsidRPr="00626677" w:rsidRDefault="00626677" w:rsidP="00E32C83">
      <w:pPr>
        <w:ind w:left="2160"/>
        <w:rPr>
          <w:rFonts w:cs="Times New Roman"/>
          <w:i/>
          <w:szCs w:val="24"/>
        </w:rPr>
      </w:pPr>
      <w:r w:rsidRPr="00DD555C">
        <w:rPr>
          <w:rFonts w:cs="Times New Roman"/>
          <w:i/>
          <w:szCs w:val="24"/>
          <w:highlight w:val="yellow"/>
        </w:rPr>
        <w:t>(4) every accountant, engineer, or appraiser, or any person whose profession gives authority to a statement made by him, who has with his consent been named as having prepared or certified any part of the registration statement, or as having prepared or certified any report or valuation which is used in connection with the registration statement, with respect to the statement in such registration statement, report, or valuation, which purports to have been prepared or certified by him;</w:t>
      </w:r>
    </w:p>
    <w:p w14:paraId="1783B936" w14:textId="77777777" w:rsidR="00626677" w:rsidRPr="00626677" w:rsidRDefault="00626677" w:rsidP="00E32C83">
      <w:pPr>
        <w:ind w:left="2160"/>
        <w:rPr>
          <w:rFonts w:cs="Times New Roman"/>
          <w:i/>
          <w:szCs w:val="24"/>
        </w:rPr>
      </w:pPr>
      <w:r w:rsidRPr="00626677">
        <w:rPr>
          <w:rFonts w:cs="Times New Roman"/>
          <w:i/>
          <w:szCs w:val="24"/>
        </w:rPr>
        <w:t xml:space="preserve">(5) </w:t>
      </w:r>
      <w:proofErr w:type="gramStart"/>
      <w:r w:rsidRPr="00626677">
        <w:rPr>
          <w:rFonts w:cs="Times New Roman"/>
          <w:i/>
          <w:szCs w:val="24"/>
        </w:rPr>
        <w:t>every</w:t>
      </w:r>
      <w:proofErr w:type="gramEnd"/>
      <w:r w:rsidRPr="00626677">
        <w:rPr>
          <w:rFonts w:cs="Times New Roman"/>
          <w:i/>
          <w:szCs w:val="24"/>
        </w:rPr>
        <w:t xml:space="preserve"> underwriter with respect to such security.</w:t>
      </w:r>
    </w:p>
    <w:p w14:paraId="336500EB" w14:textId="77777777" w:rsidR="00626677" w:rsidRPr="00626677" w:rsidRDefault="00626677" w:rsidP="00E32C83">
      <w:pPr>
        <w:ind w:left="2160"/>
        <w:rPr>
          <w:rFonts w:cs="Times New Roman"/>
          <w:i/>
          <w:szCs w:val="24"/>
        </w:rPr>
      </w:pPr>
      <w:r w:rsidRPr="00626677">
        <w:rPr>
          <w:rFonts w:cs="Times New Roman"/>
          <w:i/>
          <w:szCs w:val="24"/>
        </w:rPr>
        <w:t>If such person acquired the security after the issuer has made generally available to its security holders an earning statement covering a period of at least twelve months beginning after the effective date of the registration statement, then the right of recovery under this subsection shall be conditioned on proof that such person acquired the security relying upon such untrue statement in the registration statement or relying upon the registration statement and not knowing of such omission, but such reliance may be established without proof of the reading of the registration statement by such person.</w:t>
      </w:r>
    </w:p>
    <w:tbl>
      <w:tblPr>
        <w:tblStyle w:val="TableGrid"/>
        <w:tblpPr w:leftFromText="180" w:rightFromText="180" w:vertAnchor="text" w:horzAnchor="page" w:tblpX="1126" w:tblpY="950"/>
        <w:tblW w:w="9985" w:type="dxa"/>
        <w:tblLook w:val="04A0" w:firstRow="1" w:lastRow="0" w:firstColumn="1" w:lastColumn="0" w:noHBand="0" w:noVBand="1"/>
      </w:tblPr>
      <w:tblGrid>
        <w:gridCol w:w="630"/>
        <w:gridCol w:w="1514"/>
        <w:gridCol w:w="1675"/>
        <w:gridCol w:w="6166"/>
      </w:tblGrid>
      <w:tr w:rsidR="004216B9" w14:paraId="749C7B5A" w14:textId="77777777" w:rsidTr="004216B9">
        <w:trPr>
          <w:trHeight w:val="194"/>
        </w:trPr>
        <w:tc>
          <w:tcPr>
            <w:tcW w:w="63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39841DA" w14:textId="77777777" w:rsidR="004216B9" w:rsidRDefault="004216B9" w:rsidP="004216B9">
            <w:pPr>
              <w:ind w:left="113" w:right="113"/>
              <w:jc w:val="center"/>
              <w:rPr>
                <w:rFonts w:cs="Times New Roman"/>
                <w:szCs w:val="24"/>
              </w:rPr>
            </w:pPr>
            <w:r>
              <w:rPr>
                <w:rFonts w:cs="Times New Roman"/>
                <w:szCs w:val="24"/>
              </w:rPr>
              <w:t>Registration Statement</w:t>
            </w:r>
          </w:p>
        </w:tc>
        <w:tc>
          <w:tcPr>
            <w:tcW w:w="1514" w:type="dxa"/>
            <w:vMerge w:val="restart"/>
            <w:tcBorders>
              <w:top w:val="single" w:sz="4" w:space="0" w:color="auto"/>
              <w:left w:val="single" w:sz="4" w:space="0" w:color="auto"/>
              <w:bottom w:val="single" w:sz="4" w:space="0" w:color="auto"/>
              <w:right w:val="single" w:sz="4" w:space="0" w:color="auto"/>
            </w:tcBorders>
            <w:vAlign w:val="center"/>
            <w:hideMark/>
          </w:tcPr>
          <w:p w14:paraId="33232F39" w14:textId="77777777" w:rsidR="004216B9" w:rsidRDefault="004216B9" w:rsidP="004216B9">
            <w:pPr>
              <w:jc w:val="center"/>
              <w:rPr>
                <w:rFonts w:cs="Times New Roman"/>
                <w:szCs w:val="24"/>
              </w:rPr>
            </w:pPr>
            <w:r>
              <w:rPr>
                <w:rFonts w:cs="Times New Roman"/>
                <w:szCs w:val="24"/>
              </w:rPr>
              <w:t xml:space="preserve">Non-Expertized Portion </w:t>
            </w:r>
          </w:p>
        </w:tc>
        <w:tc>
          <w:tcPr>
            <w:tcW w:w="1675" w:type="dxa"/>
            <w:tcBorders>
              <w:top w:val="single" w:sz="4" w:space="0" w:color="auto"/>
              <w:left w:val="single" w:sz="4" w:space="0" w:color="auto"/>
              <w:bottom w:val="single" w:sz="4" w:space="0" w:color="auto"/>
              <w:right w:val="single" w:sz="4" w:space="0" w:color="auto"/>
            </w:tcBorders>
            <w:hideMark/>
          </w:tcPr>
          <w:p w14:paraId="67D76E41" w14:textId="77777777" w:rsidR="004216B9" w:rsidRDefault="004216B9" w:rsidP="004216B9">
            <w:pPr>
              <w:rPr>
                <w:rFonts w:cs="Times New Roman"/>
                <w:szCs w:val="24"/>
              </w:rPr>
            </w:pPr>
            <w:r>
              <w:rPr>
                <w:rFonts w:cs="Times New Roman"/>
                <w:szCs w:val="24"/>
              </w:rPr>
              <w:t>Expert</w:t>
            </w:r>
          </w:p>
        </w:tc>
        <w:tc>
          <w:tcPr>
            <w:tcW w:w="6166" w:type="dxa"/>
            <w:tcBorders>
              <w:top w:val="single" w:sz="4" w:space="0" w:color="auto"/>
              <w:left w:val="single" w:sz="4" w:space="0" w:color="auto"/>
              <w:bottom w:val="single" w:sz="4" w:space="0" w:color="auto"/>
              <w:right w:val="single" w:sz="4" w:space="0" w:color="auto"/>
            </w:tcBorders>
            <w:hideMark/>
          </w:tcPr>
          <w:p w14:paraId="4EAD9791" w14:textId="77777777" w:rsidR="004216B9" w:rsidRDefault="004216B9" w:rsidP="004216B9">
            <w:pPr>
              <w:rPr>
                <w:rFonts w:cs="Times New Roman"/>
                <w:szCs w:val="24"/>
              </w:rPr>
            </w:pPr>
            <w:r w:rsidRPr="006E0A19">
              <w:rPr>
                <w:rFonts w:cs="Times New Roman"/>
                <w:szCs w:val="24"/>
              </w:rPr>
              <w:t>Liable only on</w:t>
            </w:r>
            <w:r>
              <w:rPr>
                <w:rFonts w:cs="Times New Roman"/>
                <w:szCs w:val="24"/>
              </w:rPr>
              <w:t xml:space="preserve"> </w:t>
            </w:r>
            <w:r w:rsidRPr="006E0A19">
              <w:rPr>
                <w:rFonts w:cs="Times New Roman"/>
                <w:szCs w:val="24"/>
              </w:rPr>
              <w:t>portions they certify - § 11(a)(4)</w:t>
            </w:r>
          </w:p>
        </w:tc>
      </w:tr>
      <w:tr w:rsidR="004216B9" w14:paraId="32E96D80" w14:textId="77777777" w:rsidTr="004216B9">
        <w:trPr>
          <w:trHeight w:val="302"/>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32351831" w14:textId="77777777" w:rsidR="004216B9" w:rsidRDefault="004216B9" w:rsidP="004216B9">
            <w:pPr>
              <w:rPr>
                <w:rFonts w:cs="Times New Roman"/>
                <w:szCs w:val="24"/>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14:paraId="39EDEA3D" w14:textId="77777777" w:rsidR="004216B9" w:rsidRDefault="004216B9" w:rsidP="004216B9">
            <w:pPr>
              <w:rPr>
                <w:rFonts w:cs="Times New Roman"/>
                <w:szCs w:val="24"/>
              </w:rPr>
            </w:pPr>
          </w:p>
        </w:tc>
        <w:tc>
          <w:tcPr>
            <w:tcW w:w="1675" w:type="dxa"/>
            <w:tcBorders>
              <w:top w:val="single" w:sz="4" w:space="0" w:color="auto"/>
              <w:left w:val="single" w:sz="4" w:space="0" w:color="auto"/>
              <w:bottom w:val="single" w:sz="4" w:space="0" w:color="auto"/>
              <w:right w:val="single" w:sz="4" w:space="0" w:color="auto"/>
            </w:tcBorders>
            <w:hideMark/>
          </w:tcPr>
          <w:p w14:paraId="77400936" w14:textId="77777777" w:rsidR="004216B9" w:rsidRDefault="004216B9" w:rsidP="004216B9">
            <w:pPr>
              <w:rPr>
                <w:rFonts w:cs="Times New Roman"/>
                <w:szCs w:val="24"/>
              </w:rPr>
            </w:pPr>
            <w:r>
              <w:rPr>
                <w:rFonts w:cs="Times New Roman"/>
                <w:szCs w:val="24"/>
              </w:rPr>
              <w:t>Non Expert</w:t>
            </w:r>
          </w:p>
        </w:tc>
        <w:tc>
          <w:tcPr>
            <w:tcW w:w="6166" w:type="dxa"/>
            <w:tcBorders>
              <w:top w:val="single" w:sz="4" w:space="0" w:color="auto"/>
              <w:left w:val="single" w:sz="4" w:space="0" w:color="auto"/>
              <w:bottom w:val="single" w:sz="4" w:space="0" w:color="auto"/>
              <w:right w:val="single" w:sz="4" w:space="0" w:color="auto"/>
            </w:tcBorders>
            <w:hideMark/>
          </w:tcPr>
          <w:p w14:paraId="6EAE61C3" w14:textId="77777777" w:rsidR="004216B9" w:rsidRDefault="004216B9" w:rsidP="004216B9">
            <w:pPr>
              <w:rPr>
                <w:rFonts w:cs="Times New Roman"/>
                <w:szCs w:val="24"/>
              </w:rPr>
            </w:pPr>
            <w:r>
              <w:rPr>
                <w:rFonts w:cs="Times New Roman"/>
                <w:szCs w:val="24"/>
              </w:rPr>
              <w:t>A</w:t>
            </w:r>
            <w:r w:rsidRPr="006E0A19">
              <w:rPr>
                <w:rFonts w:cs="Times New Roman"/>
                <w:szCs w:val="24"/>
              </w:rPr>
              <w:t>void liabil</w:t>
            </w:r>
            <w:r>
              <w:rPr>
                <w:rFonts w:cs="Times New Roman"/>
                <w:szCs w:val="24"/>
              </w:rPr>
              <w:t>i</w:t>
            </w:r>
            <w:r w:rsidRPr="006E0A19">
              <w:rPr>
                <w:rFonts w:cs="Times New Roman"/>
                <w:szCs w:val="24"/>
              </w:rPr>
              <w:t>ty if exercise due diligence</w:t>
            </w:r>
            <w:r>
              <w:rPr>
                <w:rFonts w:cs="Times New Roman"/>
                <w:szCs w:val="24"/>
              </w:rPr>
              <w:t xml:space="preserve"> (if, after reasonable investigation, they had reasonable grounds to believe and did believe that the statements therein were true)</w:t>
            </w:r>
            <w:r w:rsidRPr="006E0A19">
              <w:rPr>
                <w:rFonts w:cs="Times New Roman"/>
                <w:szCs w:val="24"/>
              </w:rPr>
              <w:t xml:space="preserve"> - § 11(b)(3)(A</w:t>
            </w:r>
            <w:r>
              <w:rPr>
                <w:rFonts w:cs="Times New Roman"/>
                <w:szCs w:val="24"/>
              </w:rPr>
              <w:t>)</w:t>
            </w:r>
          </w:p>
        </w:tc>
      </w:tr>
      <w:tr w:rsidR="004216B9" w14:paraId="41BF5D60" w14:textId="77777777" w:rsidTr="004216B9">
        <w:trPr>
          <w:trHeight w:val="302"/>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401AA47D" w14:textId="77777777" w:rsidR="004216B9" w:rsidRDefault="004216B9" w:rsidP="004216B9">
            <w:pPr>
              <w:rPr>
                <w:rFonts w:cs="Times New Roman"/>
                <w:szCs w:val="24"/>
              </w:rPr>
            </w:pPr>
          </w:p>
        </w:tc>
        <w:tc>
          <w:tcPr>
            <w:tcW w:w="1514" w:type="dxa"/>
            <w:vMerge w:val="restart"/>
            <w:tcBorders>
              <w:top w:val="single" w:sz="4" w:space="0" w:color="auto"/>
              <w:left w:val="single" w:sz="4" w:space="0" w:color="auto"/>
              <w:bottom w:val="single" w:sz="4" w:space="0" w:color="auto"/>
              <w:right w:val="single" w:sz="4" w:space="0" w:color="auto"/>
            </w:tcBorders>
            <w:vAlign w:val="center"/>
            <w:hideMark/>
          </w:tcPr>
          <w:p w14:paraId="592512D8" w14:textId="77777777" w:rsidR="004216B9" w:rsidRDefault="004216B9" w:rsidP="004216B9">
            <w:pPr>
              <w:jc w:val="center"/>
              <w:rPr>
                <w:rFonts w:cs="Times New Roman"/>
                <w:szCs w:val="24"/>
              </w:rPr>
            </w:pPr>
            <w:r>
              <w:rPr>
                <w:rFonts w:cs="Times New Roman"/>
                <w:szCs w:val="24"/>
              </w:rPr>
              <w:t xml:space="preserve">Expertized Portion </w:t>
            </w:r>
          </w:p>
        </w:tc>
        <w:tc>
          <w:tcPr>
            <w:tcW w:w="1675" w:type="dxa"/>
            <w:tcBorders>
              <w:top w:val="single" w:sz="4" w:space="0" w:color="auto"/>
              <w:left w:val="single" w:sz="4" w:space="0" w:color="auto"/>
              <w:bottom w:val="single" w:sz="4" w:space="0" w:color="auto"/>
              <w:right w:val="single" w:sz="4" w:space="0" w:color="auto"/>
            </w:tcBorders>
            <w:hideMark/>
          </w:tcPr>
          <w:p w14:paraId="7E50D496" w14:textId="77777777" w:rsidR="004216B9" w:rsidRDefault="004216B9" w:rsidP="004216B9">
            <w:pPr>
              <w:rPr>
                <w:rFonts w:cs="Times New Roman"/>
                <w:szCs w:val="24"/>
              </w:rPr>
            </w:pPr>
            <w:r>
              <w:rPr>
                <w:rFonts w:cs="Times New Roman"/>
                <w:szCs w:val="24"/>
              </w:rPr>
              <w:t>Expert</w:t>
            </w:r>
          </w:p>
        </w:tc>
        <w:tc>
          <w:tcPr>
            <w:tcW w:w="6166" w:type="dxa"/>
            <w:tcBorders>
              <w:top w:val="single" w:sz="4" w:space="0" w:color="auto"/>
              <w:left w:val="single" w:sz="4" w:space="0" w:color="auto"/>
              <w:bottom w:val="single" w:sz="4" w:space="0" w:color="auto"/>
              <w:right w:val="single" w:sz="4" w:space="0" w:color="auto"/>
            </w:tcBorders>
            <w:hideMark/>
          </w:tcPr>
          <w:p w14:paraId="7DF882D0" w14:textId="77777777" w:rsidR="004216B9" w:rsidRDefault="004216B9" w:rsidP="004216B9">
            <w:pPr>
              <w:rPr>
                <w:rFonts w:cs="Times New Roman"/>
                <w:szCs w:val="24"/>
              </w:rPr>
            </w:pPr>
            <w:r>
              <w:rPr>
                <w:rFonts w:cs="Times New Roman"/>
                <w:szCs w:val="24"/>
              </w:rPr>
              <w:t>A</w:t>
            </w:r>
            <w:r w:rsidRPr="006E0A19">
              <w:rPr>
                <w:rFonts w:cs="Times New Roman"/>
                <w:szCs w:val="24"/>
              </w:rPr>
              <w:t>void liabil</w:t>
            </w:r>
            <w:r>
              <w:rPr>
                <w:rFonts w:cs="Times New Roman"/>
                <w:szCs w:val="24"/>
              </w:rPr>
              <w:t>i</w:t>
            </w:r>
            <w:r w:rsidRPr="006E0A19">
              <w:rPr>
                <w:rFonts w:cs="Times New Roman"/>
                <w:szCs w:val="24"/>
              </w:rPr>
              <w:t xml:space="preserve">ty if exercise due diligence </w:t>
            </w:r>
            <w:r>
              <w:rPr>
                <w:rFonts w:cs="Times New Roman"/>
                <w:szCs w:val="24"/>
              </w:rPr>
              <w:t>(if, after reasonable investigation, they had reasonable grounds to believe and did believe that the statements therein were true) or registration did not fairly represent his statement</w:t>
            </w:r>
            <w:r w:rsidRPr="006E0A19">
              <w:rPr>
                <w:rFonts w:cs="Times New Roman"/>
                <w:szCs w:val="24"/>
              </w:rPr>
              <w:t xml:space="preserve"> - § 11(b)(3)(B)</w:t>
            </w:r>
          </w:p>
        </w:tc>
      </w:tr>
      <w:tr w:rsidR="004216B9" w14:paraId="1364AD4F" w14:textId="77777777" w:rsidTr="004216B9">
        <w:trPr>
          <w:trHeight w:val="198"/>
        </w:trPr>
        <w:tc>
          <w:tcPr>
            <w:tcW w:w="630" w:type="dxa"/>
            <w:vMerge/>
            <w:tcBorders>
              <w:top w:val="single" w:sz="4" w:space="0" w:color="auto"/>
              <w:left w:val="single" w:sz="4" w:space="0" w:color="auto"/>
              <w:bottom w:val="single" w:sz="4" w:space="0" w:color="auto"/>
              <w:right w:val="single" w:sz="4" w:space="0" w:color="auto"/>
            </w:tcBorders>
            <w:vAlign w:val="center"/>
            <w:hideMark/>
          </w:tcPr>
          <w:p w14:paraId="656DF06F" w14:textId="77777777" w:rsidR="004216B9" w:rsidRDefault="004216B9" w:rsidP="004216B9">
            <w:pPr>
              <w:rPr>
                <w:rFonts w:cs="Times New Roman"/>
                <w:szCs w:val="24"/>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14:paraId="45ADB3E1" w14:textId="77777777" w:rsidR="004216B9" w:rsidRDefault="004216B9" w:rsidP="004216B9">
            <w:pPr>
              <w:rPr>
                <w:rFonts w:cs="Times New Roman"/>
                <w:szCs w:val="24"/>
              </w:rPr>
            </w:pPr>
          </w:p>
        </w:tc>
        <w:tc>
          <w:tcPr>
            <w:tcW w:w="1675" w:type="dxa"/>
            <w:tcBorders>
              <w:top w:val="single" w:sz="4" w:space="0" w:color="auto"/>
              <w:left w:val="single" w:sz="4" w:space="0" w:color="auto"/>
              <w:bottom w:val="single" w:sz="4" w:space="0" w:color="auto"/>
              <w:right w:val="single" w:sz="4" w:space="0" w:color="auto"/>
            </w:tcBorders>
            <w:hideMark/>
          </w:tcPr>
          <w:p w14:paraId="33DAAB9C" w14:textId="77777777" w:rsidR="004216B9" w:rsidRDefault="004216B9" w:rsidP="004216B9">
            <w:pPr>
              <w:rPr>
                <w:rFonts w:cs="Times New Roman"/>
                <w:szCs w:val="24"/>
              </w:rPr>
            </w:pPr>
            <w:r>
              <w:rPr>
                <w:rFonts w:cs="Times New Roman"/>
                <w:szCs w:val="24"/>
              </w:rPr>
              <w:t>Non Expert</w:t>
            </w:r>
          </w:p>
        </w:tc>
        <w:tc>
          <w:tcPr>
            <w:tcW w:w="6166" w:type="dxa"/>
            <w:tcBorders>
              <w:top w:val="single" w:sz="4" w:space="0" w:color="auto"/>
              <w:left w:val="single" w:sz="4" w:space="0" w:color="auto"/>
              <w:bottom w:val="single" w:sz="4" w:space="0" w:color="auto"/>
              <w:right w:val="single" w:sz="4" w:space="0" w:color="auto"/>
            </w:tcBorders>
            <w:hideMark/>
          </w:tcPr>
          <w:p w14:paraId="66F65696" w14:textId="77777777" w:rsidR="004216B9" w:rsidRDefault="004216B9" w:rsidP="004216B9">
            <w:pPr>
              <w:rPr>
                <w:rFonts w:cs="Times New Roman"/>
                <w:szCs w:val="24"/>
              </w:rPr>
            </w:pPr>
            <w:r w:rsidRPr="006E0A19">
              <w:rPr>
                <w:rFonts w:cs="Times New Roman"/>
                <w:szCs w:val="24"/>
              </w:rPr>
              <w:t>Avoid liability if they had no reasonable ground to believe and did not believe that the statements therein were untrue</w:t>
            </w:r>
            <w:r>
              <w:rPr>
                <w:rFonts w:cs="Times New Roman"/>
                <w:szCs w:val="24"/>
              </w:rPr>
              <w:t xml:space="preserve"> or that the registration statement did not fairly represent his statement</w:t>
            </w:r>
            <w:r w:rsidRPr="006E0A19">
              <w:rPr>
                <w:rFonts w:cs="Times New Roman"/>
                <w:szCs w:val="24"/>
              </w:rPr>
              <w:t xml:space="preserve"> - § 11(b)(3)(C)</w:t>
            </w:r>
          </w:p>
        </w:tc>
      </w:tr>
    </w:tbl>
    <w:p w14:paraId="44E108F8" w14:textId="18FF5601" w:rsidR="00626677" w:rsidRPr="00626677" w:rsidRDefault="004216B9" w:rsidP="00E32C83">
      <w:pPr>
        <w:ind w:left="1440"/>
        <w:rPr>
          <w:rFonts w:cs="Times New Roman"/>
          <w:i/>
          <w:szCs w:val="24"/>
        </w:rPr>
      </w:pPr>
      <w:r w:rsidRPr="00626677">
        <w:rPr>
          <w:rFonts w:cs="Times New Roman"/>
          <w:i/>
          <w:szCs w:val="24"/>
        </w:rPr>
        <w:t xml:space="preserve"> </w:t>
      </w:r>
      <w:r w:rsidR="00626677" w:rsidRPr="00626677">
        <w:rPr>
          <w:rFonts w:cs="Times New Roman"/>
          <w:i/>
          <w:szCs w:val="24"/>
        </w:rPr>
        <w:t>(b) Persons exempt from liability upon proof of issues</w:t>
      </w:r>
      <w:r w:rsidR="00626677">
        <w:rPr>
          <w:rFonts w:cs="Times New Roman"/>
          <w:i/>
          <w:szCs w:val="24"/>
        </w:rPr>
        <w:t xml:space="preserve">. </w:t>
      </w:r>
      <w:r w:rsidR="00626677" w:rsidRPr="00626677">
        <w:rPr>
          <w:rFonts w:cs="Times New Roman"/>
          <w:i/>
          <w:szCs w:val="24"/>
        </w:rPr>
        <w:t>Notwithstanding the provisions of subsection (a) no person, other than the issuer, shall be liable as provided therein who shall sustain the burden of proof—</w:t>
      </w:r>
    </w:p>
    <w:p w14:paraId="769C57B9" w14:textId="77777777" w:rsidR="004216B9" w:rsidRDefault="004216B9" w:rsidP="004216B9">
      <w:pPr>
        <w:pStyle w:val="ListParagraph"/>
        <w:ind w:left="1800"/>
        <w:rPr>
          <w:rFonts w:cs="Times New Roman"/>
          <w:sz w:val="24"/>
          <w:szCs w:val="24"/>
        </w:rPr>
      </w:pPr>
      <w:r>
        <w:rPr>
          <w:rFonts w:cs="Times New Roman"/>
          <w:sz w:val="24"/>
          <w:szCs w:val="24"/>
        </w:rPr>
        <w:t>Note: lawyers are non-experts. Experts include accountants, engineers and appraisers</w:t>
      </w:r>
    </w:p>
    <w:p w14:paraId="0821E485" w14:textId="77777777" w:rsidR="00626677" w:rsidRPr="00626677" w:rsidRDefault="00626677" w:rsidP="00E32C83">
      <w:pPr>
        <w:ind w:left="1440"/>
        <w:rPr>
          <w:rFonts w:cs="Times New Roman"/>
          <w:i/>
          <w:szCs w:val="24"/>
        </w:rPr>
      </w:pPr>
    </w:p>
    <w:p w14:paraId="62A38B31" w14:textId="427F2FFF" w:rsidR="00626677" w:rsidRPr="00626677" w:rsidRDefault="004216B9" w:rsidP="00E32C83">
      <w:pPr>
        <w:ind w:left="1440"/>
        <w:rPr>
          <w:rFonts w:cs="Times New Roman"/>
          <w:i/>
          <w:szCs w:val="24"/>
        </w:rPr>
      </w:pPr>
      <w:r w:rsidRPr="00626677">
        <w:rPr>
          <w:rFonts w:cs="Times New Roman"/>
          <w:i/>
          <w:szCs w:val="24"/>
        </w:rPr>
        <w:t xml:space="preserve"> </w:t>
      </w:r>
      <w:r w:rsidR="00626677" w:rsidRPr="00626677">
        <w:rPr>
          <w:rFonts w:cs="Times New Roman"/>
          <w:i/>
          <w:szCs w:val="24"/>
        </w:rPr>
        <w:t>(c) Standard of reasonableness</w:t>
      </w:r>
    </w:p>
    <w:p w14:paraId="371FCC4A" w14:textId="77777777" w:rsidR="00626677" w:rsidRDefault="00626677" w:rsidP="00E32C83">
      <w:pPr>
        <w:ind w:left="1440"/>
        <w:rPr>
          <w:rFonts w:cs="Times New Roman"/>
          <w:i/>
          <w:szCs w:val="24"/>
        </w:rPr>
      </w:pPr>
      <w:r w:rsidRPr="00626677">
        <w:rPr>
          <w:rFonts w:cs="Times New Roman"/>
          <w:i/>
          <w:szCs w:val="24"/>
        </w:rPr>
        <w:t>In determining, for the purpose of paragraph (3) of subsection (b) of this section, what constitutes reasonable investigation and reasonable ground for belief, the standard of reasonableness shall be that required of a prudent man in the management of his own property.</w:t>
      </w:r>
    </w:p>
    <w:p w14:paraId="392F4FE1" w14:textId="53FEE60A" w:rsidR="004216B9" w:rsidRPr="006E0A19" w:rsidRDefault="004216B9" w:rsidP="006E0A19">
      <w:pPr>
        <w:pStyle w:val="ListParagraph"/>
        <w:ind w:left="1800"/>
        <w:rPr>
          <w:rFonts w:cs="Times New Roman"/>
          <w:sz w:val="24"/>
          <w:szCs w:val="24"/>
        </w:rPr>
      </w:pPr>
    </w:p>
    <w:p w14:paraId="498C68D0" w14:textId="08B0F6A4" w:rsidR="00554EA2" w:rsidRPr="004216B9" w:rsidRDefault="004216B9" w:rsidP="00E32C83">
      <w:pPr>
        <w:pStyle w:val="ListParagraph"/>
        <w:numPr>
          <w:ilvl w:val="3"/>
          <w:numId w:val="10"/>
        </w:numPr>
        <w:rPr>
          <w:rFonts w:cs="Times New Roman"/>
          <w:b/>
          <w:sz w:val="24"/>
          <w:szCs w:val="24"/>
        </w:rPr>
      </w:pPr>
      <w:r w:rsidRPr="004216B9">
        <w:rPr>
          <w:rFonts w:cs="Times New Roman"/>
          <w:sz w:val="24"/>
          <w:szCs w:val="24"/>
        </w:rPr>
        <w:lastRenderedPageBreak/>
        <w:t>Material</w:t>
      </w:r>
      <w:r w:rsidR="005856C3">
        <w:rPr>
          <w:rFonts w:cs="Times New Roman"/>
          <w:sz w:val="24"/>
          <w:szCs w:val="24"/>
        </w:rPr>
        <w:t>ity</w:t>
      </w:r>
      <w:r w:rsidRPr="004216B9">
        <w:rPr>
          <w:rFonts w:cs="Times New Roman"/>
          <w:sz w:val="24"/>
          <w:szCs w:val="24"/>
        </w:rPr>
        <w:t xml:space="preserve"> –</w:t>
      </w:r>
      <w:r>
        <w:rPr>
          <w:rFonts w:cs="Times New Roman"/>
          <w:b/>
          <w:i/>
          <w:sz w:val="24"/>
          <w:szCs w:val="24"/>
        </w:rPr>
        <w:t xml:space="preserve"> </w:t>
      </w:r>
      <w:r w:rsidR="00554EA2" w:rsidRPr="004216B9">
        <w:rPr>
          <w:rFonts w:cs="Times New Roman"/>
          <w:b/>
          <w:i/>
          <w:sz w:val="24"/>
          <w:szCs w:val="24"/>
        </w:rPr>
        <w:t xml:space="preserve">Escott v. </w:t>
      </w:r>
      <w:proofErr w:type="spellStart"/>
      <w:r w:rsidR="00554EA2" w:rsidRPr="004216B9">
        <w:rPr>
          <w:rFonts w:cs="Times New Roman"/>
          <w:b/>
          <w:i/>
          <w:sz w:val="24"/>
          <w:szCs w:val="24"/>
        </w:rPr>
        <w:t>BarChris</w:t>
      </w:r>
      <w:proofErr w:type="spellEnd"/>
      <w:r w:rsidR="00554EA2" w:rsidRPr="004216B9">
        <w:rPr>
          <w:rFonts w:cs="Times New Roman"/>
          <w:b/>
          <w:i/>
          <w:sz w:val="24"/>
          <w:szCs w:val="24"/>
        </w:rPr>
        <w:t xml:space="preserve"> Construction Corp. (SDNY 1968)</w:t>
      </w:r>
    </w:p>
    <w:p w14:paraId="27825CE7" w14:textId="28308E4D" w:rsidR="00554EA2" w:rsidRDefault="00626677" w:rsidP="00E32C83">
      <w:pPr>
        <w:pStyle w:val="ListParagraph"/>
        <w:numPr>
          <w:ilvl w:val="4"/>
          <w:numId w:val="10"/>
        </w:numPr>
        <w:rPr>
          <w:rFonts w:cs="Times New Roman"/>
          <w:sz w:val="24"/>
          <w:szCs w:val="24"/>
        </w:rPr>
      </w:pPr>
      <w:r>
        <w:rPr>
          <w:rFonts w:cs="Times New Roman"/>
          <w:sz w:val="24"/>
          <w:szCs w:val="24"/>
        </w:rPr>
        <w:t xml:space="preserve">Synopsis: </w:t>
      </w:r>
      <w:proofErr w:type="spellStart"/>
      <w:r>
        <w:rPr>
          <w:rFonts w:cs="Times New Roman"/>
          <w:sz w:val="24"/>
          <w:szCs w:val="24"/>
        </w:rPr>
        <w:t>BarChris</w:t>
      </w:r>
      <w:proofErr w:type="spellEnd"/>
      <w:r>
        <w:rPr>
          <w:rFonts w:cs="Times New Roman"/>
          <w:sz w:val="24"/>
          <w:szCs w:val="24"/>
        </w:rPr>
        <w:t xml:space="preserve"> made bowling alleys. </w:t>
      </w:r>
      <w:proofErr w:type="spellStart"/>
      <w:r>
        <w:rPr>
          <w:rFonts w:cs="Times New Roman"/>
          <w:sz w:val="24"/>
          <w:szCs w:val="24"/>
        </w:rPr>
        <w:t>BarChris</w:t>
      </w:r>
      <w:proofErr w:type="spellEnd"/>
      <w:r>
        <w:rPr>
          <w:rFonts w:cs="Times New Roman"/>
          <w:sz w:val="24"/>
          <w:szCs w:val="24"/>
        </w:rPr>
        <w:t xml:space="preserve"> found itself short of funds. It issued debentures (unsecured bonds</w:t>
      </w:r>
      <w:r w:rsidR="00F84697">
        <w:rPr>
          <w:rFonts w:cs="Times New Roman"/>
          <w:sz w:val="24"/>
          <w:szCs w:val="24"/>
        </w:rPr>
        <w:t>/subordinated</w:t>
      </w:r>
      <w:r>
        <w:rPr>
          <w:rFonts w:cs="Times New Roman"/>
          <w:sz w:val="24"/>
          <w:szCs w:val="24"/>
        </w:rPr>
        <w:t xml:space="preserve">), but filed for bankruptcy and defaulted. Investors who bought debentures sued under §11 on the grounds that the registration statement hid the firm’s precarious financial straits. Several of the defendants pleaded “due diligence” defenses – yes we missed the inaccuracies, but we had diligently checked it for mistakes – arising under §11 (b). </w:t>
      </w:r>
      <w:r w:rsidR="006E0A19">
        <w:rPr>
          <w:rFonts w:cs="Times New Roman"/>
          <w:sz w:val="24"/>
          <w:szCs w:val="24"/>
        </w:rPr>
        <w:t xml:space="preserve">Court held as to each defendant: </w:t>
      </w:r>
      <w:proofErr w:type="spellStart"/>
      <w:r w:rsidR="006E0A19">
        <w:rPr>
          <w:rFonts w:cs="Times New Roman"/>
          <w:sz w:val="24"/>
          <w:szCs w:val="24"/>
        </w:rPr>
        <w:t>BarChris</w:t>
      </w:r>
      <w:proofErr w:type="spellEnd"/>
      <w:r w:rsidR="006E0A19">
        <w:rPr>
          <w:rFonts w:cs="Times New Roman"/>
          <w:sz w:val="24"/>
          <w:szCs w:val="24"/>
        </w:rPr>
        <w:t xml:space="preserve"> – 11(b) gives issuer no due diligence defenses but </w:t>
      </w:r>
      <w:proofErr w:type="spellStart"/>
      <w:r w:rsidR="006E0A19">
        <w:rPr>
          <w:rFonts w:cs="Times New Roman"/>
          <w:sz w:val="24"/>
          <w:szCs w:val="24"/>
        </w:rPr>
        <w:t>BarChris</w:t>
      </w:r>
      <w:proofErr w:type="spellEnd"/>
      <w:r w:rsidR="006E0A19">
        <w:rPr>
          <w:rFonts w:cs="Times New Roman"/>
          <w:sz w:val="24"/>
          <w:szCs w:val="24"/>
        </w:rPr>
        <w:t xml:space="preserve"> had no money anyway; </w:t>
      </w:r>
      <w:proofErr w:type="spellStart"/>
      <w:r w:rsidR="006E0A19">
        <w:rPr>
          <w:rFonts w:cs="Times New Roman"/>
          <w:sz w:val="24"/>
          <w:szCs w:val="24"/>
        </w:rPr>
        <w:t>BarChris’s</w:t>
      </w:r>
      <w:proofErr w:type="spellEnd"/>
      <w:r w:rsidR="006E0A19">
        <w:rPr>
          <w:rFonts w:cs="Times New Roman"/>
          <w:sz w:val="24"/>
          <w:szCs w:val="24"/>
        </w:rPr>
        <w:t xml:space="preserve"> president and VP </w:t>
      </w:r>
      <w:r w:rsidR="003A75EC">
        <w:rPr>
          <w:rFonts w:cs="Times New Roman"/>
          <w:sz w:val="24"/>
          <w:szCs w:val="24"/>
        </w:rPr>
        <w:t>–</w:t>
      </w:r>
      <w:r w:rsidR="006E0A19">
        <w:rPr>
          <w:rFonts w:cs="Times New Roman"/>
          <w:sz w:val="24"/>
          <w:szCs w:val="24"/>
        </w:rPr>
        <w:t xml:space="preserve"> </w:t>
      </w:r>
      <w:r w:rsidR="003A75EC">
        <w:rPr>
          <w:rFonts w:cs="Times New Roman"/>
          <w:sz w:val="24"/>
          <w:szCs w:val="24"/>
        </w:rPr>
        <w:t xml:space="preserve">lied about not knowing what registration said and education doesn’t matter because directors face minimum standard that if they cannot meet, the should not serve; board members – due diligence defenses don’t apply because didn’t investigate firm enough; accountant – liable only on numbers he certified; lawyer sued as a director – due diligence defense doesn’t apply because didn’t check what he was told, plus more was required of him as corporate counsel in the way of reasonable investigation. </w:t>
      </w:r>
    </w:p>
    <w:p w14:paraId="7BA789A6" w14:textId="77777777" w:rsidR="006E0A19" w:rsidRDefault="006E0A19" w:rsidP="00E32C83">
      <w:pPr>
        <w:pStyle w:val="ListParagraph"/>
        <w:numPr>
          <w:ilvl w:val="4"/>
          <w:numId w:val="10"/>
        </w:numPr>
        <w:rPr>
          <w:rFonts w:cs="Times New Roman"/>
          <w:sz w:val="24"/>
          <w:szCs w:val="24"/>
        </w:rPr>
      </w:pPr>
      <w:r>
        <w:rPr>
          <w:rFonts w:cs="Times New Roman"/>
          <w:sz w:val="24"/>
          <w:szCs w:val="24"/>
        </w:rPr>
        <w:t xml:space="preserve">Tool: </w:t>
      </w:r>
    </w:p>
    <w:p w14:paraId="1D59E9EA" w14:textId="77777777" w:rsidR="002F5104" w:rsidRDefault="006E0A19" w:rsidP="00E32C83">
      <w:pPr>
        <w:pStyle w:val="ListParagraph"/>
        <w:numPr>
          <w:ilvl w:val="5"/>
          <w:numId w:val="10"/>
        </w:numPr>
        <w:rPr>
          <w:rFonts w:cs="Times New Roman"/>
          <w:sz w:val="24"/>
          <w:szCs w:val="24"/>
        </w:rPr>
      </w:pPr>
      <w:r w:rsidRPr="006E0A19">
        <w:rPr>
          <w:rFonts w:cs="Times New Roman"/>
          <w:sz w:val="24"/>
          <w:szCs w:val="24"/>
        </w:rPr>
        <w:t>Materiality – It is a prerequisite to liability under Section 11 of the Securities Act that the fact which is falsely stated in a registration statement, or the fact that is omitted when it should have been stated to avoid misleading, be material. Term “material” limits the information required to those matters as to which an average prudent investor ought reasonably to be informed before purchasing the security registered. Matters as to which an average prudent investor ought reasonably to be informed are those which such an investor needs to know before he can make an intelligent, informed decision whether or not to buy the security.</w:t>
      </w:r>
    </w:p>
    <w:p w14:paraId="111B1DDB" w14:textId="77777777" w:rsidR="002F5104" w:rsidRDefault="002F5104" w:rsidP="00E32C83">
      <w:pPr>
        <w:pStyle w:val="ListParagraph"/>
        <w:numPr>
          <w:ilvl w:val="5"/>
          <w:numId w:val="10"/>
        </w:numPr>
        <w:rPr>
          <w:rFonts w:cs="Times New Roman"/>
          <w:sz w:val="24"/>
          <w:szCs w:val="24"/>
        </w:rPr>
      </w:pPr>
      <w:r>
        <w:rPr>
          <w:rFonts w:cs="Times New Roman"/>
          <w:sz w:val="24"/>
          <w:szCs w:val="24"/>
        </w:rPr>
        <w:t>L</w:t>
      </w:r>
      <w:r w:rsidR="003A75EC" w:rsidRPr="002F5104">
        <w:rPr>
          <w:rFonts w:cs="Times New Roman"/>
          <w:sz w:val="24"/>
          <w:szCs w:val="24"/>
        </w:rPr>
        <w:t xml:space="preserve">awyer could not rely on what the officers told him goes to why some law firms prohibit their partners from serving on client boards. </w:t>
      </w:r>
    </w:p>
    <w:p w14:paraId="6509F6D5" w14:textId="5855092A" w:rsidR="00F84697" w:rsidRPr="002F5104" w:rsidRDefault="00F84697" w:rsidP="00E32C83">
      <w:pPr>
        <w:pStyle w:val="ListParagraph"/>
        <w:numPr>
          <w:ilvl w:val="5"/>
          <w:numId w:val="10"/>
        </w:numPr>
        <w:rPr>
          <w:rFonts w:cs="Times New Roman"/>
          <w:sz w:val="24"/>
          <w:szCs w:val="24"/>
        </w:rPr>
      </w:pPr>
      <w:r w:rsidRPr="002F5104">
        <w:rPr>
          <w:rFonts w:cs="Times New Roman"/>
          <w:sz w:val="24"/>
          <w:szCs w:val="24"/>
        </w:rPr>
        <w:t>Court found lawyers to be non-experts or else everything would fall under expert category.</w:t>
      </w:r>
    </w:p>
    <w:p w14:paraId="68FD5BDE" w14:textId="1D4FF2F3" w:rsidR="00C6367E" w:rsidRDefault="00C6367E" w:rsidP="00703047">
      <w:pPr>
        <w:pStyle w:val="Heading3"/>
        <w:numPr>
          <w:ilvl w:val="1"/>
          <w:numId w:val="10"/>
        </w:numPr>
      </w:pPr>
      <w:r>
        <w:t>Short-Swing Profits</w:t>
      </w:r>
      <w:r w:rsidR="001C28AF">
        <w:t xml:space="preserve"> – 16(b)</w:t>
      </w:r>
    </w:p>
    <w:p w14:paraId="2327898D" w14:textId="56C0A506" w:rsidR="00C6367E" w:rsidRDefault="00E35DE9" w:rsidP="00DE1861">
      <w:pPr>
        <w:pStyle w:val="ListParagraph"/>
        <w:numPr>
          <w:ilvl w:val="2"/>
          <w:numId w:val="10"/>
        </w:numPr>
        <w:rPr>
          <w:rFonts w:cs="Times New Roman"/>
          <w:sz w:val="24"/>
          <w:szCs w:val="24"/>
        </w:rPr>
      </w:pPr>
      <w:r>
        <w:rPr>
          <w:rFonts w:cs="Times New Roman"/>
          <w:sz w:val="24"/>
          <w:szCs w:val="24"/>
        </w:rPr>
        <w:t>1934 Exchange Act</w:t>
      </w:r>
    </w:p>
    <w:p w14:paraId="69F77E99" w14:textId="4B2D67EA" w:rsidR="00E35DE9" w:rsidRDefault="00E35DE9" w:rsidP="00E35DE9">
      <w:pPr>
        <w:pStyle w:val="ListParagraph"/>
        <w:numPr>
          <w:ilvl w:val="3"/>
          <w:numId w:val="10"/>
        </w:numPr>
        <w:rPr>
          <w:rFonts w:cs="Times New Roman"/>
          <w:sz w:val="24"/>
          <w:szCs w:val="24"/>
        </w:rPr>
      </w:pPr>
      <w:r>
        <w:rPr>
          <w:rFonts w:cs="Times New Roman"/>
          <w:sz w:val="24"/>
          <w:szCs w:val="24"/>
        </w:rPr>
        <w:t xml:space="preserve">§ 16 (b): “For the purpose of preventing the unfair use of information which may have been obtained by such beneficial owner, director, or officer…, any profit realized by him from any purchase and sale, or any sale and purchase, of any equity security…within any period of less than six months,…shall inure to and be recoverable by the issuer…This subsection shall not be construed to cover any transaction where such beneficial owner was not such </w:t>
      </w:r>
      <w:r w:rsidRPr="00327261">
        <w:rPr>
          <w:rFonts w:cs="Times New Roman"/>
          <w:sz w:val="24"/>
          <w:szCs w:val="24"/>
          <w:u w:val="single"/>
        </w:rPr>
        <w:t>both at the time of the purchase and sale, or the sale and purchase</w:t>
      </w:r>
      <w:r>
        <w:rPr>
          <w:rFonts w:cs="Times New Roman"/>
          <w:sz w:val="24"/>
          <w:szCs w:val="24"/>
        </w:rPr>
        <w:t>, of the security…</w:t>
      </w:r>
    </w:p>
    <w:p w14:paraId="27F84C55" w14:textId="4C31C94B" w:rsidR="00E35DE9" w:rsidRDefault="00E35DE9" w:rsidP="00E35DE9">
      <w:pPr>
        <w:pStyle w:val="ListParagraph"/>
        <w:numPr>
          <w:ilvl w:val="3"/>
          <w:numId w:val="10"/>
        </w:numPr>
        <w:rPr>
          <w:rFonts w:cs="Times New Roman"/>
          <w:sz w:val="24"/>
          <w:szCs w:val="24"/>
        </w:rPr>
      </w:pPr>
      <w:r>
        <w:rPr>
          <w:rFonts w:cs="Times New Roman"/>
          <w:sz w:val="24"/>
          <w:szCs w:val="24"/>
        </w:rPr>
        <w:t xml:space="preserve">§16(a) defines “beneficial owner” as a person who owned “more than 10 per centum of any class of any equity security…which is registered pursuant to section 12 of [the 1934 Securities Exchange Act]. </w:t>
      </w:r>
    </w:p>
    <w:p w14:paraId="3ECE0C5B" w14:textId="39A1FC91" w:rsidR="00327261" w:rsidRDefault="00327261" w:rsidP="00DE1861">
      <w:pPr>
        <w:pStyle w:val="ListParagraph"/>
        <w:numPr>
          <w:ilvl w:val="2"/>
          <w:numId w:val="10"/>
        </w:numPr>
        <w:rPr>
          <w:rFonts w:cs="Times New Roman"/>
          <w:sz w:val="24"/>
          <w:szCs w:val="24"/>
        </w:rPr>
      </w:pPr>
      <w:r>
        <w:rPr>
          <w:rFonts w:cs="Times New Roman"/>
          <w:sz w:val="24"/>
          <w:szCs w:val="24"/>
        </w:rPr>
        <w:t>Steps</w:t>
      </w:r>
      <w:r w:rsidR="00E32C83">
        <w:rPr>
          <w:rFonts w:cs="Times New Roman"/>
          <w:sz w:val="24"/>
          <w:szCs w:val="24"/>
        </w:rPr>
        <w:t xml:space="preserve"> </w:t>
      </w:r>
    </w:p>
    <w:p w14:paraId="4BDB9726" w14:textId="16631E1F" w:rsidR="00327261" w:rsidRPr="00E32C83" w:rsidRDefault="00327261" w:rsidP="00E32C83">
      <w:pPr>
        <w:pStyle w:val="ListParagraph"/>
        <w:numPr>
          <w:ilvl w:val="3"/>
          <w:numId w:val="10"/>
        </w:numPr>
        <w:rPr>
          <w:rFonts w:cs="Times New Roman"/>
          <w:sz w:val="24"/>
          <w:szCs w:val="24"/>
        </w:rPr>
      </w:pPr>
      <w:r w:rsidRPr="00327261">
        <w:rPr>
          <w:rFonts w:cs="Times New Roman"/>
          <w:sz w:val="24"/>
          <w:szCs w:val="24"/>
        </w:rPr>
        <w:t xml:space="preserve">Is this company subject to 16b? </w:t>
      </w:r>
      <w:r w:rsidRPr="00E32C83">
        <w:rPr>
          <w:rFonts w:cs="Times New Roman"/>
          <w:sz w:val="24"/>
          <w:szCs w:val="24"/>
        </w:rPr>
        <w:t>Have to register under 34 Act (very large</w:t>
      </w:r>
      <w:r w:rsidR="00E32C83">
        <w:rPr>
          <w:rFonts w:cs="Times New Roman"/>
          <w:sz w:val="24"/>
          <w:szCs w:val="24"/>
        </w:rPr>
        <w:t xml:space="preserve"> - those with at least $10 million in assets and 500 shareholders</w:t>
      </w:r>
      <w:r w:rsidRPr="00E32C83">
        <w:rPr>
          <w:rFonts w:cs="Times New Roman"/>
          <w:sz w:val="24"/>
          <w:szCs w:val="24"/>
        </w:rPr>
        <w:t>)</w:t>
      </w:r>
      <w:r w:rsidR="00E32C83">
        <w:rPr>
          <w:rFonts w:cs="Times New Roman"/>
          <w:sz w:val="24"/>
          <w:szCs w:val="24"/>
        </w:rPr>
        <w:t xml:space="preserve"> and t</w:t>
      </w:r>
      <w:r w:rsidRPr="00E32C83">
        <w:rPr>
          <w:rFonts w:cs="Times New Roman"/>
          <w:sz w:val="24"/>
          <w:szCs w:val="24"/>
        </w:rPr>
        <w:t>raded on national exchange</w:t>
      </w:r>
      <w:r w:rsidR="000E35DF">
        <w:rPr>
          <w:rFonts w:cs="Times New Roman"/>
          <w:sz w:val="24"/>
          <w:szCs w:val="24"/>
        </w:rPr>
        <w:t>.</w:t>
      </w:r>
    </w:p>
    <w:p w14:paraId="42426359" w14:textId="18A12136" w:rsidR="00327261" w:rsidRPr="000E35DF" w:rsidRDefault="00327261" w:rsidP="000E35DF">
      <w:pPr>
        <w:pStyle w:val="ListParagraph"/>
        <w:numPr>
          <w:ilvl w:val="3"/>
          <w:numId w:val="10"/>
        </w:numPr>
        <w:rPr>
          <w:rFonts w:cs="Times New Roman"/>
          <w:sz w:val="24"/>
          <w:szCs w:val="24"/>
        </w:rPr>
      </w:pPr>
      <w:r w:rsidRPr="000E35DF">
        <w:rPr>
          <w:rFonts w:cs="Times New Roman"/>
          <w:sz w:val="24"/>
          <w:szCs w:val="24"/>
        </w:rPr>
        <w:t>Is it equity security?</w:t>
      </w:r>
      <w:r w:rsidR="000E35DF" w:rsidRPr="000E35DF">
        <w:rPr>
          <w:rFonts w:cs="Times New Roman"/>
          <w:sz w:val="24"/>
          <w:szCs w:val="24"/>
        </w:rPr>
        <w:t xml:space="preserve"> Section 16(b) applies only to trades in equity securities: stock, convertible debt, and options to buy and sell stock and convertible debt.</w:t>
      </w:r>
    </w:p>
    <w:p w14:paraId="07EA1F4F" w14:textId="68F86178" w:rsidR="00327261" w:rsidRPr="000E35DF" w:rsidRDefault="00327261" w:rsidP="000E35DF">
      <w:pPr>
        <w:pStyle w:val="ListParagraph"/>
        <w:numPr>
          <w:ilvl w:val="3"/>
          <w:numId w:val="10"/>
        </w:numPr>
        <w:rPr>
          <w:rFonts w:cs="Times New Roman"/>
          <w:sz w:val="24"/>
          <w:szCs w:val="24"/>
        </w:rPr>
      </w:pPr>
      <w:r w:rsidRPr="000E35DF">
        <w:rPr>
          <w:rFonts w:cs="Times New Roman"/>
          <w:sz w:val="24"/>
          <w:szCs w:val="24"/>
        </w:rPr>
        <w:t>Is there a purchase or sale within 6 month period?</w:t>
      </w:r>
      <w:r w:rsidR="000E35DF" w:rsidRPr="000E35DF">
        <w:rPr>
          <w:rFonts w:cs="Times New Roman"/>
          <w:sz w:val="24"/>
          <w:szCs w:val="24"/>
        </w:rPr>
        <w:t xml:space="preserve"> </w:t>
      </w:r>
      <w:r w:rsidR="000E35DF">
        <w:rPr>
          <w:rFonts w:cs="Times New Roman"/>
          <w:sz w:val="24"/>
          <w:szCs w:val="24"/>
        </w:rPr>
        <w:t>F</w:t>
      </w:r>
      <w:r w:rsidR="000E35DF" w:rsidRPr="000E35DF">
        <w:rPr>
          <w:rFonts w:cs="Times New Roman"/>
          <w:sz w:val="24"/>
          <w:szCs w:val="24"/>
        </w:rPr>
        <w:t xml:space="preserve">irms may recover only those gains on </w:t>
      </w:r>
      <w:r w:rsidR="000E35DF" w:rsidRPr="003B3831">
        <w:rPr>
          <w:rFonts w:cs="Times New Roman"/>
          <w:sz w:val="24"/>
          <w:szCs w:val="24"/>
          <w:u w:val="single"/>
        </w:rPr>
        <w:t>matching</w:t>
      </w:r>
      <w:r w:rsidR="000E35DF" w:rsidRPr="000E35DF">
        <w:rPr>
          <w:rFonts w:cs="Times New Roman"/>
          <w:sz w:val="24"/>
          <w:szCs w:val="24"/>
        </w:rPr>
        <w:t xml:space="preserve"> pairs of purchases and sales that occur within six months.</w:t>
      </w:r>
    </w:p>
    <w:p w14:paraId="3BBFC23C" w14:textId="5A5B30D6" w:rsidR="00327261" w:rsidRDefault="00327261" w:rsidP="00327261">
      <w:pPr>
        <w:pStyle w:val="ListParagraph"/>
        <w:numPr>
          <w:ilvl w:val="3"/>
          <w:numId w:val="10"/>
        </w:numPr>
        <w:rPr>
          <w:rFonts w:cs="Times New Roman"/>
          <w:sz w:val="24"/>
          <w:szCs w:val="24"/>
        </w:rPr>
      </w:pPr>
      <w:r w:rsidRPr="00327261">
        <w:rPr>
          <w:rFonts w:cs="Times New Roman"/>
          <w:sz w:val="24"/>
          <w:szCs w:val="24"/>
        </w:rPr>
        <w:t xml:space="preserve">Do you have a </w:t>
      </w:r>
      <w:r w:rsidR="000E35DF">
        <w:rPr>
          <w:rFonts w:cs="Times New Roman"/>
          <w:sz w:val="24"/>
          <w:szCs w:val="24"/>
        </w:rPr>
        <w:t>specified insider</w:t>
      </w:r>
      <w:r w:rsidRPr="00327261">
        <w:rPr>
          <w:rFonts w:cs="Times New Roman"/>
          <w:sz w:val="24"/>
          <w:szCs w:val="24"/>
        </w:rPr>
        <w:t xml:space="preserve">? Need to be one of these in beginning of first of transactions in 6 month period. </w:t>
      </w:r>
    </w:p>
    <w:p w14:paraId="26DC3D65" w14:textId="77777777" w:rsidR="000E35DF" w:rsidRPr="000E35DF" w:rsidRDefault="000E35DF" w:rsidP="000E35DF">
      <w:pPr>
        <w:pStyle w:val="ListParagraph"/>
        <w:numPr>
          <w:ilvl w:val="4"/>
          <w:numId w:val="10"/>
        </w:numPr>
        <w:rPr>
          <w:rFonts w:cs="Times New Roman"/>
          <w:sz w:val="24"/>
          <w:szCs w:val="24"/>
        </w:rPr>
      </w:pPr>
      <w:r w:rsidRPr="000E35DF">
        <w:rPr>
          <w:rFonts w:cs="Times New Roman"/>
          <w:sz w:val="24"/>
          <w:szCs w:val="24"/>
        </w:rPr>
        <w:t>Directors – members of the board</w:t>
      </w:r>
    </w:p>
    <w:p w14:paraId="6A2C25C1" w14:textId="77777777" w:rsidR="000E35DF" w:rsidRPr="000E35DF" w:rsidRDefault="000E35DF" w:rsidP="000E35DF">
      <w:pPr>
        <w:pStyle w:val="ListParagraph"/>
        <w:numPr>
          <w:ilvl w:val="4"/>
          <w:numId w:val="10"/>
        </w:numPr>
        <w:rPr>
          <w:rFonts w:cs="Times New Roman"/>
          <w:sz w:val="24"/>
          <w:szCs w:val="24"/>
        </w:rPr>
      </w:pPr>
      <w:r w:rsidRPr="000E35DF">
        <w:rPr>
          <w:rFonts w:cs="Times New Roman"/>
          <w:sz w:val="24"/>
          <w:szCs w:val="24"/>
        </w:rPr>
        <w:lastRenderedPageBreak/>
        <w:t xml:space="preserve">Officers – firm’s president, principal financial officer, principal accounting officer, any vice-president in charge of a principal business unit, division, or function, and other officer who performs a policy-making function. </w:t>
      </w:r>
    </w:p>
    <w:p w14:paraId="318C582D" w14:textId="71BB172C" w:rsidR="000E35DF" w:rsidRDefault="000E35DF" w:rsidP="000E35DF">
      <w:pPr>
        <w:pStyle w:val="ListParagraph"/>
        <w:numPr>
          <w:ilvl w:val="4"/>
          <w:numId w:val="10"/>
        </w:numPr>
        <w:rPr>
          <w:rFonts w:cs="Times New Roman"/>
          <w:sz w:val="24"/>
          <w:szCs w:val="24"/>
        </w:rPr>
      </w:pPr>
      <w:r w:rsidRPr="000E35DF">
        <w:rPr>
          <w:rFonts w:cs="Times New Roman"/>
          <w:sz w:val="24"/>
          <w:szCs w:val="24"/>
        </w:rPr>
        <w:t>Holders of more than 10% of the firm’s stock</w:t>
      </w:r>
      <w:r w:rsidR="001811FB">
        <w:rPr>
          <w:rFonts w:cs="Times New Roman"/>
          <w:sz w:val="24"/>
          <w:szCs w:val="24"/>
        </w:rPr>
        <w:t xml:space="preserve"> </w:t>
      </w:r>
    </w:p>
    <w:p w14:paraId="7B21B5EE" w14:textId="415B9E0E" w:rsidR="00327261" w:rsidRDefault="000E35DF" w:rsidP="000E35DF">
      <w:pPr>
        <w:pStyle w:val="ListParagraph"/>
        <w:numPr>
          <w:ilvl w:val="5"/>
          <w:numId w:val="10"/>
        </w:numPr>
        <w:rPr>
          <w:rFonts w:cs="Times New Roman"/>
          <w:sz w:val="24"/>
          <w:szCs w:val="24"/>
        </w:rPr>
      </w:pPr>
      <w:r>
        <w:rPr>
          <w:rFonts w:cs="Times New Roman"/>
          <w:sz w:val="24"/>
          <w:szCs w:val="24"/>
        </w:rPr>
        <w:t xml:space="preserve">Have to be 10% </w:t>
      </w:r>
      <w:r w:rsidR="00327261" w:rsidRPr="000E35DF">
        <w:rPr>
          <w:rFonts w:cs="Times New Roman"/>
          <w:sz w:val="24"/>
          <w:szCs w:val="24"/>
        </w:rPr>
        <w:t xml:space="preserve">shareholder immediately prior to </w:t>
      </w:r>
      <w:r w:rsidR="001811FB">
        <w:rPr>
          <w:rFonts w:cs="Times New Roman"/>
          <w:sz w:val="24"/>
          <w:szCs w:val="24"/>
        </w:rPr>
        <w:t xml:space="preserve">purchase </w:t>
      </w:r>
      <w:r w:rsidR="001811FB" w:rsidRPr="003275BF">
        <w:rPr>
          <w:rFonts w:cs="Times New Roman"/>
          <w:sz w:val="24"/>
          <w:szCs w:val="24"/>
          <w:u w:val="single"/>
        </w:rPr>
        <w:t>and</w:t>
      </w:r>
      <w:r w:rsidR="001811FB">
        <w:rPr>
          <w:rFonts w:cs="Times New Roman"/>
          <w:sz w:val="24"/>
          <w:szCs w:val="24"/>
        </w:rPr>
        <w:t xml:space="preserve"> sale. </w:t>
      </w:r>
      <w:r w:rsidR="001811FB" w:rsidRPr="001811FB">
        <w:rPr>
          <w:rFonts w:cs="Times New Roman"/>
          <w:i/>
          <w:sz w:val="24"/>
          <w:szCs w:val="24"/>
        </w:rPr>
        <w:t>See Reliance</w:t>
      </w:r>
      <w:r w:rsidR="001811FB">
        <w:rPr>
          <w:rFonts w:cs="Times New Roman"/>
          <w:sz w:val="24"/>
          <w:szCs w:val="24"/>
        </w:rPr>
        <w:t xml:space="preserve"> and </w:t>
      </w:r>
      <w:r w:rsidR="001811FB" w:rsidRPr="001811FB">
        <w:rPr>
          <w:rFonts w:cs="Times New Roman"/>
          <w:i/>
          <w:sz w:val="24"/>
          <w:szCs w:val="24"/>
        </w:rPr>
        <w:t>Foremost</w:t>
      </w:r>
      <w:r w:rsidR="001811FB">
        <w:rPr>
          <w:rFonts w:cs="Times New Roman"/>
          <w:sz w:val="24"/>
          <w:szCs w:val="24"/>
        </w:rPr>
        <w:t>.</w:t>
      </w:r>
    </w:p>
    <w:p w14:paraId="02C67753" w14:textId="1BBD1554" w:rsidR="000E35DF" w:rsidRPr="000E35DF" w:rsidRDefault="000E35DF" w:rsidP="000E35DF">
      <w:pPr>
        <w:pStyle w:val="ListParagraph"/>
        <w:numPr>
          <w:ilvl w:val="5"/>
          <w:numId w:val="10"/>
        </w:numPr>
        <w:rPr>
          <w:rFonts w:cs="Times New Roman"/>
          <w:sz w:val="24"/>
          <w:szCs w:val="24"/>
        </w:rPr>
      </w:pPr>
      <w:r>
        <w:rPr>
          <w:rFonts w:cs="Times New Roman"/>
          <w:sz w:val="24"/>
          <w:szCs w:val="24"/>
        </w:rPr>
        <w:t>C</w:t>
      </w:r>
      <w:r w:rsidRPr="000E35DF">
        <w:rPr>
          <w:rFonts w:cs="Times New Roman"/>
          <w:sz w:val="24"/>
          <w:szCs w:val="24"/>
        </w:rPr>
        <w:t xml:space="preserve">ourts examine each class of equity security separately. If an investor holds more than 10 percent of any one class, he is then liable on matching transactions within any (including any other) class. Courts do not match purchases and sales across classes. </w:t>
      </w:r>
    </w:p>
    <w:p w14:paraId="7E2BCF17" w14:textId="7C59F299" w:rsidR="000E35DF" w:rsidRDefault="000E35DF" w:rsidP="000E35DF">
      <w:pPr>
        <w:pStyle w:val="ListParagraph"/>
        <w:numPr>
          <w:ilvl w:val="3"/>
          <w:numId w:val="10"/>
        </w:numPr>
        <w:rPr>
          <w:rFonts w:cs="Times New Roman"/>
          <w:sz w:val="24"/>
          <w:szCs w:val="24"/>
        </w:rPr>
      </w:pPr>
      <w:r>
        <w:rPr>
          <w:rFonts w:cs="Times New Roman"/>
          <w:sz w:val="24"/>
          <w:szCs w:val="24"/>
        </w:rPr>
        <w:t xml:space="preserve">What is the recovery to the firm? </w:t>
      </w:r>
    </w:p>
    <w:p w14:paraId="40A5C86C" w14:textId="71B4B105" w:rsidR="000E35DF" w:rsidRPr="000E35DF" w:rsidRDefault="000E35DF" w:rsidP="000E35DF">
      <w:pPr>
        <w:pStyle w:val="ListParagraph"/>
        <w:numPr>
          <w:ilvl w:val="4"/>
          <w:numId w:val="10"/>
        </w:numPr>
        <w:rPr>
          <w:rFonts w:cs="Times New Roman"/>
          <w:sz w:val="24"/>
          <w:szCs w:val="24"/>
        </w:rPr>
      </w:pPr>
      <w:r>
        <w:rPr>
          <w:rFonts w:cs="Times New Roman"/>
          <w:sz w:val="24"/>
          <w:szCs w:val="24"/>
        </w:rPr>
        <w:t>T</w:t>
      </w:r>
      <w:r w:rsidRPr="000E35DF">
        <w:rPr>
          <w:rFonts w:cs="Times New Roman"/>
          <w:sz w:val="24"/>
          <w:szCs w:val="24"/>
        </w:rPr>
        <w:t xml:space="preserve">raders disgorge their profits to the firm. If a corporation will not sue to recover § 16(b) profits, shareholders may file a derivative suit on its behalf. </w:t>
      </w:r>
    </w:p>
    <w:p w14:paraId="73AE463B" w14:textId="04D7073B" w:rsidR="000E35DF" w:rsidRDefault="000E35DF" w:rsidP="000E35DF">
      <w:pPr>
        <w:pStyle w:val="ListParagraph"/>
        <w:numPr>
          <w:ilvl w:val="4"/>
          <w:numId w:val="10"/>
        </w:numPr>
        <w:rPr>
          <w:rFonts w:cs="Times New Roman"/>
          <w:sz w:val="24"/>
          <w:szCs w:val="24"/>
        </w:rPr>
      </w:pPr>
      <w:r>
        <w:rPr>
          <w:rFonts w:cs="Times New Roman"/>
          <w:sz w:val="24"/>
          <w:szCs w:val="24"/>
        </w:rPr>
        <w:t>C</w:t>
      </w:r>
      <w:r w:rsidRPr="000E35DF">
        <w:rPr>
          <w:rFonts w:cs="Times New Roman"/>
          <w:sz w:val="24"/>
          <w:szCs w:val="24"/>
        </w:rPr>
        <w:t>overs low-priced purchases followed by higher-priced sales along with high-priced sales followed by low-priced purchases.</w:t>
      </w:r>
    </w:p>
    <w:p w14:paraId="1BB8001A" w14:textId="00E48065" w:rsidR="000E35DF" w:rsidRDefault="000E35DF" w:rsidP="000E35DF">
      <w:pPr>
        <w:pStyle w:val="ListParagraph"/>
        <w:numPr>
          <w:ilvl w:val="4"/>
          <w:numId w:val="10"/>
        </w:numPr>
        <w:rPr>
          <w:rFonts w:cs="Times New Roman"/>
          <w:sz w:val="24"/>
          <w:szCs w:val="24"/>
        </w:rPr>
      </w:pPr>
      <w:r>
        <w:rPr>
          <w:rFonts w:cs="Times New Roman"/>
          <w:sz w:val="24"/>
          <w:szCs w:val="24"/>
        </w:rPr>
        <w:t>P</w:t>
      </w:r>
      <w:r w:rsidRPr="000E35DF">
        <w:rPr>
          <w:rFonts w:cs="Times New Roman"/>
          <w:sz w:val="24"/>
          <w:szCs w:val="24"/>
        </w:rPr>
        <w:t>air whichever transactions (</w:t>
      </w:r>
      <w:r>
        <w:rPr>
          <w:rFonts w:cs="Times New Roman"/>
          <w:sz w:val="24"/>
          <w:szCs w:val="24"/>
        </w:rPr>
        <w:t>within</w:t>
      </w:r>
      <w:r w:rsidRPr="000E35DF">
        <w:rPr>
          <w:rFonts w:cs="Times New Roman"/>
          <w:sz w:val="24"/>
          <w:szCs w:val="24"/>
        </w:rPr>
        <w:t xml:space="preserve"> a given stock class) within a six-month window maximize the amount he owes. Ignore purchases that cannot be matched with a higher-priced sale and sales that cannot be matched with a lower-priced purchase. Courts ignore whether the investor lost money over the period as a whole. </w:t>
      </w:r>
    </w:p>
    <w:p w14:paraId="2D815CE4" w14:textId="77777777" w:rsidR="000E35DF" w:rsidRPr="000E35DF" w:rsidRDefault="000E35DF" w:rsidP="000E35DF">
      <w:pPr>
        <w:pStyle w:val="ListParagraph"/>
        <w:numPr>
          <w:ilvl w:val="4"/>
          <w:numId w:val="10"/>
        </w:numPr>
        <w:rPr>
          <w:rFonts w:cs="Times New Roman"/>
          <w:sz w:val="24"/>
          <w:szCs w:val="24"/>
        </w:rPr>
      </w:pPr>
      <w:r w:rsidRPr="000E35DF">
        <w:rPr>
          <w:rFonts w:cs="Times New Roman"/>
          <w:sz w:val="24"/>
          <w:szCs w:val="24"/>
        </w:rPr>
        <w:t xml:space="preserve">The acquisition of an option to buy or sell has the same effect as the purchase or sale of the underlying stock. Courts can thus pair the purchase of an option to buy with either a matching sale of the stock itself or an offsetting option to sell. </w:t>
      </w:r>
    </w:p>
    <w:p w14:paraId="29923106" w14:textId="5C6530F4" w:rsidR="005C347B" w:rsidRPr="000E35DF" w:rsidRDefault="000E35DF" w:rsidP="000E35DF">
      <w:pPr>
        <w:pStyle w:val="ListParagraph"/>
        <w:numPr>
          <w:ilvl w:val="4"/>
          <w:numId w:val="10"/>
        </w:numPr>
        <w:rPr>
          <w:rFonts w:cs="Times New Roman"/>
          <w:sz w:val="24"/>
          <w:szCs w:val="24"/>
        </w:rPr>
      </w:pPr>
      <w:r w:rsidRPr="000E35DF">
        <w:rPr>
          <w:rFonts w:cs="Times New Roman"/>
          <w:sz w:val="24"/>
          <w:szCs w:val="24"/>
        </w:rPr>
        <w:t xml:space="preserve">Both derivative securities and the underlying securities to which they relate shall be deemed to be the same class of equity securities. </w:t>
      </w:r>
    </w:p>
    <w:p w14:paraId="6DCDC9DD" w14:textId="56C09A0F" w:rsidR="005645F0" w:rsidRPr="001811FB" w:rsidRDefault="005645F0" w:rsidP="001811FB">
      <w:pPr>
        <w:pStyle w:val="ListParagraph"/>
        <w:numPr>
          <w:ilvl w:val="2"/>
          <w:numId w:val="10"/>
        </w:numPr>
        <w:rPr>
          <w:rFonts w:cs="Times New Roman"/>
          <w:b/>
          <w:i/>
          <w:sz w:val="24"/>
          <w:szCs w:val="24"/>
        </w:rPr>
      </w:pPr>
      <w:r w:rsidRPr="001811FB">
        <w:rPr>
          <w:rFonts w:cs="Times New Roman"/>
          <w:b/>
          <w:i/>
          <w:sz w:val="24"/>
          <w:szCs w:val="24"/>
        </w:rPr>
        <w:t>Reliance Electric Co. v. Emerson Electric Co. (US 1972)</w:t>
      </w:r>
    </w:p>
    <w:p w14:paraId="35E31D7F" w14:textId="31D35AFE" w:rsidR="005645F0" w:rsidRDefault="005645F0" w:rsidP="001811FB">
      <w:pPr>
        <w:pStyle w:val="ListParagraph"/>
        <w:numPr>
          <w:ilvl w:val="3"/>
          <w:numId w:val="10"/>
        </w:numPr>
        <w:rPr>
          <w:rFonts w:cs="Times New Roman"/>
          <w:sz w:val="24"/>
          <w:szCs w:val="24"/>
        </w:rPr>
      </w:pPr>
      <w:r>
        <w:rPr>
          <w:rFonts w:cs="Times New Roman"/>
          <w:sz w:val="24"/>
          <w:szCs w:val="24"/>
        </w:rPr>
        <w:t>Synopsis: Emerson Electric bought 13.2% of the stock of Dodge through a tender offer and Dodge then negotiated a defensive merger into its ally, Reliance Electric. Faced with the prospect of becoming a minority shareholder in a firm it could not control, Emerson negotiated a pair of sales: one that took its holdings barely below 10% and another that disposed of the rest. SCOTUS found that Emerson was not a 10% shareholder at the time of its second sale so it was subject to § 16(b) only on the first sale.</w:t>
      </w:r>
    </w:p>
    <w:p w14:paraId="3A546923" w14:textId="169FD049" w:rsidR="005645F0" w:rsidRDefault="005645F0" w:rsidP="001811FB">
      <w:pPr>
        <w:pStyle w:val="ListParagraph"/>
        <w:numPr>
          <w:ilvl w:val="3"/>
          <w:numId w:val="10"/>
        </w:numPr>
        <w:rPr>
          <w:rFonts w:cs="Times New Roman"/>
          <w:sz w:val="24"/>
          <w:szCs w:val="24"/>
        </w:rPr>
      </w:pPr>
      <w:r>
        <w:rPr>
          <w:rFonts w:cs="Times New Roman"/>
          <w:sz w:val="24"/>
          <w:szCs w:val="24"/>
        </w:rPr>
        <w:t>Tool:</w:t>
      </w:r>
    </w:p>
    <w:p w14:paraId="6970B1F4" w14:textId="77777777" w:rsidR="005645F0" w:rsidRPr="005645F0" w:rsidRDefault="005645F0" w:rsidP="001811FB">
      <w:pPr>
        <w:pStyle w:val="ListParagraph"/>
        <w:numPr>
          <w:ilvl w:val="4"/>
          <w:numId w:val="10"/>
        </w:numPr>
        <w:rPr>
          <w:rFonts w:cs="Times New Roman"/>
          <w:sz w:val="24"/>
          <w:szCs w:val="24"/>
        </w:rPr>
      </w:pPr>
      <w:r w:rsidRPr="005645F0">
        <w:rPr>
          <w:rFonts w:cs="Times New Roman"/>
          <w:sz w:val="24"/>
          <w:szCs w:val="24"/>
        </w:rPr>
        <w:t>Section 16(b) of the Securities Exchange Act of 1934: a corporation may recover for itself the profits realized by an owner of more than 10% of its shares from a purchase and sale of its stock within any six-month period, provided that the owner held more than 10% both at the time of the purchase and sale.</w:t>
      </w:r>
    </w:p>
    <w:p w14:paraId="535247F8" w14:textId="69FA1DA7" w:rsidR="005645F0" w:rsidRDefault="005645F0" w:rsidP="001811FB">
      <w:pPr>
        <w:pStyle w:val="ListParagraph"/>
        <w:numPr>
          <w:ilvl w:val="4"/>
          <w:numId w:val="10"/>
        </w:numPr>
        <w:rPr>
          <w:rFonts w:cs="Times New Roman"/>
          <w:sz w:val="24"/>
          <w:szCs w:val="24"/>
        </w:rPr>
      </w:pPr>
      <w:r w:rsidRPr="005645F0">
        <w:rPr>
          <w:rFonts w:cs="Times New Roman"/>
          <w:sz w:val="24"/>
          <w:szCs w:val="24"/>
        </w:rPr>
        <w:t>A company can split its sale of shares into more than one part to reduce their holdings under the statutory minimum percentage of shares (10%) to reduce their liability under Section 16(b).</w:t>
      </w:r>
    </w:p>
    <w:p w14:paraId="3B508681" w14:textId="6E0134AA" w:rsidR="005645F0" w:rsidRDefault="005645F0" w:rsidP="001811FB">
      <w:pPr>
        <w:pStyle w:val="ListParagraph"/>
        <w:numPr>
          <w:ilvl w:val="3"/>
          <w:numId w:val="10"/>
        </w:numPr>
        <w:rPr>
          <w:rFonts w:cs="Times New Roman"/>
          <w:sz w:val="24"/>
          <w:szCs w:val="24"/>
        </w:rPr>
      </w:pPr>
      <w:r>
        <w:rPr>
          <w:rFonts w:cs="Times New Roman"/>
          <w:sz w:val="24"/>
          <w:szCs w:val="24"/>
        </w:rPr>
        <w:t xml:space="preserve">Note: Emerson should not have fallen under 16(b) at all because it did not own any stock before its tender offer. But, Emerson didn’t want to appear greedy so didn’t argue this point. </w:t>
      </w:r>
    </w:p>
    <w:p w14:paraId="3B5DC4CA" w14:textId="7B8A8A09" w:rsidR="005645F0" w:rsidRPr="001811FB" w:rsidRDefault="005645F0" w:rsidP="001811FB">
      <w:pPr>
        <w:pStyle w:val="ListParagraph"/>
        <w:numPr>
          <w:ilvl w:val="2"/>
          <w:numId w:val="10"/>
        </w:numPr>
        <w:rPr>
          <w:rFonts w:cs="Times New Roman"/>
          <w:b/>
          <w:i/>
          <w:sz w:val="24"/>
          <w:szCs w:val="24"/>
        </w:rPr>
      </w:pPr>
      <w:r w:rsidRPr="001811FB">
        <w:rPr>
          <w:rFonts w:cs="Times New Roman"/>
          <w:b/>
          <w:i/>
          <w:sz w:val="24"/>
          <w:szCs w:val="24"/>
        </w:rPr>
        <w:t>Foremost-McKesson, Inc. v. Provident Securities Company (US 1976)</w:t>
      </w:r>
    </w:p>
    <w:p w14:paraId="0CDE80B8" w14:textId="579F88E5" w:rsidR="005645F0" w:rsidRDefault="00A0786E" w:rsidP="001811FB">
      <w:pPr>
        <w:pStyle w:val="ListParagraph"/>
        <w:numPr>
          <w:ilvl w:val="3"/>
          <w:numId w:val="10"/>
        </w:numPr>
        <w:rPr>
          <w:rFonts w:cs="Times New Roman"/>
          <w:sz w:val="24"/>
          <w:szCs w:val="24"/>
        </w:rPr>
      </w:pPr>
      <w:r>
        <w:rPr>
          <w:rFonts w:cs="Times New Roman"/>
          <w:sz w:val="24"/>
          <w:szCs w:val="24"/>
        </w:rPr>
        <w:t xml:space="preserve">Synopsis: Provident owned securities, but wanted to liquidate. Foremost agreed to buy its securities. It would give Provident cash and convertible debt (equity securities for 16(b) purposes). Because the convertible debt, if converted, would have constituted more than 10% of Foremost stock, this transaction made Provident a beneficial owner under 16(b). Provident then distributed the debt and cash to its shareholders and liquidated. Court found that Provident was not subject to 16(b), because it did not own a 10% stake immediately before the acquisition. </w:t>
      </w:r>
    </w:p>
    <w:p w14:paraId="4BB7336B" w14:textId="01E657CE" w:rsidR="00A0786E" w:rsidRDefault="00A0786E" w:rsidP="001811FB">
      <w:pPr>
        <w:pStyle w:val="ListParagraph"/>
        <w:numPr>
          <w:ilvl w:val="3"/>
          <w:numId w:val="10"/>
        </w:numPr>
        <w:rPr>
          <w:rFonts w:cs="Times New Roman"/>
          <w:sz w:val="24"/>
          <w:szCs w:val="24"/>
        </w:rPr>
      </w:pPr>
      <w:r>
        <w:rPr>
          <w:rFonts w:cs="Times New Roman"/>
          <w:sz w:val="24"/>
          <w:szCs w:val="24"/>
        </w:rPr>
        <w:t>Tool: Test is whether D owned the stake before the purchase.</w:t>
      </w:r>
    </w:p>
    <w:p w14:paraId="2D21D880" w14:textId="77777777" w:rsidR="00A0786E" w:rsidRPr="00A0786E" w:rsidRDefault="00A0786E" w:rsidP="001811FB">
      <w:pPr>
        <w:pStyle w:val="ListParagraph"/>
        <w:numPr>
          <w:ilvl w:val="4"/>
          <w:numId w:val="10"/>
        </w:numPr>
        <w:rPr>
          <w:rFonts w:cs="Times New Roman"/>
          <w:sz w:val="24"/>
          <w:szCs w:val="24"/>
        </w:rPr>
      </w:pPr>
      <w:r w:rsidRPr="00A0786E">
        <w:rPr>
          <w:rFonts w:cs="Times New Roman"/>
          <w:sz w:val="24"/>
          <w:szCs w:val="24"/>
        </w:rPr>
        <w:lastRenderedPageBreak/>
        <w:t>16(b)’s last sentence – it “shall not be construed to cover any transaction where such beneficial owner was not such both at the time of the purchase and sale, or the sale and purchase, of the security involved…”</w:t>
      </w:r>
    </w:p>
    <w:p w14:paraId="3DD7B1CC" w14:textId="09D8C1AC" w:rsidR="00A0786E" w:rsidRPr="00A0786E" w:rsidRDefault="00A0786E" w:rsidP="001811FB">
      <w:pPr>
        <w:pStyle w:val="ListParagraph"/>
        <w:numPr>
          <w:ilvl w:val="4"/>
          <w:numId w:val="10"/>
        </w:numPr>
        <w:rPr>
          <w:rFonts w:cs="Times New Roman"/>
          <w:sz w:val="24"/>
          <w:szCs w:val="24"/>
        </w:rPr>
      </w:pPr>
      <w:r w:rsidRPr="00A0786E">
        <w:rPr>
          <w:rFonts w:cs="Times New Roman"/>
          <w:sz w:val="24"/>
          <w:szCs w:val="24"/>
        </w:rPr>
        <w:t>Under Section: 16(b), the phrase “at the time of the purchase” in the exemption provision means the time right before a purchase in a purchase-sale, thus “a beneficial owner must account for profits only if he was a beneficial owner before the purchase.”</w:t>
      </w:r>
    </w:p>
    <w:p w14:paraId="578375CD" w14:textId="111A0C31" w:rsidR="00703047" w:rsidRDefault="00DE1861" w:rsidP="00EA6DD3">
      <w:pPr>
        <w:pStyle w:val="Heading2"/>
        <w:numPr>
          <w:ilvl w:val="0"/>
          <w:numId w:val="10"/>
        </w:numPr>
      </w:pPr>
      <w:r>
        <w:t>Rule 10b-5</w:t>
      </w:r>
    </w:p>
    <w:p w14:paraId="5B1CECAF" w14:textId="1DC0D9C2" w:rsidR="00361389" w:rsidRDefault="00703047" w:rsidP="00703047">
      <w:pPr>
        <w:pStyle w:val="Heading3"/>
        <w:numPr>
          <w:ilvl w:val="1"/>
          <w:numId w:val="10"/>
        </w:numPr>
      </w:pPr>
      <w:r>
        <w:t>Statute – 10b-5</w:t>
      </w:r>
    </w:p>
    <w:p w14:paraId="697309D4" w14:textId="77777777" w:rsidR="00EA6DD3" w:rsidRDefault="00EA6DD3" w:rsidP="00EA6DD3">
      <w:pPr>
        <w:pStyle w:val="ListParagraph"/>
        <w:numPr>
          <w:ilvl w:val="2"/>
          <w:numId w:val="10"/>
        </w:numPr>
        <w:rPr>
          <w:rFonts w:cs="Times New Roman"/>
          <w:sz w:val="24"/>
          <w:szCs w:val="24"/>
        </w:rPr>
      </w:pPr>
      <w:r>
        <w:rPr>
          <w:rFonts w:cs="Times New Roman"/>
          <w:sz w:val="24"/>
          <w:szCs w:val="24"/>
        </w:rPr>
        <w:t xml:space="preserve">Rather than obtain new legislation, then head of SEC, Cary, manipulated an otherwise ignored antifraud rule: Rule 10b-5 in </w:t>
      </w:r>
      <w:r>
        <w:rPr>
          <w:rFonts w:cs="Times New Roman"/>
          <w:i/>
          <w:sz w:val="24"/>
          <w:szCs w:val="24"/>
        </w:rPr>
        <w:t>In re C</w:t>
      </w:r>
      <w:r w:rsidRPr="00FB0D90">
        <w:rPr>
          <w:rFonts w:cs="Times New Roman"/>
          <w:i/>
          <w:sz w:val="24"/>
          <w:szCs w:val="24"/>
        </w:rPr>
        <w:t>ady, Roberts</w:t>
      </w:r>
      <w:r>
        <w:rPr>
          <w:rFonts w:cs="Times New Roman"/>
          <w:sz w:val="24"/>
          <w:szCs w:val="24"/>
        </w:rPr>
        <w:t xml:space="preserve">. The rule said nothing about insider trading, so the trick was to declare insider trading fraudulent. </w:t>
      </w:r>
    </w:p>
    <w:p w14:paraId="7DDD43FD" w14:textId="56D25927" w:rsidR="003A0231" w:rsidRDefault="003A0231" w:rsidP="00EA6DD3">
      <w:pPr>
        <w:pStyle w:val="ListParagraph"/>
        <w:numPr>
          <w:ilvl w:val="2"/>
          <w:numId w:val="10"/>
        </w:numPr>
        <w:rPr>
          <w:rFonts w:cs="Times New Roman"/>
          <w:sz w:val="24"/>
          <w:szCs w:val="24"/>
        </w:rPr>
      </w:pPr>
      <w:r>
        <w:rPr>
          <w:rFonts w:cs="Times New Roman"/>
          <w:sz w:val="24"/>
          <w:szCs w:val="24"/>
        </w:rPr>
        <w:t>Only criminal penalty, no civil recovery (for purposes of this class)</w:t>
      </w:r>
      <w:r w:rsidR="004C3F61">
        <w:rPr>
          <w:rFonts w:cs="Times New Roman"/>
          <w:sz w:val="24"/>
          <w:szCs w:val="24"/>
        </w:rPr>
        <w:t xml:space="preserve"> </w:t>
      </w:r>
      <w:r w:rsidR="004C3F61" w:rsidRPr="004C3F61">
        <w:rPr>
          <w:rFonts w:cs="Times New Roman"/>
          <w:sz w:val="24"/>
          <w:szCs w:val="24"/>
        </w:rPr>
        <w:sym w:font="Wingdings" w:char="F0E0"/>
      </w:r>
      <w:r w:rsidR="004C3F61">
        <w:rPr>
          <w:rFonts w:cs="Times New Roman"/>
          <w:sz w:val="24"/>
          <w:szCs w:val="24"/>
        </w:rPr>
        <w:t xml:space="preserve"> </w:t>
      </w:r>
      <w:r w:rsidR="004C3F61" w:rsidRPr="00276A65">
        <w:rPr>
          <w:rFonts w:cs="Times New Roman"/>
          <w:b/>
          <w:sz w:val="24"/>
          <w:szCs w:val="24"/>
          <w:u w:val="single"/>
        </w:rPr>
        <w:t>requires scienter (intent)</w:t>
      </w:r>
    </w:p>
    <w:p w14:paraId="7D4CF2FD" w14:textId="0C12C01C" w:rsidR="00EA6DD3" w:rsidRDefault="00EA6DD3" w:rsidP="00EA6DD3">
      <w:pPr>
        <w:pStyle w:val="ListParagraph"/>
        <w:numPr>
          <w:ilvl w:val="2"/>
          <w:numId w:val="10"/>
        </w:numPr>
        <w:rPr>
          <w:rFonts w:cs="Times New Roman"/>
          <w:sz w:val="24"/>
          <w:szCs w:val="24"/>
        </w:rPr>
      </w:pPr>
      <w:r>
        <w:rPr>
          <w:rFonts w:cs="Times New Roman"/>
          <w:sz w:val="24"/>
          <w:szCs w:val="24"/>
        </w:rPr>
        <w:t>10b-5</w:t>
      </w:r>
    </w:p>
    <w:p w14:paraId="5B3E4CCE" w14:textId="77777777" w:rsidR="00361389" w:rsidRPr="00361389" w:rsidRDefault="00361389" w:rsidP="00361389">
      <w:pPr>
        <w:ind w:left="720"/>
        <w:rPr>
          <w:rFonts w:cs="Times New Roman"/>
          <w:i/>
          <w:szCs w:val="24"/>
        </w:rPr>
      </w:pPr>
      <w:r w:rsidRPr="00361389">
        <w:rPr>
          <w:rFonts w:cs="Times New Roman"/>
          <w:i/>
          <w:szCs w:val="24"/>
        </w:rPr>
        <w:t>It shall be unlawful for any person, directly or indirectly, by the use of any means or instrumentality of interstate commerce, or of the mails, or of any facility of any national securities exchange,</w:t>
      </w:r>
    </w:p>
    <w:p w14:paraId="001559C6" w14:textId="77777777" w:rsidR="00361389" w:rsidRPr="00361389" w:rsidRDefault="00361389" w:rsidP="00361389">
      <w:pPr>
        <w:ind w:left="1440"/>
        <w:rPr>
          <w:rFonts w:cs="Times New Roman"/>
          <w:i/>
          <w:szCs w:val="24"/>
        </w:rPr>
      </w:pPr>
      <w:r w:rsidRPr="00361389">
        <w:rPr>
          <w:rFonts w:cs="Times New Roman"/>
          <w:i/>
          <w:szCs w:val="24"/>
        </w:rPr>
        <w:t xml:space="preserve">(1) </w:t>
      </w:r>
      <w:proofErr w:type="gramStart"/>
      <w:r w:rsidRPr="00361389">
        <w:rPr>
          <w:rFonts w:cs="Times New Roman"/>
          <w:i/>
          <w:szCs w:val="24"/>
        </w:rPr>
        <w:t>to</w:t>
      </w:r>
      <w:proofErr w:type="gramEnd"/>
      <w:r w:rsidRPr="00361389">
        <w:rPr>
          <w:rFonts w:cs="Times New Roman"/>
          <w:i/>
          <w:szCs w:val="24"/>
        </w:rPr>
        <w:t xml:space="preserve"> employ any device, scheme, or artifice to defraud,</w:t>
      </w:r>
    </w:p>
    <w:p w14:paraId="4E21B9BA" w14:textId="77777777" w:rsidR="00361389" w:rsidRPr="00361389" w:rsidRDefault="00361389" w:rsidP="00361389">
      <w:pPr>
        <w:ind w:left="1440"/>
        <w:rPr>
          <w:rFonts w:cs="Times New Roman"/>
          <w:i/>
          <w:szCs w:val="24"/>
        </w:rPr>
      </w:pPr>
      <w:r w:rsidRPr="00361389">
        <w:rPr>
          <w:rFonts w:cs="Times New Roman"/>
          <w:i/>
          <w:szCs w:val="24"/>
        </w:rPr>
        <w:t xml:space="preserve">(2) to make any untrue statement of a </w:t>
      </w:r>
      <w:r w:rsidRPr="000E116E">
        <w:rPr>
          <w:rFonts w:cs="Times New Roman"/>
          <w:i/>
          <w:szCs w:val="24"/>
        </w:rPr>
        <w:t>material</w:t>
      </w:r>
      <w:r w:rsidRPr="00361389">
        <w:rPr>
          <w:rFonts w:cs="Times New Roman"/>
          <w:i/>
          <w:szCs w:val="24"/>
        </w:rPr>
        <w:t xml:space="preserve"> fact or to omit to state a material fact necessary in order to make the statements made, in the light of the circumstances under which they were made, not misleading, or</w:t>
      </w:r>
    </w:p>
    <w:p w14:paraId="50F78F93" w14:textId="013BF361" w:rsidR="00361389" w:rsidRPr="00361389" w:rsidRDefault="00361389" w:rsidP="00361389">
      <w:pPr>
        <w:ind w:left="1440"/>
        <w:rPr>
          <w:rFonts w:cs="Times New Roman"/>
          <w:i/>
          <w:szCs w:val="24"/>
        </w:rPr>
      </w:pPr>
      <w:r w:rsidRPr="00361389">
        <w:rPr>
          <w:rFonts w:cs="Times New Roman"/>
          <w:i/>
          <w:szCs w:val="24"/>
        </w:rPr>
        <w:t xml:space="preserve">(3) </w:t>
      </w:r>
      <w:proofErr w:type="gramStart"/>
      <w:r w:rsidRPr="00361389">
        <w:rPr>
          <w:rFonts w:cs="Times New Roman"/>
          <w:i/>
          <w:szCs w:val="24"/>
        </w:rPr>
        <w:t>to</w:t>
      </w:r>
      <w:proofErr w:type="gramEnd"/>
      <w:r w:rsidRPr="00361389">
        <w:rPr>
          <w:rFonts w:cs="Times New Roman"/>
          <w:i/>
          <w:szCs w:val="24"/>
        </w:rPr>
        <w:t xml:space="preserve"> engage in any act, practice, or course of business which operates or would operate as a fraud or deceit upon any person, </w:t>
      </w:r>
      <w:r w:rsidRPr="00361389">
        <w:rPr>
          <w:rFonts w:cs="Times New Roman"/>
          <w:i/>
          <w:szCs w:val="24"/>
          <w:u w:val="single"/>
        </w:rPr>
        <w:t>in connection with</w:t>
      </w:r>
      <w:r w:rsidRPr="00361389">
        <w:rPr>
          <w:rFonts w:cs="Times New Roman"/>
          <w:i/>
          <w:szCs w:val="24"/>
        </w:rPr>
        <w:t xml:space="preserve"> the purchase or sale of any security.</w:t>
      </w:r>
    </w:p>
    <w:p w14:paraId="1F9D1EDB" w14:textId="52E792D4" w:rsidR="00DE1861" w:rsidRDefault="005D36F8" w:rsidP="00703047">
      <w:pPr>
        <w:pStyle w:val="Heading3"/>
        <w:numPr>
          <w:ilvl w:val="1"/>
          <w:numId w:val="10"/>
        </w:numPr>
      </w:pPr>
      <w:r>
        <w:t>Abstain or Disclose</w:t>
      </w:r>
      <w:r w:rsidR="00DE1861">
        <w:t xml:space="preserve"> – Texas Gulf Sulphur</w:t>
      </w:r>
    </w:p>
    <w:p w14:paraId="281E24C8" w14:textId="3AD8C1FD" w:rsidR="00FB0D90" w:rsidRPr="00361389" w:rsidRDefault="00FB0D90" w:rsidP="00361389">
      <w:pPr>
        <w:pStyle w:val="ListParagraph"/>
        <w:numPr>
          <w:ilvl w:val="2"/>
          <w:numId w:val="10"/>
        </w:numPr>
        <w:rPr>
          <w:rFonts w:cs="Times New Roman"/>
          <w:sz w:val="24"/>
          <w:szCs w:val="24"/>
        </w:rPr>
      </w:pPr>
      <w:r w:rsidRPr="005D36F8">
        <w:rPr>
          <w:rFonts w:cs="Times New Roman"/>
          <w:b/>
          <w:i/>
          <w:sz w:val="24"/>
          <w:szCs w:val="24"/>
        </w:rPr>
        <w:t>Securities and Exchange Commission v. Texas Gulf Sulphur Co. (2d Cir. 1969)</w:t>
      </w:r>
      <w:r w:rsidR="00361389">
        <w:rPr>
          <w:rFonts w:cs="Times New Roman"/>
          <w:sz w:val="24"/>
          <w:szCs w:val="24"/>
        </w:rPr>
        <w:t xml:space="preserve"> </w:t>
      </w:r>
      <w:r w:rsidRPr="00361389">
        <w:rPr>
          <w:rFonts w:cs="Times New Roman"/>
          <w:sz w:val="24"/>
          <w:szCs w:val="24"/>
        </w:rPr>
        <w:t>Synopsis: SEC sued Ds. Ds were officers, employees or were closely tied to employees of Texas Gulf. Texas Gulf was conducting mining exploration in Canada. One area was deemed promising by the survey, and a hole was drilled with the resulting core analyzed. The analysis showed that the minerals present in the area were extremely rich in minerals. Ds did not disclose the results of the analysis to outsiders, including other officers and shareholders of Texas Gulf. Ds did proceed to purchase shares and calls once they knew about the results. The trading activity and sample drilling did prompt rumors in the industry of a significant find by Texas Gulf, and on April 12, 1964 Ds sent out a misleading press release to calm the speculation. The press release misrepresented the actual results of the samples. Ds decided to announce the results on April 15, although the news did not reach the public until April 16. Ds still traded between April 12 and the announcement. Ds claimed that the information was not material to the value of the company and therefore did not feel obligated to publicly disclose the information. They also argued that any trading after they released the news at midnight of April 16 was legitimate because technically the news was disseminated to the public.</w:t>
      </w:r>
    </w:p>
    <w:p w14:paraId="77CD2960" w14:textId="4E27AA4E" w:rsidR="003E468C" w:rsidRDefault="003E468C" w:rsidP="00E361D6">
      <w:pPr>
        <w:pStyle w:val="ListParagraph"/>
        <w:numPr>
          <w:ilvl w:val="2"/>
          <w:numId w:val="10"/>
        </w:numPr>
        <w:rPr>
          <w:rFonts w:cs="Times New Roman"/>
          <w:sz w:val="24"/>
          <w:szCs w:val="24"/>
        </w:rPr>
      </w:pPr>
      <w:r>
        <w:rPr>
          <w:rFonts w:cs="Times New Roman"/>
          <w:sz w:val="24"/>
          <w:szCs w:val="24"/>
        </w:rPr>
        <w:t>Insider Trading</w:t>
      </w:r>
    </w:p>
    <w:p w14:paraId="54765916" w14:textId="296B59F6" w:rsidR="00FB0D90" w:rsidRDefault="00FB0D90" w:rsidP="00FB0D90">
      <w:pPr>
        <w:pStyle w:val="ListParagraph"/>
        <w:numPr>
          <w:ilvl w:val="3"/>
          <w:numId w:val="10"/>
        </w:numPr>
        <w:rPr>
          <w:rFonts w:cs="Times New Roman"/>
          <w:sz w:val="24"/>
          <w:szCs w:val="24"/>
        </w:rPr>
      </w:pPr>
      <w:r>
        <w:rPr>
          <w:rFonts w:cs="Times New Roman"/>
          <w:sz w:val="24"/>
          <w:szCs w:val="24"/>
        </w:rPr>
        <w:t>If the officers served as agents to their shareholders, they owed a duty (as fiduciaries) to disclose both their identity and any important relevant information they held</w:t>
      </w:r>
      <w:r w:rsidR="00B15934">
        <w:rPr>
          <w:rFonts w:cs="Times New Roman"/>
          <w:sz w:val="24"/>
          <w:szCs w:val="24"/>
        </w:rPr>
        <w:t xml:space="preserve"> when buying stock from them</w:t>
      </w:r>
      <w:r>
        <w:rPr>
          <w:rFonts w:cs="Times New Roman"/>
          <w:sz w:val="24"/>
          <w:szCs w:val="24"/>
        </w:rPr>
        <w:t>. If they bought without disclosing, they committed a</w:t>
      </w:r>
      <w:r w:rsidR="00F84697">
        <w:rPr>
          <w:rFonts w:cs="Times New Roman"/>
          <w:sz w:val="24"/>
          <w:szCs w:val="24"/>
        </w:rPr>
        <w:t xml:space="preserve"> </w:t>
      </w:r>
      <w:r w:rsidR="00F84697" w:rsidRPr="003275BF">
        <w:rPr>
          <w:rFonts w:cs="Times New Roman"/>
          <w:sz w:val="24"/>
          <w:szCs w:val="24"/>
          <w:u w:val="single"/>
        </w:rPr>
        <w:t>fraud</w:t>
      </w:r>
      <w:r w:rsidR="00F84697">
        <w:rPr>
          <w:rFonts w:cs="Times New Roman"/>
          <w:sz w:val="24"/>
          <w:szCs w:val="24"/>
        </w:rPr>
        <w:t xml:space="preserve">. Under the new logic Cady </w:t>
      </w:r>
      <w:r>
        <w:rPr>
          <w:rFonts w:cs="Times New Roman"/>
          <w:sz w:val="24"/>
          <w:szCs w:val="24"/>
        </w:rPr>
        <w:t>outlined, they violated Rule 10b-5. (Recall that not all courts previously held that corporate officers owed fiduciary duties to their shareholders.)</w:t>
      </w:r>
    </w:p>
    <w:p w14:paraId="050D0183" w14:textId="6934034E" w:rsidR="00FB0D90" w:rsidRDefault="00FB0D90" w:rsidP="00FB0D90">
      <w:pPr>
        <w:pStyle w:val="ListParagraph"/>
        <w:numPr>
          <w:ilvl w:val="3"/>
          <w:numId w:val="10"/>
        </w:numPr>
        <w:rPr>
          <w:rFonts w:cs="Times New Roman"/>
          <w:sz w:val="24"/>
          <w:szCs w:val="24"/>
        </w:rPr>
      </w:pPr>
      <w:r>
        <w:rPr>
          <w:rFonts w:cs="Times New Roman"/>
          <w:sz w:val="24"/>
          <w:szCs w:val="24"/>
        </w:rPr>
        <w:t xml:space="preserve">Texas Gulf Sulphur declared </w:t>
      </w:r>
      <w:r w:rsidRPr="00FB0D90">
        <w:rPr>
          <w:rFonts w:cs="Times New Roman"/>
          <w:i/>
          <w:sz w:val="24"/>
          <w:szCs w:val="24"/>
        </w:rPr>
        <w:t>In re</w:t>
      </w:r>
      <w:r>
        <w:rPr>
          <w:rFonts w:cs="Times New Roman"/>
          <w:sz w:val="24"/>
          <w:szCs w:val="24"/>
        </w:rPr>
        <w:t xml:space="preserve"> </w:t>
      </w:r>
      <w:r w:rsidRPr="00FB0D90">
        <w:rPr>
          <w:rFonts w:cs="Times New Roman"/>
          <w:i/>
          <w:sz w:val="24"/>
          <w:szCs w:val="24"/>
        </w:rPr>
        <w:t>Cady, Roberts</w:t>
      </w:r>
      <w:r>
        <w:rPr>
          <w:rFonts w:cs="Times New Roman"/>
          <w:sz w:val="24"/>
          <w:szCs w:val="24"/>
        </w:rPr>
        <w:t xml:space="preserve"> settlement the law:</w:t>
      </w:r>
    </w:p>
    <w:p w14:paraId="34279200" w14:textId="266AC010" w:rsidR="00FB0D90" w:rsidRPr="00D85B93" w:rsidRDefault="00FB0D90" w:rsidP="00B654A8">
      <w:pPr>
        <w:pStyle w:val="ListParagraph"/>
        <w:numPr>
          <w:ilvl w:val="4"/>
          <w:numId w:val="10"/>
        </w:numPr>
        <w:rPr>
          <w:rFonts w:cs="Times New Roman"/>
          <w:sz w:val="24"/>
          <w:szCs w:val="24"/>
        </w:rPr>
      </w:pPr>
      <w:r>
        <w:rPr>
          <w:rFonts w:cs="Times New Roman"/>
          <w:i/>
          <w:sz w:val="24"/>
          <w:szCs w:val="24"/>
        </w:rPr>
        <w:t>The essence of the Rule [10b-5] is that anyone who, trading for his own account in the securities of a corporation, has “access, directly or indirectly, to information intended to be available only for a corporate purpose and not for the personal benefit of anyone” may not take “advantage of such information knowing it is unavailable to those with whom he is dealin</w:t>
      </w:r>
      <w:r w:rsidR="00B654A8">
        <w:rPr>
          <w:rFonts w:cs="Times New Roman"/>
          <w:i/>
          <w:sz w:val="24"/>
          <w:szCs w:val="24"/>
        </w:rPr>
        <w:t>g,” i.e., the investing public</w:t>
      </w:r>
      <w:r w:rsidR="00B654A8" w:rsidRPr="00B654A8">
        <w:rPr>
          <w:rFonts w:cs="Times New Roman"/>
          <w:i/>
          <w:sz w:val="24"/>
          <w:szCs w:val="24"/>
        </w:rPr>
        <w:t>…</w:t>
      </w:r>
      <w:r w:rsidR="00B654A8" w:rsidRPr="00AB3C53">
        <w:rPr>
          <w:rFonts w:cs="Times New Roman"/>
          <w:b/>
          <w:i/>
          <w:sz w:val="24"/>
          <w:szCs w:val="24"/>
          <w:u w:val="single"/>
        </w:rPr>
        <w:t>Insiders</w:t>
      </w:r>
      <w:r w:rsidR="00B654A8" w:rsidRPr="00B654A8">
        <w:rPr>
          <w:rFonts w:cs="Times New Roman"/>
          <w:i/>
          <w:sz w:val="24"/>
          <w:szCs w:val="24"/>
        </w:rPr>
        <w:t xml:space="preserve">, as directors or management officers are, of course, by this Rule, precluded from so unfairly dealing, but the Rule is also applicable to </w:t>
      </w:r>
      <w:r w:rsidR="00B654A8" w:rsidRPr="00B654A8">
        <w:rPr>
          <w:rFonts w:cs="Times New Roman"/>
          <w:i/>
          <w:sz w:val="24"/>
          <w:szCs w:val="24"/>
        </w:rPr>
        <w:lastRenderedPageBreak/>
        <w:t>one possessing the information who may not be strictly termed an ‘</w:t>
      </w:r>
      <w:r w:rsidR="00B654A8" w:rsidRPr="003275BF">
        <w:rPr>
          <w:rFonts w:cs="Times New Roman"/>
          <w:b/>
          <w:i/>
          <w:sz w:val="24"/>
          <w:szCs w:val="24"/>
          <w:u w:val="single"/>
        </w:rPr>
        <w:t>insider’</w:t>
      </w:r>
      <w:r w:rsidR="00B654A8" w:rsidRPr="00B654A8">
        <w:rPr>
          <w:rFonts w:cs="Times New Roman"/>
          <w:i/>
          <w:sz w:val="24"/>
          <w:szCs w:val="24"/>
        </w:rPr>
        <w:t xml:space="preserve"> within the meaning of Sec. 16(b) of the Act…</w:t>
      </w:r>
    </w:p>
    <w:p w14:paraId="6622D474" w14:textId="62EB56EE" w:rsidR="00D85B93" w:rsidRPr="00BF68FA" w:rsidRDefault="00AB3C53" w:rsidP="00D85B93">
      <w:pPr>
        <w:pStyle w:val="ListParagraph"/>
        <w:numPr>
          <w:ilvl w:val="3"/>
          <w:numId w:val="10"/>
        </w:numPr>
        <w:rPr>
          <w:rFonts w:cs="Times New Roman"/>
          <w:sz w:val="24"/>
          <w:szCs w:val="24"/>
          <w:u w:val="single"/>
        </w:rPr>
      </w:pPr>
      <w:r>
        <w:rPr>
          <w:rFonts w:cs="Times New Roman"/>
          <w:b/>
          <w:sz w:val="24"/>
          <w:szCs w:val="24"/>
          <w:u w:val="single"/>
        </w:rPr>
        <w:t>Insiders have d</w:t>
      </w:r>
      <w:r w:rsidR="00BF68FA" w:rsidRPr="00BF68FA">
        <w:rPr>
          <w:rFonts w:cs="Times New Roman"/>
          <w:b/>
          <w:sz w:val="24"/>
          <w:szCs w:val="24"/>
          <w:u w:val="single"/>
        </w:rPr>
        <w:t>uty to “abstain or disclose” to those you have fiduciary duty toward</w:t>
      </w:r>
      <w:r w:rsidR="00BF68FA" w:rsidRPr="00BF68FA">
        <w:rPr>
          <w:rFonts w:cs="Times New Roman"/>
          <w:sz w:val="24"/>
          <w:szCs w:val="24"/>
          <w:u w:val="single"/>
        </w:rPr>
        <w:t xml:space="preserve">: </w:t>
      </w:r>
    </w:p>
    <w:p w14:paraId="3859B62B" w14:textId="13BA1267" w:rsidR="00D85B93" w:rsidRPr="00361389" w:rsidRDefault="00D85B93" w:rsidP="00D85B93">
      <w:pPr>
        <w:pStyle w:val="ListParagraph"/>
        <w:numPr>
          <w:ilvl w:val="4"/>
          <w:numId w:val="10"/>
        </w:numPr>
        <w:rPr>
          <w:rFonts w:cs="Times New Roman"/>
          <w:sz w:val="24"/>
          <w:szCs w:val="24"/>
        </w:rPr>
      </w:pPr>
      <w:r>
        <w:rPr>
          <w:rFonts w:cs="Times New Roman"/>
          <w:i/>
          <w:sz w:val="24"/>
          <w:szCs w:val="24"/>
        </w:rPr>
        <w:t>Thus, anyone in possession of material inside information must either disclose it to the investing public, or, if he is disabled from disclosing it in order to protect corporate confidence, or he chooses not to do so, must abstain from trading in or recommending the securities concerned while such inside information remains undisclosed.</w:t>
      </w:r>
    </w:p>
    <w:p w14:paraId="7CFF2BEC" w14:textId="77777777" w:rsidR="00361389" w:rsidRDefault="00361389" w:rsidP="00361389">
      <w:pPr>
        <w:pStyle w:val="ListParagraph"/>
        <w:numPr>
          <w:ilvl w:val="3"/>
          <w:numId w:val="10"/>
        </w:numPr>
        <w:rPr>
          <w:rFonts w:cs="Times New Roman"/>
          <w:sz w:val="24"/>
          <w:szCs w:val="24"/>
        </w:rPr>
      </w:pPr>
      <w:r>
        <w:rPr>
          <w:rFonts w:cs="Times New Roman"/>
          <w:sz w:val="24"/>
          <w:szCs w:val="24"/>
        </w:rPr>
        <w:t>Texas Gulf Sulphur did not derive its duty to abstain or disclose from any agency-principal relationship but located the duty in the securities market itself:</w:t>
      </w:r>
    </w:p>
    <w:p w14:paraId="2C1ED72C" w14:textId="0EB89AF2" w:rsidR="00361389" w:rsidRDefault="00361389" w:rsidP="00361389">
      <w:pPr>
        <w:pStyle w:val="ListParagraph"/>
        <w:numPr>
          <w:ilvl w:val="4"/>
          <w:numId w:val="10"/>
        </w:numPr>
        <w:rPr>
          <w:rFonts w:cs="Times New Roman"/>
          <w:sz w:val="24"/>
          <w:szCs w:val="24"/>
        </w:rPr>
      </w:pPr>
      <w:r>
        <w:rPr>
          <w:rFonts w:cs="Times New Roman"/>
          <w:i/>
          <w:sz w:val="24"/>
          <w:szCs w:val="24"/>
        </w:rPr>
        <w:t xml:space="preserve">The core of Rule 10b-5 is the implementation of the Congressional purpose that all investors should have </w:t>
      </w:r>
      <w:r w:rsidRPr="00361389">
        <w:rPr>
          <w:rFonts w:cs="Times New Roman"/>
          <w:i/>
          <w:sz w:val="24"/>
          <w:szCs w:val="24"/>
          <w:u w:val="single"/>
        </w:rPr>
        <w:t>equal access</w:t>
      </w:r>
      <w:r>
        <w:rPr>
          <w:rFonts w:cs="Times New Roman"/>
          <w:i/>
          <w:sz w:val="24"/>
          <w:szCs w:val="24"/>
        </w:rPr>
        <w:t xml:space="preserve"> to the rewards of participation in securities transactions. It was the intent of Congress that all members of the investing public should be subject to </w:t>
      </w:r>
      <w:r w:rsidRPr="00361389">
        <w:rPr>
          <w:rFonts w:cs="Times New Roman"/>
          <w:i/>
          <w:sz w:val="24"/>
          <w:szCs w:val="24"/>
          <w:u w:val="single"/>
        </w:rPr>
        <w:t>identical market risks</w:t>
      </w:r>
      <w:r>
        <w:rPr>
          <w:rFonts w:cs="Times New Roman"/>
          <w:i/>
          <w:sz w:val="24"/>
          <w:szCs w:val="24"/>
        </w:rPr>
        <w:t xml:space="preserve"> – which market risks include, of course the risk that one’s evaluative capacity or one’s capital available to put at risk may exceed another’s capacity or capital. The insiders here were not trading on an equal footing with the outside investors.</w:t>
      </w:r>
      <w:r>
        <w:rPr>
          <w:rFonts w:cs="Times New Roman"/>
          <w:sz w:val="24"/>
          <w:szCs w:val="24"/>
        </w:rPr>
        <w:t xml:space="preserve"> </w:t>
      </w:r>
    </w:p>
    <w:p w14:paraId="16E0EE6E" w14:textId="00C98E11" w:rsidR="003E468C" w:rsidRDefault="003E468C" w:rsidP="00E361D6">
      <w:pPr>
        <w:pStyle w:val="ListParagraph"/>
        <w:numPr>
          <w:ilvl w:val="2"/>
          <w:numId w:val="10"/>
        </w:numPr>
        <w:rPr>
          <w:rFonts w:cs="Times New Roman"/>
          <w:sz w:val="24"/>
          <w:szCs w:val="24"/>
        </w:rPr>
      </w:pPr>
      <w:r w:rsidRPr="003275BF">
        <w:rPr>
          <w:rFonts w:cs="Times New Roman"/>
          <w:b/>
          <w:sz w:val="24"/>
          <w:szCs w:val="24"/>
          <w:u w:val="single"/>
        </w:rPr>
        <w:t>Materiality</w:t>
      </w:r>
      <w:r w:rsidR="00361389">
        <w:rPr>
          <w:rFonts w:cs="Times New Roman"/>
          <w:sz w:val="24"/>
          <w:szCs w:val="24"/>
        </w:rPr>
        <w:t xml:space="preserve"> – Only need to disclose “material” information</w:t>
      </w:r>
    </w:p>
    <w:p w14:paraId="2B924538" w14:textId="44B4B6A9" w:rsidR="00361389" w:rsidRDefault="00361389" w:rsidP="00361389">
      <w:pPr>
        <w:pStyle w:val="ListParagraph"/>
        <w:numPr>
          <w:ilvl w:val="3"/>
          <w:numId w:val="10"/>
        </w:numPr>
        <w:rPr>
          <w:rFonts w:cs="Times New Roman"/>
          <w:sz w:val="24"/>
          <w:szCs w:val="24"/>
        </w:rPr>
      </w:pPr>
      <w:r>
        <w:rPr>
          <w:rFonts w:cs="Times New Roman"/>
          <w:sz w:val="24"/>
          <w:szCs w:val="24"/>
        </w:rPr>
        <w:t>Any information important enough to matter to the insider was important enough to be “material:”</w:t>
      </w:r>
    </w:p>
    <w:p w14:paraId="06965AAD" w14:textId="2F526089" w:rsidR="00361389" w:rsidRPr="00361389" w:rsidRDefault="00361389" w:rsidP="00361389">
      <w:pPr>
        <w:pStyle w:val="ListParagraph"/>
        <w:ind w:left="1440"/>
        <w:rPr>
          <w:rFonts w:cs="Times New Roman"/>
          <w:i/>
          <w:sz w:val="24"/>
          <w:szCs w:val="24"/>
        </w:rPr>
      </w:pPr>
      <w:r w:rsidRPr="00361389">
        <w:rPr>
          <w:rFonts w:cs="Times New Roman"/>
          <w:i/>
          <w:sz w:val="24"/>
          <w:szCs w:val="24"/>
        </w:rPr>
        <w:t xml:space="preserve">The basic test of materiality is whether a reasonable man would attach importance in determining his choice of action in the transaction in question. This, of course, encompasses any fact ‘which in reasonable and objective contemplation might affect the value of the corporation's stock or securities.’ … </w:t>
      </w:r>
      <w:r w:rsidR="00B654A8" w:rsidRPr="00B654A8">
        <w:rPr>
          <w:rFonts w:cs="Times New Roman"/>
          <w:i/>
          <w:sz w:val="24"/>
          <w:szCs w:val="24"/>
        </w:rPr>
        <w:t>Thus, material facts include not only information disclosing the earnings and distributions of a company but also those facts which affect the probable future of the company and those which may affect the desire of investors to buy, sell, or hold the company's securities.</w:t>
      </w:r>
    </w:p>
    <w:p w14:paraId="77025810" w14:textId="70B3900D" w:rsidR="00C54F3F" w:rsidRDefault="00C54F3F" w:rsidP="00C54F3F">
      <w:pPr>
        <w:pStyle w:val="ListParagraph"/>
        <w:numPr>
          <w:ilvl w:val="3"/>
          <w:numId w:val="10"/>
        </w:numPr>
        <w:rPr>
          <w:rFonts w:cs="Times New Roman"/>
          <w:sz w:val="24"/>
          <w:szCs w:val="24"/>
        </w:rPr>
      </w:pPr>
      <w:r>
        <w:rPr>
          <w:rFonts w:cs="Times New Roman"/>
          <w:sz w:val="24"/>
          <w:szCs w:val="24"/>
        </w:rPr>
        <w:t xml:space="preserve">Effectively, if an insider cares about a piece of information, it is material. Materiality turns on what an insider does with the information. If he thinks it important enough to trade on it, it is material. Thus, the test eliminates “materiality” as an issue in real-world litigation. </w:t>
      </w:r>
    </w:p>
    <w:p w14:paraId="62BD62F4" w14:textId="4CD897E1" w:rsidR="003E468C" w:rsidRDefault="00C54F3F" w:rsidP="00E361D6">
      <w:pPr>
        <w:pStyle w:val="ListParagraph"/>
        <w:numPr>
          <w:ilvl w:val="2"/>
          <w:numId w:val="10"/>
        </w:numPr>
        <w:rPr>
          <w:rFonts w:cs="Times New Roman"/>
          <w:sz w:val="24"/>
          <w:szCs w:val="24"/>
        </w:rPr>
      </w:pPr>
      <w:r>
        <w:rPr>
          <w:rFonts w:cs="Times New Roman"/>
          <w:sz w:val="24"/>
          <w:szCs w:val="24"/>
        </w:rPr>
        <w:t>“</w:t>
      </w:r>
      <w:r w:rsidRPr="003275BF">
        <w:rPr>
          <w:rFonts w:cs="Times New Roman"/>
          <w:b/>
          <w:sz w:val="24"/>
          <w:szCs w:val="24"/>
          <w:u w:val="single"/>
        </w:rPr>
        <w:t>In Connection With</w:t>
      </w:r>
      <w:r>
        <w:rPr>
          <w:rFonts w:cs="Times New Roman"/>
          <w:sz w:val="24"/>
          <w:szCs w:val="24"/>
        </w:rPr>
        <w:t xml:space="preserve">” </w:t>
      </w:r>
      <w:r w:rsidR="000E116E">
        <w:rPr>
          <w:rFonts w:cs="Times New Roman"/>
          <w:sz w:val="24"/>
          <w:szCs w:val="24"/>
        </w:rPr>
        <w:t xml:space="preserve">Purchase or Sale of a </w:t>
      </w:r>
      <w:r w:rsidR="000E116E" w:rsidRPr="000E116E">
        <w:rPr>
          <w:rFonts w:cs="Times New Roman"/>
          <w:b/>
          <w:sz w:val="24"/>
          <w:szCs w:val="24"/>
          <w:u w:val="single"/>
        </w:rPr>
        <w:t>Security</w:t>
      </w:r>
    </w:p>
    <w:p w14:paraId="7757C13B" w14:textId="6AD2F512" w:rsidR="00C54F3F" w:rsidRDefault="00C54F3F" w:rsidP="00C54F3F">
      <w:pPr>
        <w:pStyle w:val="ListParagraph"/>
        <w:numPr>
          <w:ilvl w:val="3"/>
          <w:numId w:val="10"/>
        </w:numPr>
        <w:rPr>
          <w:rFonts w:cs="Times New Roman"/>
          <w:sz w:val="24"/>
          <w:szCs w:val="24"/>
        </w:rPr>
      </w:pPr>
      <w:r>
        <w:rPr>
          <w:rFonts w:cs="Times New Roman"/>
          <w:sz w:val="24"/>
          <w:szCs w:val="24"/>
        </w:rPr>
        <w:t xml:space="preserve">Texas Gulf Sulphur expands the scope of activities “in connection with” the purchase or sale of a security. Rule 10b-5 bans fraud only “in connection with” such a purchase or sale. </w:t>
      </w:r>
    </w:p>
    <w:p w14:paraId="3C6ADDFD" w14:textId="08BF7B04" w:rsidR="00C54F3F" w:rsidRDefault="00C54F3F" w:rsidP="00C54F3F">
      <w:pPr>
        <w:pStyle w:val="ListParagraph"/>
        <w:numPr>
          <w:ilvl w:val="3"/>
          <w:numId w:val="10"/>
        </w:numPr>
        <w:rPr>
          <w:rFonts w:cs="Times New Roman"/>
          <w:sz w:val="24"/>
          <w:szCs w:val="24"/>
        </w:rPr>
      </w:pPr>
      <w:r>
        <w:rPr>
          <w:rFonts w:cs="Times New Roman"/>
          <w:sz w:val="24"/>
          <w:szCs w:val="24"/>
        </w:rPr>
        <w:t xml:space="preserve">Although Texas Gulf Sulphur issued the press release, it neither bought nor sold any stock. Arguably, it did not issue the statement in connection with a purchase or sale. However, if it issued a statement that was of the “sort that would cause reasonable investors to rely” on it, then – according to the court – it issued a statement in connection with a purchase or sale. </w:t>
      </w:r>
    </w:p>
    <w:p w14:paraId="1862DECE" w14:textId="3AAE78DB" w:rsidR="007B0D8E" w:rsidRDefault="007B0D8E" w:rsidP="00C54F3F">
      <w:pPr>
        <w:pStyle w:val="ListParagraph"/>
        <w:numPr>
          <w:ilvl w:val="3"/>
          <w:numId w:val="10"/>
        </w:numPr>
        <w:rPr>
          <w:rFonts w:cs="Times New Roman"/>
          <w:sz w:val="24"/>
          <w:szCs w:val="24"/>
        </w:rPr>
      </w:pPr>
      <w:r>
        <w:rPr>
          <w:rFonts w:cs="Times New Roman"/>
          <w:sz w:val="24"/>
          <w:szCs w:val="24"/>
        </w:rPr>
        <w:t>Note: So deciding not to engage in trade not illegal because no purchase or sale.</w:t>
      </w:r>
    </w:p>
    <w:p w14:paraId="26ECD977" w14:textId="51B74D9F" w:rsidR="00B654A8" w:rsidRDefault="00B654A8" w:rsidP="00B654A8">
      <w:pPr>
        <w:pStyle w:val="ListParagraph"/>
        <w:numPr>
          <w:ilvl w:val="2"/>
          <w:numId w:val="10"/>
        </w:numPr>
        <w:rPr>
          <w:rFonts w:cs="Times New Roman"/>
          <w:sz w:val="24"/>
          <w:szCs w:val="24"/>
        </w:rPr>
      </w:pPr>
      <w:r>
        <w:rPr>
          <w:rFonts w:cs="Times New Roman"/>
          <w:sz w:val="24"/>
          <w:szCs w:val="24"/>
        </w:rPr>
        <w:t>Wait Time</w:t>
      </w:r>
    </w:p>
    <w:p w14:paraId="675F651F" w14:textId="55B7A228" w:rsidR="00B654A8" w:rsidRDefault="00B654A8" w:rsidP="00B654A8">
      <w:pPr>
        <w:pStyle w:val="ListParagraph"/>
        <w:numPr>
          <w:ilvl w:val="3"/>
          <w:numId w:val="10"/>
        </w:numPr>
        <w:rPr>
          <w:rFonts w:cs="Times New Roman"/>
          <w:i/>
          <w:sz w:val="24"/>
          <w:szCs w:val="24"/>
        </w:rPr>
      </w:pPr>
      <w:r w:rsidRPr="00B654A8">
        <w:rPr>
          <w:rFonts w:cs="Times New Roman"/>
          <w:i/>
          <w:sz w:val="24"/>
          <w:szCs w:val="24"/>
        </w:rPr>
        <w:t>Before an insider acts, has to wait not just until procedures for public release of the information are carried out, but should wait at least until the “news could reasonably have been expected to appear over the media of widest circulation.”</w:t>
      </w:r>
    </w:p>
    <w:p w14:paraId="7E5AEF2F" w14:textId="3EE0E571" w:rsidR="00B654A8" w:rsidRPr="00CB499B" w:rsidRDefault="00B654A8" w:rsidP="00B654A8">
      <w:pPr>
        <w:pStyle w:val="ListParagraph"/>
        <w:numPr>
          <w:ilvl w:val="2"/>
          <w:numId w:val="10"/>
        </w:numPr>
        <w:rPr>
          <w:rFonts w:cs="Times New Roman"/>
          <w:i/>
          <w:sz w:val="24"/>
          <w:szCs w:val="24"/>
        </w:rPr>
      </w:pPr>
      <w:r>
        <w:rPr>
          <w:rFonts w:cs="Times New Roman"/>
          <w:sz w:val="24"/>
          <w:szCs w:val="24"/>
        </w:rPr>
        <w:t xml:space="preserve">Holding: </w:t>
      </w:r>
      <w:r w:rsidRPr="00B654A8">
        <w:rPr>
          <w:rFonts w:cs="Times New Roman"/>
          <w:sz w:val="24"/>
          <w:szCs w:val="24"/>
        </w:rPr>
        <w:t xml:space="preserve">Ds withheld information that was material to shareholders and therefore were acting on insider information when they purchased their shares and calls on Texas Gulf stock. The court looked at the conduct of Ds as evidence that the information was material: they purchased a great deal of shares in Texas Gulf, they deliberately kept the information from others, and the timing of their purchases occurred during the period that they exclusively held the information. It did not matter that there was still an element of uncertainty in the eventual mineral mining, but the key element was whether a reasonable person would believe that the information would be relevant to the price of the stock. Further, </w:t>
      </w:r>
      <w:r w:rsidRPr="002D4351">
        <w:rPr>
          <w:rFonts w:cs="Times New Roman"/>
          <w:sz w:val="24"/>
          <w:szCs w:val="24"/>
          <w:u w:val="single"/>
        </w:rPr>
        <w:t>Defendants should not act upon the information until the information is disseminated to the point that the public would have had a reasonable opportunity to act on it.</w:t>
      </w:r>
      <w:r w:rsidRPr="00B654A8">
        <w:rPr>
          <w:rFonts w:cs="Times New Roman"/>
          <w:sz w:val="24"/>
          <w:szCs w:val="24"/>
        </w:rPr>
        <w:t xml:space="preserve"> </w:t>
      </w:r>
      <w:r w:rsidRPr="00B654A8">
        <w:rPr>
          <w:rFonts w:cs="Times New Roman"/>
          <w:sz w:val="24"/>
          <w:szCs w:val="24"/>
        </w:rPr>
        <w:lastRenderedPageBreak/>
        <w:t>Remand on issue of whether press release violated of Rule 10b-5 so court can consider witness testimony, etc.</w:t>
      </w:r>
    </w:p>
    <w:p w14:paraId="4B432895" w14:textId="77777777" w:rsidR="001E1082" w:rsidRPr="001E1082" w:rsidRDefault="00CB499B" w:rsidP="001E1082">
      <w:pPr>
        <w:pStyle w:val="ListParagraph"/>
        <w:numPr>
          <w:ilvl w:val="2"/>
          <w:numId w:val="10"/>
        </w:numPr>
        <w:rPr>
          <w:rFonts w:cs="Times New Roman"/>
          <w:i/>
          <w:sz w:val="24"/>
          <w:szCs w:val="24"/>
        </w:rPr>
      </w:pPr>
      <w:r>
        <w:rPr>
          <w:rFonts w:cs="Times New Roman"/>
          <w:sz w:val="24"/>
          <w:szCs w:val="24"/>
        </w:rPr>
        <w:t xml:space="preserve">Problem: Financial analysts fall under Texas Gulf Sulphur’s level-playing field approach, which is rejected in </w:t>
      </w:r>
      <w:proofErr w:type="spellStart"/>
      <w:r>
        <w:rPr>
          <w:rFonts w:cs="Times New Roman"/>
          <w:sz w:val="24"/>
          <w:szCs w:val="24"/>
        </w:rPr>
        <w:t>Chiarella</w:t>
      </w:r>
      <w:proofErr w:type="spellEnd"/>
      <w:r>
        <w:rPr>
          <w:rFonts w:cs="Times New Roman"/>
          <w:sz w:val="24"/>
          <w:szCs w:val="24"/>
        </w:rPr>
        <w:t>.</w:t>
      </w:r>
    </w:p>
    <w:p w14:paraId="5BFE76F3" w14:textId="6A78AA21" w:rsidR="001E1082" w:rsidRPr="001E1082" w:rsidRDefault="001E1082" w:rsidP="001E1082">
      <w:pPr>
        <w:pStyle w:val="ListParagraph"/>
        <w:numPr>
          <w:ilvl w:val="2"/>
          <w:numId w:val="10"/>
        </w:numPr>
        <w:rPr>
          <w:rFonts w:cs="Times New Roman"/>
          <w:b/>
          <w:sz w:val="24"/>
          <w:szCs w:val="24"/>
        </w:rPr>
      </w:pPr>
      <w:r w:rsidRPr="001E1082">
        <w:rPr>
          <w:b/>
        </w:rPr>
        <w:t>Jordan v. Duff and Phelps, Inc. (7th Cir. 1987)</w:t>
      </w:r>
    </w:p>
    <w:p w14:paraId="4C26397E" w14:textId="77777777" w:rsidR="001E1082" w:rsidRDefault="001E1082" w:rsidP="001E1082">
      <w:pPr>
        <w:pStyle w:val="ListParagraph"/>
        <w:numPr>
          <w:ilvl w:val="3"/>
          <w:numId w:val="12"/>
        </w:numPr>
        <w:rPr>
          <w:rFonts w:cs="Times New Roman"/>
          <w:sz w:val="24"/>
          <w:szCs w:val="24"/>
        </w:rPr>
      </w:pPr>
      <w:r>
        <w:rPr>
          <w:rFonts w:cs="Times New Roman"/>
          <w:sz w:val="24"/>
          <w:szCs w:val="24"/>
        </w:rPr>
        <w:t xml:space="preserve">Synopsis: James Jordan (P) was a securities analyst at Duff &amp; Phelps (D). P owned 1% of firm’s stock (privately held). In buying the stock, P signed a shareholders agreement and a stock purchase agreement. The stock purchase agreement provided that if P left the firm, he agreed to resell the stock to the firm for its book value at the end of the previous calendar year and that </w:t>
      </w:r>
      <w:r w:rsidRPr="004B7A88">
        <w:rPr>
          <w:rFonts w:cs="Times New Roman"/>
          <w:sz w:val="24"/>
          <w:szCs w:val="24"/>
          <w:u w:val="single"/>
        </w:rPr>
        <w:t xml:space="preserve">nothing in the </w:t>
      </w:r>
      <w:r>
        <w:rPr>
          <w:rFonts w:cs="Times New Roman"/>
          <w:sz w:val="24"/>
          <w:szCs w:val="24"/>
          <w:u w:val="single"/>
        </w:rPr>
        <w:t>agreement conferred on him any r</w:t>
      </w:r>
      <w:r w:rsidRPr="004B7A88">
        <w:rPr>
          <w:rFonts w:cs="Times New Roman"/>
          <w:sz w:val="24"/>
          <w:szCs w:val="24"/>
          <w:u w:val="single"/>
        </w:rPr>
        <w:t>ight to be continued in employment</w:t>
      </w:r>
      <w:r>
        <w:rPr>
          <w:rFonts w:cs="Times New Roman"/>
          <w:sz w:val="24"/>
          <w:szCs w:val="24"/>
        </w:rPr>
        <w:t>. P decided to move, got another job, and resigned from Duff &amp; Phelps. P obtained a book value for his stock of $23K. Later P heard that D was in merger talks and had been in merger talks while P was still at the firm that would</w:t>
      </w:r>
      <w:r w:rsidRPr="00DA6EDA">
        <w:t xml:space="preserve"> </w:t>
      </w:r>
      <w:r w:rsidRPr="00DA6EDA">
        <w:rPr>
          <w:rFonts w:cs="Times New Roman"/>
          <w:sz w:val="24"/>
          <w:szCs w:val="24"/>
        </w:rPr>
        <w:t>have put the shares he was eligible for at a value of $452,000, plus be entitled to another $194,000 in “earn-out” money. P wanted his stock back, but D refused.</w:t>
      </w:r>
      <w:r>
        <w:rPr>
          <w:rFonts w:cs="Times New Roman"/>
          <w:sz w:val="24"/>
          <w:szCs w:val="24"/>
        </w:rPr>
        <w:t xml:space="preserve"> P sued D for violating 10b-5 by not abstaining or disclosing (</w:t>
      </w:r>
      <w:r w:rsidRPr="00D9445A">
        <w:rPr>
          <w:rFonts w:cs="Times New Roman"/>
          <w:i/>
          <w:sz w:val="24"/>
          <w:szCs w:val="24"/>
        </w:rPr>
        <w:t>Texas Gulf</w:t>
      </w:r>
      <w:r>
        <w:rPr>
          <w:rFonts w:cs="Times New Roman"/>
          <w:sz w:val="24"/>
          <w:szCs w:val="24"/>
        </w:rPr>
        <w:t>) the merger talks to P saying he would have never resigned if knew about the merger talks.  Merger talks failed but later there was a leveraged buy-out.</w:t>
      </w:r>
    </w:p>
    <w:p w14:paraId="71788238" w14:textId="77777777" w:rsidR="001E1082" w:rsidRDefault="001E1082" w:rsidP="001E1082">
      <w:pPr>
        <w:pStyle w:val="ListParagraph"/>
        <w:numPr>
          <w:ilvl w:val="3"/>
          <w:numId w:val="12"/>
        </w:numPr>
        <w:rPr>
          <w:rFonts w:cs="Times New Roman"/>
          <w:sz w:val="24"/>
          <w:szCs w:val="24"/>
        </w:rPr>
      </w:pPr>
      <w:r>
        <w:rPr>
          <w:rFonts w:cs="Times New Roman"/>
          <w:sz w:val="24"/>
          <w:szCs w:val="24"/>
        </w:rPr>
        <w:t>Tools:</w:t>
      </w:r>
    </w:p>
    <w:p w14:paraId="37288A51" w14:textId="77777777" w:rsidR="001E1082" w:rsidRDefault="001E1082" w:rsidP="001E1082">
      <w:pPr>
        <w:pStyle w:val="ListParagraph"/>
        <w:numPr>
          <w:ilvl w:val="4"/>
          <w:numId w:val="12"/>
        </w:numPr>
        <w:rPr>
          <w:rFonts w:cs="Times New Roman"/>
          <w:sz w:val="24"/>
          <w:szCs w:val="24"/>
        </w:rPr>
      </w:pPr>
      <w:r>
        <w:rPr>
          <w:rFonts w:cs="Times New Roman"/>
          <w:sz w:val="24"/>
          <w:szCs w:val="24"/>
        </w:rPr>
        <w:t>Shareholder relationship &gt; at-will employment relationship</w:t>
      </w:r>
    </w:p>
    <w:p w14:paraId="294F1587" w14:textId="77777777" w:rsidR="001E1082" w:rsidRDefault="001E1082" w:rsidP="001E1082">
      <w:pPr>
        <w:pStyle w:val="ListParagraph"/>
        <w:numPr>
          <w:ilvl w:val="4"/>
          <w:numId w:val="12"/>
        </w:numPr>
        <w:rPr>
          <w:rFonts w:cs="Times New Roman"/>
          <w:sz w:val="24"/>
          <w:szCs w:val="24"/>
        </w:rPr>
      </w:pPr>
      <w:r>
        <w:rPr>
          <w:rFonts w:cs="Times New Roman"/>
          <w:sz w:val="24"/>
          <w:szCs w:val="24"/>
        </w:rPr>
        <w:t>Seems to suggest that shareholder cannot contract away fiduciary duties at least as it relates to agreement that is not shareholders agreement.</w:t>
      </w:r>
    </w:p>
    <w:p w14:paraId="59F99630" w14:textId="77777777" w:rsidR="001E1082" w:rsidRPr="00C212D1" w:rsidRDefault="001E1082" w:rsidP="001E1082">
      <w:pPr>
        <w:pStyle w:val="ListParagraph"/>
        <w:numPr>
          <w:ilvl w:val="4"/>
          <w:numId w:val="12"/>
        </w:numPr>
        <w:rPr>
          <w:rFonts w:cs="Times New Roman"/>
          <w:sz w:val="24"/>
          <w:szCs w:val="24"/>
          <w:u w:val="single"/>
        </w:rPr>
      </w:pPr>
      <w:r w:rsidRPr="00C212D1">
        <w:rPr>
          <w:rFonts w:cs="Times New Roman"/>
          <w:sz w:val="24"/>
          <w:szCs w:val="24"/>
          <w:u w:val="single"/>
        </w:rPr>
        <w:t>“Close corporations buying their own stock, like knowledgeable insiders of closely held firms buying from outsiders, have a fiduciary duty to disclose material facts.”</w:t>
      </w:r>
    </w:p>
    <w:p w14:paraId="5703877A" w14:textId="77777777" w:rsidR="001E1082" w:rsidRDefault="001E1082" w:rsidP="001E1082">
      <w:pPr>
        <w:pStyle w:val="ListParagraph"/>
        <w:numPr>
          <w:ilvl w:val="4"/>
          <w:numId w:val="12"/>
        </w:numPr>
        <w:rPr>
          <w:rFonts w:cs="Times New Roman"/>
          <w:sz w:val="24"/>
          <w:szCs w:val="24"/>
        </w:rPr>
      </w:pPr>
      <w:r>
        <w:rPr>
          <w:rFonts w:cs="Times New Roman"/>
          <w:sz w:val="24"/>
          <w:szCs w:val="24"/>
        </w:rPr>
        <w:t>At-will employee does not mean he can be fired for any reason.</w:t>
      </w:r>
    </w:p>
    <w:p w14:paraId="3D713D92" w14:textId="77777777" w:rsidR="001E1082" w:rsidRPr="009C6979" w:rsidRDefault="001E1082" w:rsidP="001E1082">
      <w:pPr>
        <w:pStyle w:val="ListParagraph"/>
        <w:numPr>
          <w:ilvl w:val="4"/>
          <w:numId w:val="12"/>
        </w:numPr>
        <w:rPr>
          <w:rFonts w:cs="Times New Roman"/>
          <w:sz w:val="24"/>
          <w:szCs w:val="24"/>
        </w:rPr>
      </w:pPr>
      <w:r>
        <w:rPr>
          <w:rFonts w:cs="Times New Roman"/>
          <w:sz w:val="24"/>
          <w:szCs w:val="24"/>
        </w:rPr>
        <w:t>“The relevance of the fact does not depend on how things turn out…a failure to disclose an important beneficent event is a violation even if things later go sour.”</w:t>
      </w:r>
    </w:p>
    <w:p w14:paraId="3C53D33F" w14:textId="77777777" w:rsidR="001E1082" w:rsidRDefault="001E1082" w:rsidP="001E1082">
      <w:pPr>
        <w:pStyle w:val="ListParagraph"/>
        <w:numPr>
          <w:ilvl w:val="3"/>
          <w:numId w:val="12"/>
        </w:numPr>
        <w:rPr>
          <w:rFonts w:cs="Times New Roman"/>
          <w:sz w:val="24"/>
          <w:szCs w:val="24"/>
        </w:rPr>
      </w:pPr>
      <w:r>
        <w:rPr>
          <w:rFonts w:cs="Times New Roman"/>
          <w:sz w:val="24"/>
          <w:szCs w:val="24"/>
        </w:rPr>
        <w:t xml:space="preserve">Easterbrook (majority): P could have chosen to stay and keep his stock; to decide whether to stay he needed information D had but did not disclose (information was material); D had a fiduciary relation to P as shareholder; and in repurchasing P’s stock without disclosing the information P needed to decide whether to keep his stock (and stay) or sell it (and go), D violated 10b-5. </w:t>
      </w:r>
    </w:p>
    <w:p w14:paraId="731DDEEF" w14:textId="1BF98095" w:rsidR="001E1082" w:rsidRPr="001E1082" w:rsidRDefault="001E1082" w:rsidP="001E1082">
      <w:pPr>
        <w:pStyle w:val="ListParagraph"/>
        <w:numPr>
          <w:ilvl w:val="3"/>
          <w:numId w:val="12"/>
        </w:numPr>
        <w:rPr>
          <w:rFonts w:cs="Times New Roman"/>
          <w:sz w:val="24"/>
          <w:szCs w:val="24"/>
        </w:rPr>
      </w:pPr>
      <w:r>
        <w:rPr>
          <w:rFonts w:cs="Times New Roman"/>
          <w:sz w:val="24"/>
          <w:szCs w:val="24"/>
        </w:rPr>
        <w:t xml:space="preserve">Posner (dissent): P had a right to the information only if he had a right to stay at Duff &amp; Phelps; as an at-will employee, he had such a right only if he obtained it as an adjunct to any right he might acquire as a minority shareholder; and through the shareholders’ agreement he waived any such right.  </w:t>
      </w:r>
    </w:p>
    <w:p w14:paraId="15FA54F1" w14:textId="548D09CC" w:rsidR="003E2159" w:rsidRPr="007942F0" w:rsidRDefault="005D36F8" w:rsidP="00703047">
      <w:pPr>
        <w:pStyle w:val="Heading3"/>
        <w:numPr>
          <w:ilvl w:val="1"/>
          <w:numId w:val="10"/>
        </w:numPr>
      </w:pPr>
      <w:r>
        <w:t xml:space="preserve">Duty </w:t>
      </w:r>
      <w:r w:rsidR="00EE19A4">
        <w:t xml:space="preserve">to Trading Partner </w:t>
      </w:r>
      <w:r>
        <w:t>Required</w:t>
      </w:r>
      <w:r w:rsidR="00E0142B">
        <w:t xml:space="preserve"> </w:t>
      </w:r>
      <w:r>
        <w:t xml:space="preserve">– </w:t>
      </w:r>
      <w:proofErr w:type="spellStart"/>
      <w:r w:rsidR="007942F0" w:rsidRPr="00EE19A4">
        <w:t>Chiarella</w:t>
      </w:r>
      <w:proofErr w:type="spellEnd"/>
      <w:r w:rsidR="007942F0" w:rsidRPr="00EE19A4">
        <w:t xml:space="preserve"> v. United States (US 1980)</w:t>
      </w:r>
    </w:p>
    <w:p w14:paraId="26F7C32C" w14:textId="20F41ED2" w:rsidR="007942F0" w:rsidRDefault="007942F0" w:rsidP="007942F0">
      <w:pPr>
        <w:pStyle w:val="ListParagraph"/>
        <w:numPr>
          <w:ilvl w:val="2"/>
          <w:numId w:val="10"/>
        </w:numPr>
        <w:rPr>
          <w:rFonts w:cs="Times New Roman"/>
          <w:sz w:val="24"/>
          <w:szCs w:val="24"/>
        </w:rPr>
      </w:pPr>
      <w:r>
        <w:rPr>
          <w:rFonts w:cs="Times New Roman"/>
          <w:sz w:val="24"/>
          <w:szCs w:val="24"/>
        </w:rPr>
        <w:t xml:space="preserve">Synopsis: </w:t>
      </w:r>
      <w:r w:rsidRPr="007942F0">
        <w:rPr>
          <w:rFonts w:cs="Times New Roman"/>
          <w:sz w:val="24"/>
          <w:szCs w:val="24"/>
        </w:rPr>
        <w:t>D worked for printing company which was retained by the acquiring corporation in connection with a tender offer for the shares of another corporation. The acquiring corporation made every reasonable effort to keep the identity of the tender offer target a secret, even from the employees of the printer. D figured out the identity of the target and bought shares of its stock through a broker. When the tender offer was announced, the target shares rose in value and D sold his shares at a profit. D was indicted for violating 10(b) and Rule 10b-5 by the Court of Appeals. The Supreme Court reversed holding that D’s conduct was not a violation because he was not an insider of the corpora</w:t>
      </w:r>
      <w:r>
        <w:rPr>
          <w:rFonts w:cs="Times New Roman"/>
          <w:sz w:val="24"/>
          <w:szCs w:val="24"/>
        </w:rPr>
        <w:t xml:space="preserve">tion whose shares he had traded, so </w:t>
      </w:r>
      <w:r w:rsidRPr="004C3F61">
        <w:rPr>
          <w:rFonts w:cs="Times New Roman"/>
          <w:sz w:val="24"/>
          <w:szCs w:val="24"/>
          <w:u w:val="single"/>
        </w:rPr>
        <w:t>he stood in no relationship of trust and confidence to the target shareholders</w:t>
      </w:r>
      <w:r>
        <w:rPr>
          <w:rFonts w:cs="Times New Roman"/>
          <w:sz w:val="24"/>
          <w:szCs w:val="24"/>
        </w:rPr>
        <w:t xml:space="preserve">. D may have owed a fiduciary duty to the acquirer through his job, but he did not buy the acquirer’s stock. </w:t>
      </w:r>
    </w:p>
    <w:p w14:paraId="24575A53" w14:textId="28ED5618" w:rsidR="003E2159" w:rsidRDefault="007942F0" w:rsidP="00E361D6">
      <w:pPr>
        <w:pStyle w:val="ListParagraph"/>
        <w:numPr>
          <w:ilvl w:val="2"/>
          <w:numId w:val="10"/>
        </w:numPr>
        <w:rPr>
          <w:rFonts w:cs="Times New Roman"/>
          <w:sz w:val="24"/>
          <w:szCs w:val="24"/>
        </w:rPr>
      </w:pPr>
      <w:r>
        <w:rPr>
          <w:rFonts w:cs="Times New Roman"/>
          <w:sz w:val="24"/>
          <w:szCs w:val="24"/>
        </w:rPr>
        <w:t>Tool: “One who fails to disclose material information prior to the consummation of a transaction commits fraud only when he is under a duty to do so. And the duty to disclose arises when one part</w:t>
      </w:r>
      <w:r w:rsidR="00CB499B">
        <w:rPr>
          <w:rFonts w:cs="Times New Roman"/>
          <w:sz w:val="24"/>
          <w:szCs w:val="24"/>
        </w:rPr>
        <w:t>y</w:t>
      </w:r>
      <w:r>
        <w:rPr>
          <w:rFonts w:cs="Times New Roman"/>
          <w:sz w:val="24"/>
          <w:szCs w:val="24"/>
        </w:rPr>
        <w:t xml:space="preserve"> has information that the other [party] is entitled to know because of a </w:t>
      </w:r>
      <w:r w:rsidRPr="007942F0">
        <w:rPr>
          <w:rFonts w:cs="Times New Roman"/>
          <w:sz w:val="24"/>
          <w:szCs w:val="24"/>
          <w:u w:val="single"/>
        </w:rPr>
        <w:t>fiduciary or other similar relation of trust and confidence between them</w:t>
      </w:r>
      <w:r>
        <w:rPr>
          <w:rFonts w:cs="Times New Roman"/>
          <w:sz w:val="24"/>
          <w:szCs w:val="24"/>
        </w:rPr>
        <w:t>.”</w:t>
      </w:r>
      <w:r w:rsidR="00CB499B">
        <w:rPr>
          <w:rFonts w:cs="Times New Roman"/>
          <w:sz w:val="24"/>
          <w:szCs w:val="24"/>
        </w:rPr>
        <w:t xml:space="preserve"> </w:t>
      </w:r>
      <w:r w:rsidR="00CB499B" w:rsidRPr="00CB499B">
        <w:rPr>
          <w:rFonts w:cs="Times New Roman"/>
          <w:sz w:val="24"/>
          <w:szCs w:val="24"/>
        </w:rPr>
        <w:sym w:font="Wingdings" w:char="F0E0"/>
      </w:r>
      <w:r w:rsidR="00CB499B">
        <w:rPr>
          <w:rFonts w:cs="Times New Roman"/>
          <w:sz w:val="24"/>
          <w:szCs w:val="24"/>
        </w:rPr>
        <w:t xml:space="preserve"> </w:t>
      </w:r>
      <w:proofErr w:type="spellStart"/>
      <w:r w:rsidR="00CB499B">
        <w:rPr>
          <w:rFonts w:cs="Times New Roman"/>
          <w:sz w:val="24"/>
          <w:szCs w:val="24"/>
        </w:rPr>
        <w:t>Chiarella</w:t>
      </w:r>
      <w:proofErr w:type="spellEnd"/>
      <w:r w:rsidR="00CB499B">
        <w:rPr>
          <w:rFonts w:cs="Times New Roman"/>
          <w:sz w:val="24"/>
          <w:szCs w:val="24"/>
        </w:rPr>
        <w:t xml:space="preserve"> had no duty to target so did not violate 10b-5.</w:t>
      </w:r>
    </w:p>
    <w:p w14:paraId="2A5B91D4" w14:textId="753F1BFE" w:rsidR="003E2159" w:rsidRDefault="003E2159" w:rsidP="00E361D6">
      <w:pPr>
        <w:pStyle w:val="ListParagraph"/>
        <w:numPr>
          <w:ilvl w:val="2"/>
          <w:numId w:val="10"/>
        </w:numPr>
        <w:rPr>
          <w:rFonts w:cs="Times New Roman"/>
          <w:sz w:val="24"/>
          <w:szCs w:val="24"/>
        </w:rPr>
      </w:pPr>
      <w:r>
        <w:rPr>
          <w:rFonts w:cs="Times New Roman"/>
          <w:sz w:val="24"/>
          <w:szCs w:val="24"/>
        </w:rPr>
        <w:lastRenderedPageBreak/>
        <w:t>Dissent</w:t>
      </w:r>
      <w:r w:rsidR="007942F0">
        <w:rPr>
          <w:rFonts w:cs="Times New Roman"/>
          <w:sz w:val="24"/>
          <w:szCs w:val="24"/>
        </w:rPr>
        <w:t xml:space="preserve"> (Burger): </w:t>
      </w:r>
      <w:proofErr w:type="spellStart"/>
      <w:r w:rsidR="007942F0">
        <w:rPr>
          <w:rFonts w:cs="Times New Roman"/>
          <w:sz w:val="24"/>
          <w:szCs w:val="24"/>
        </w:rPr>
        <w:t>Chairella</w:t>
      </w:r>
      <w:proofErr w:type="spellEnd"/>
      <w:r w:rsidR="007942F0">
        <w:rPr>
          <w:rFonts w:cs="Times New Roman"/>
          <w:sz w:val="24"/>
          <w:szCs w:val="24"/>
        </w:rPr>
        <w:t xml:space="preserve"> “misappropriated” information about the takeover. When </w:t>
      </w:r>
      <w:proofErr w:type="spellStart"/>
      <w:r w:rsidR="007942F0">
        <w:rPr>
          <w:rFonts w:cs="Times New Roman"/>
          <w:sz w:val="24"/>
          <w:szCs w:val="24"/>
        </w:rPr>
        <w:t>Chiarella</w:t>
      </w:r>
      <w:proofErr w:type="spellEnd"/>
      <w:r w:rsidR="007942F0">
        <w:rPr>
          <w:rFonts w:cs="Times New Roman"/>
          <w:sz w:val="24"/>
          <w:szCs w:val="24"/>
        </w:rPr>
        <w:t xml:space="preserve"> broke </w:t>
      </w:r>
      <w:proofErr w:type="spellStart"/>
      <w:r w:rsidR="007942F0">
        <w:rPr>
          <w:rFonts w:cs="Times New Roman"/>
          <w:sz w:val="24"/>
          <w:szCs w:val="24"/>
        </w:rPr>
        <w:t>Pandick</w:t>
      </w:r>
      <w:proofErr w:type="spellEnd"/>
      <w:r w:rsidR="007942F0">
        <w:rPr>
          <w:rFonts w:cs="Times New Roman"/>
          <w:sz w:val="24"/>
          <w:szCs w:val="24"/>
        </w:rPr>
        <w:t xml:space="preserve"> rules, he misappropriated the information and committed a fraud on </w:t>
      </w:r>
      <w:proofErr w:type="spellStart"/>
      <w:r w:rsidR="007942F0">
        <w:rPr>
          <w:rFonts w:cs="Times New Roman"/>
          <w:sz w:val="24"/>
          <w:szCs w:val="24"/>
        </w:rPr>
        <w:t>Pandick</w:t>
      </w:r>
      <w:proofErr w:type="spellEnd"/>
      <w:r w:rsidR="007942F0">
        <w:rPr>
          <w:rFonts w:cs="Times New Roman"/>
          <w:sz w:val="24"/>
          <w:szCs w:val="24"/>
        </w:rPr>
        <w:t xml:space="preserve"> and its clients. This fraud constituted a Rule 10b-5 violation. </w:t>
      </w:r>
      <w:r w:rsidR="002F1D66">
        <w:rPr>
          <w:rFonts w:cs="Times New Roman"/>
          <w:sz w:val="24"/>
          <w:szCs w:val="24"/>
        </w:rPr>
        <w:t xml:space="preserve">(This argument was not presented to the jury). </w:t>
      </w:r>
    </w:p>
    <w:p w14:paraId="36CA8AD3" w14:textId="6BE49298" w:rsidR="003E2159" w:rsidRPr="002F1D66" w:rsidRDefault="003E2159" w:rsidP="00703047">
      <w:pPr>
        <w:pStyle w:val="Heading3"/>
        <w:numPr>
          <w:ilvl w:val="1"/>
          <w:numId w:val="10"/>
        </w:numPr>
      </w:pPr>
      <w:proofErr w:type="spellStart"/>
      <w:r>
        <w:t>Tippee</w:t>
      </w:r>
      <w:proofErr w:type="spellEnd"/>
      <w:r>
        <w:t xml:space="preserve"> </w:t>
      </w:r>
      <w:r w:rsidR="005D36F8">
        <w:t xml:space="preserve">(Typically Investor) </w:t>
      </w:r>
      <w:r>
        <w:t>Liability</w:t>
      </w:r>
      <w:r w:rsidR="002F1D66">
        <w:t xml:space="preserve"> – </w:t>
      </w:r>
      <w:r w:rsidR="002F1D66" w:rsidRPr="002F1D66">
        <w:t>Dirks v. Securities &amp; Exchange Commission (US 1983)</w:t>
      </w:r>
    </w:p>
    <w:p w14:paraId="4DEE00A8" w14:textId="43B9A2B7" w:rsidR="003E2159" w:rsidRDefault="002F1D66" w:rsidP="00643E0E">
      <w:pPr>
        <w:pStyle w:val="ListParagraph"/>
        <w:numPr>
          <w:ilvl w:val="2"/>
          <w:numId w:val="10"/>
        </w:numPr>
        <w:rPr>
          <w:rFonts w:cs="Times New Roman"/>
          <w:sz w:val="24"/>
          <w:szCs w:val="24"/>
        </w:rPr>
      </w:pPr>
      <w:r>
        <w:rPr>
          <w:rFonts w:cs="Times New Roman"/>
          <w:sz w:val="24"/>
          <w:szCs w:val="24"/>
        </w:rPr>
        <w:t xml:space="preserve">Synopsis: </w:t>
      </w:r>
      <w:proofErr w:type="spellStart"/>
      <w:r w:rsidR="00643E0E" w:rsidRPr="00643E0E">
        <w:rPr>
          <w:rFonts w:cs="Times New Roman"/>
          <w:sz w:val="24"/>
          <w:szCs w:val="24"/>
        </w:rPr>
        <w:t>Secrist</w:t>
      </w:r>
      <w:proofErr w:type="spellEnd"/>
      <w:r w:rsidR="00643E0E" w:rsidRPr="00643E0E">
        <w:rPr>
          <w:rFonts w:cs="Times New Roman"/>
          <w:sz w:val="24"/>
          <w:szCs w:val="24"/>
        </w:rPr>
        <w:t>, an insider</w:t>
      </w:r>
      <w:r w:rsidR="000611AE">
        <w:rPr>
          <w:rFonts w:cs="Times New Roman"/>
          <w:sz w:val="24"/>
          <w:szCs w:val="24"/>
        </w:rPr>
        <w:t>, (tipper)</w:t>
      </w:r>
      <w:r w:rsidR="00643E0E" w:rsidRPr="00643E0E">
        <w:rPr>
          <w:rFonts w:cs="Times New Roman"/>
          <w:sz w:val="24"/>
          <w:szCs w:val="24"/>
        </w:rPr>
        <w:t xml:space="preserve"> that worked for Equity Funding of America told Dirks</w:t>
      </w:r>
      <w:r w:rsidR="000611AE">
        <w:rPr>
          <w:rFonts w:cs="Times New Roman"/>
          <w:sz w:val="24"/>
          <w:szCs w:val="24"/>
        </w:rPr>
        <w:t xml:space="preserve"> (</w:t>
      </w:r>
      <w:proofErr w:type="spellStart"/>
      <w:r w:rsidR="000611AE">
        <w:rPr>
          <w:rFonts w:cs="Times New Roman"/>
          <w:sz w:val="24"/>
          <w:szCs w:val="24"/>
        </w:rPr>
        <w:t>tippee</w:t>
      </w:r>
      <w:proofErr w:type="spellEnd"/>
      <w:r w:rsidR="000611AE">
        <w:rPr>
          <w:rFonts w:cs="Times New Roman"/>
          <w:sz w:val="24"/>
          <w:szCs w:val="24"/>
        </w:rPr>
        <w:t>)</w:t>
      </w:r>
      <w:r w:rsidR="00643E0E" w:rsidRPr="00643E0E">
        <w:rPr>
          <w:rFonts w:cs="Times New Roman"/>
          <w:sz w:val="24"/>
          <w:szCs w:val="24"/>
        </w:rPr>
        <w:t xml:space="preserve"> that the company was overstating their assets and that Dirks, who was an officer that provided investment analysis for a broker-dealer firm, should investigate the fraud. Dirks interviewed other employees who corroborated the fraudulent allegations. Dirks told investors and clients </w:t>
      </w:r>
      <w:r w:rsidR="000611AE">
        <w:rPr>
          <w:rFonts w:cs="Times New Roman"/>
          <w:sz w:val="24"/>
          <w:szCs w:val="24"/>
        </w:rPr>
        <w:t xml:space="preserve">(secondary </w:t>
      </w:r>
      <w:proofErr w:type="spellStart"/>
      <w:r w:rsidR="000611AE">
        <w:rPr>
          <w:rFonts w:cs="Times New Roman"/>
          <w:sz w:val="24"/>
          <w:szCs w:val="24"/>
        </w:rPr>
        <w:t>tippees</w:t>
      </w:r>
      <w:proofErr w:type="spellEnd"/>
      <w:r w:rsidR="000611AE">
        <w:rPr>
          <w:rFonts w:cs="Times New Roman"/>
          <w:sz w:val="24"/>
          <w:szCs w:val="24"/>
        </w:rPr>
        <w:t xml:space="preserve">) </w:t>
      </w:r>
      <w:r w:rsidR="00643E0E" w:rsidRPr="00643E0E">
        <w:rPr>
          <w:rFonts w:cs="Times New Roman"/>
          <w:sz w:val="24"/>
          <w:szCs w:val="24"/>
        </w:rPr>
        <w:t xml:space="preserve">about the fraud, and they reacted by selling their stake in the company. When the stock was being heavily traded and dipped from $26 to $15, the New York Stock Exchange halted trading and the SEC investigated and found fraud. SEC then filed suit against Dirks for violations of </w:t>
      </w:r>
      <w:r w:rsidR="000611AE">
        <w:rPr>
          <w:rFonts w:cs="Times New Roman"/>
          <w:sz w:val="24"/>
          <w:szCs w:val="24"/>
        </w:rPr>
        <w:t>10b-5</w:t>
      </w:r>
      <w:r w:rsidR="00643E0E" w:rsidRPr="00643E0E">
        <w:rPr>
          <w:rFonts w:cs="Times New Roman"/>
          <w:sz w:val="24"/>
          <w:szCs w:val="24"/>
        </w:rPr>
        <w:t xml:space="preserve"> for using the insider information and perhaps receive commissions from those clients. The trial court and appellate court agreed with SEC, reasoning that anytime a </w:t>
      </w:r>
      <w:proofErr w:type="spellStart"/>
      <w:r w:rsidR="00643E0E" w:rsidRPr="00643E0E">
        <w:rPr>
          <w:rFonts w:cs="Times New Roman"/>
          <w:sz w:val="24"/>
          <w:szCs w:val="24"/>
        </w:rPr>
        <w:t>tippee</w:t>
      </w:r>
      <w:proofErr w:type="spellEnd"/>
      <w:r w:rsidR="00643E0E" w:rsidRPr="00643E0E">
        <w:rPr>
          <w:rFonts w:cs="Times New Roman"/>
          <w:sz w:val="24"/>
          <w:szCs w:val="24"/>
        </w:rPr>
        <w:t xml:space="preserve"> knowingly has inside information that they should publicly disclose it or refrain from acting upon it.</w:t>
      </w:r>
      <w:r w:rsidR="00876E2B">
        <w:rPr>
          <w:rFonts w:cs="Times New Roman"/>
          <w:sz w:val="24"/>
          <w:szCs w:val="24"/>
        </w:rPr>
        <w:t xml:space="preserve"> SCOTUS found that </w:t>
      </w:r>
      <w:proofErr w:type="spellStart"/>
      <w:r w:rsidR="00876E2B">
        <w:rPr>
          <w:rFonts w:cs="Times New Roman"/>
          <w:sz w:val="24"/>
          <w:szCs w:val="24"/>
        </w:rPr>
        <w:t>Secrist</w:t>
      </w:r>
      <w:proofErr w:type="spellEnd"/>
      <w:r w:rsidR="00876E2B">
        <w:rPr>
          <w:rFonts w:cs="Times New Roman"/>
          <w:sz w:val="24"/>
          <w:szCs w:val="24"/>
        </w:rPr>
        <w:t xml:space="preserve"> did not gain, because he was just motivated by a desire to expose the fraud, so Dirks and his clients could freely trade. </w:t>
      </w:r>
    </w:p>
    <w:p w14:paraId="3D012D50" w14:textId="77777777" w:rsidR="000611AE" w:rsidRDefault="00643E0E" w:rsidP="00E361D6">
      <w:pPr>
        <w:pStyle w:val="ListParagraph"/>
        <w:numPr>
          <w:ilvl w:val="2"/>
          <w:numId w:val="10"/>
        </w:numPr>
        <w:rPr>
          <w:rFonts w:cs="Times New Roman"/>
          <w:sz w:val="24"/>
          <w:szCs w:val="24"/>
        </w:rPr>
      </w:pPr>
      <w:r>
        <w:rPr>
          <w:rFonts w:cs="Times New Roman"/>
          <w:sz w:val="24"/>
          <w:szCs w:val="24"/>
        </w:rPr>
        <w:t xml:space="preserve">Tool: </w:t>
      </w:r>
    </w:p>
    <w:p w14:paraId="713E3B43" w14:textId="71341EAA" w:rsidR="003E2159" w:rsidRDefault="000611AE" w:rsidP="000611AE">
      <w:pPr>
        <w:pStyle w:val="ListParagraph"/>
        <w:numPr>
          <w:ilvl w:val="3"/>
          <w:numId w:val="10"/>
        </w:numPr>
        <w:rPr>
          <w:rFonts w:cs="Times New Roman"/>
          <w:sz w:val="24"/>
          <w:szCs w:val="24"/>
        </w:rPr>
      </w:pPr>
      <w:proofErr w:type="spellStart"/>
      <w:r>
        <w:rPr>
          <w:rFonts w:cs="Times New Roman"/>
          <w:sz w:val="24"/>
          <w:szCs w:val="24"/>
        </w:rPr>
        <w:t>Tippees</w:t>
      </w:r>
      <w:proofErr w:type="spellEnd"/>
      <w:r>
        <w:rPr>
          <w:rFonts w:cs="Times New Roman"/>
          <w:sz w:val="24"/>
          <w:szCs w:val="24"/>
        </w:rPr>
        <w:t xml:space="preserve"> and secondary </w:t>
      </w:r>
      <w:proofErr w:type="spellStart"/>
      <w:r>
        <w:rPr>
          <w:rFonts w:cs="Times New Roman"/>
          <w:sz w:val="24"/>
          <w:szCs w:val="24"/>
        </w:rPr>
        <w:t>tippees</w:t>
      </w:r>
      <w:proofErr w:type="spellEnd"/>
      <w:r>
        <w:rPr>
          <w:rFonts w:cs="Times New Roman"/>
          <w:sz w:val="24"/>
          <w:szCs w:val="24"/>
        </w:rPr>
        <w:t xml:space="preserve"> violate Rule 10b-5 when a tipper breaches a fiduciary duty in tipping the information and the </w:t>
      </w:r>
      <w:proofErr w:type="spellStart"/>
      <w:r>
        <w:rPr>
          <w:rFonts w:cs="Times New Roman"/>
          <w:sz w:val="24"/>
          <w:szCs w:val="24"/>
        </w:rPr>
        <w:t>tippee</w:t>
      </w:r>
      <w:proofErr w:type="spellEnd"/>
      <w:r>
        <w:rPr>
          <w:rFonts w:cs="Times New Roman"/>
          <w:sz w:val="24"/>
          <w:szCs w:val="24"/>
        </w:rPr>
        <w:t xml:space="preserve"> knows or has reason to know of the breach. </w:t>
      </w:r>
    </w:p>
    <w:p w14:paraId="77896055" w14:textId="16451F25" w:rsidR="000611AE" w:rsidRPr="000611AE" w:rsidRDefault="000611AE" w:rsidP="000611AE">
      <w:pPr>
        <w:pStyle w:val="ListParagraph"/>
        <w:numPr>
          <w:ilvl w:val="4"/>
          <w:numId w:val="10"/>
        </w:numPr>
        <w:rPr>
          <w:rFonts w:cs="Times New Roman"/>
          <w:sz w:val="24"/>
          <w:szCs w:val="24"/>
        </w:rPr>
      </w:pPr>
      <w:r>
        <w:rPr>
          <w:rFonts w:cs="Times New Roman"/>
          <w:i/>
          <w:sz w:val="24"/>
          <w:szCs w:val="24"/>
        </w:rPr>
        <w:t xml:space="preserve">[A] </w:t>
      </w:r>
      <w:proofErr w:type="spellStart"/>
      <w:proofErr w:type="gramStart"/>
      <w:r>
        <w:rPr>
          <w:rFonts w:cs="Times New Roman"/>
          <w:i/>
          <w:sz w:val="24"/>
          <w:szCs w:val="24"/>
        </w:rPr>
        <w:t>tippee</w:t>
      </w:r>
      <w:proofErr w:type="spellEnd"/>
      <w:proofErr w:type="gramEnd"/>
      <w:r>
        <w:rPr>
          <w:rFonts w:cs="Times New Roman"/>
          <w:i/>
          <w:sz w:val="24"/>
          <w:szCs w:val="24"/>
        </w:rPr>
        <w:t xml:space="preserve"> assumes a fiduciary duty to shareholders of a corporation not to trade on material nonpublic information only when the insider has breached his fiduciary duty to the shareholders by disclosing the information to the </w:t>
      </w:r>
      <w:proofErr w:type="spellStart"/>
      <w:r>
        <w:rPr>
          <w:rFonts w:cs="Times New Roman"/>
          <w:i/>
          <w:sz w:val="24"/>
          <w:szCs w:val="24"/>
        </w:rPr>
        <w:t>tippee</w:t>
      </w:r>
      <w:proofErr w:type="spellEnd"/>
      <w:r>
        <w:rPr>
          <w:rFonts w:cs="Times New Roman"/>
          <w:i/>
          <w:sz w:val="24"/>
          <w:szCs w:val="24"/>
        </w:rPr>
        <w:t xml:space="preserve"> and the </w:t>
      </w:r>
      <w:proofErr w:type="spellStart"/>
      <w:r>
        <w:rPr>
          <w:rFonts w:cs="Times New Roman"/>
          <w:i/>
          <w:sz w:val="24"/>
          <w:szCs w:val="24"/>
        </w:rPr>
        <w:t>tippee</w:t>
      </w:r>
      <w:proofErr w:type="spellEnd"/>
      <w:r>
        <w:rPr>
          <w:rFonts w:cs="Times New Roman"/>
          <w:i/>
          <w:sz w:val="24"/>
          <w:szCs w:val="24"/>
        </w:rPr>
        <w:t xml:space="preserve"> knows or should know that there has been a breach.</w:t>
      </w:r>
    </w:p>
    <w:p w14:paraId="74C87C5F" w14:textId="183180AE" w:rsidR="000611AE" w:rsidRDefault="00876E2B" w:rsidP="000611AE">
      <w:pPr>
        <w:pStyle w:val="ListParagraph"/>
        <w:numPr>
          <w:ilvl w:val="3"/>
          <w:numId w:val="10"/>
        </w:numPr>
        <w:rPr>
          <w:rFonts w:cs="Times New Roman"/>
          <w:sz w:val="24"/>
          <w:szCs w:val="24"/>
        </w:rPr>
      </w:pPr>
      <w:r>
        <w:rPr>
          <w:rFonts w:cs="Times New Roman"/>
          <w:sz w:val="24"/>
          <w:szCs w:val="24"/>
        </w:rPr>
        <w:t xml:space="preserve">Also, tipper must gain. </w:t>
      </w:r>
    </w:p>
    <w:p w14:paraId="4A582F9D" w14:textId="74ADAB3F" w:rsidR="000611AE" w:rsidRPr="007B0D8E" w:rsidRDefault="000611AE" w:rsidP="000611AE">
      <w:pPr>
        <w:pStyle w:val="ListParagraph"/>
        <w:numPr>
          <w:ilvl w:val="4"/>
          <w:numId w:val="10"/>
        </w:numPr>
        <w:rPr>
          <w:rFonts w:cs="Times New Roman"/>
          <w:sz w:val="24"/>
          <w:szCs w:val="24"/>
        </w:rPr>
      </w:pPr>
      <w:r>
        <w:rPr>
          <w:rFonts w:cs="Times New Roman"/>
          <w:i/>
          <w:sz w:val="24"/>
          <w:szCs w:val="24"/>
        </w:rPr>
        <w:t>[T]he test is whether the insider personally will benefit, directly or indirectly, from his disclosure. Absent some personal gain, there has been no breach of duty to stockholders. And absent a breach by the insider, there is no derivative breach.</w:t>
      </w:r>
    </w:p>
    <w:p w14:paraId="2A4FE9FD" w14:textId="226A846D" w:rsidR="007B0D8E" w:rsidRDefault="007B0D8E" w:rsidP="007B0D8E">
      <w:pPr>
        <w:pStyle w:val="ListParagraph"/>
        <w:numPr>
          <w:ilvl w:val="4"/>
          <w:numId w:val="10"/>
        </w:numPr>
        <w:rPr>
          <w:rFonts w:cs="Times New Roman"/>
          <w:sz w:val="24"/>
          <w:szCs w:val="24"/>
        </w:rPr>
      </w:pPr>
      <w:r>
        <w:rPr>
          <w:rFonts w:cs="Times New Roman"/>
          <w:sz w:val="24"/>
          <w:szCs w:val="24"/>
        </w:rPr>
        <w:t>Note: this is problematic because there</w:t>
      </w:r>
      <w:r w:rsidRPr="007B0D8E">
        <w:rPr>
          <w:rFonts w:cs="Times New Roman"/>
          <w:sz w:val="24"/>
          <w:szCs w:val="24"/>
        </w:rPr>
        <w:t xml:space="preserve"> </w:t>
      </w:r>
      <w:r w:rsidR="005D36F8">
        <w:rPr>
          <w:rFonts w:cs="Times New Roman"/>
          <w:sz w:val="24"/>
          <w:szCs w:val="24"/>
        </w:rPr>
        <w:t xml:space="preserve">are </w:t>
      </w:r>
      <w:r w:rsidRPr="007B0D8E">
        <w:rPr>
          <w:rFonts w:cs="Times New Roman"/>
          <w:sz w:val="24"/>
          <w:szCs w:val="24"/>
        </w:rPr>
        <w:t xml:space="preserve">two fiduciary duties – loyalty and care. But in Dirks, court says there is violation </w:t>
      </w:r>
      <w:r>
        <w:rPr>
          <w:rFonts w:cs="Times New Roman"/>
          <w:sz w:val="24"/>
          <w:szCs w:val="24"/>
        </w:rPr>
        <w:t xml:space="preserve">only </w:t>
      </w:r>
      <w:r w:rsidRPr="007B0D8E">
        <w:rPr>
          <w:rFonts w:cs="Times New Roman"/>
          <w:sz w:val="24"/>
          <w:szCs w:val="24"/>
        </w:rPr>
        <w:t xml:space="preserve">if there is gain. </w:t>
      </w:r>
      <w:r>
        <w:rPr>
          <w:rFonts w:cs="Times New Roman"/>
          <w:sz w:val="24"/>
          <w:szCs w:val="24"/>
        </w:rPr>
        <w:t xml:space="preserve">Therefore, Dirks really only talking about duty of loyalty, because can violate duty of care without personal gain (e.g. saying something to another co-worker in an elevator and someone else overhears). </w:t>
      </w:r>
    </w:p>
    <w:p w14:paraId="03E5E406" w14:textId="33ACA388" w:rsidR="003E2159" w:rsidRDefault="003E2159" w:rsidP="00E361D6">
      <w:pPr>
        <w:pStyle w:val="ListParagraph"/>
        <w:numPr>
          <w:ilvl w:val="2"/>
          <w:numId w:val="10"/>
        </w:numPr>
        <w:rPr>
          <w:rFonts w:cs="Times New Roman"/>
          <w:sz w:val="24"/>
          <w:szCs w:val="24"/>
        </w:rPr>
      </w:pPr>
      <w:r>
        <w:rPr>
          <w:rFonts w:cs="Times New Roman"/>
          <w:sz w:val="24"/>
          <w:szCs w:val="24"/>
        </w:rPr>
        <w:t>Additional Observations</w:t>
      </w:r>
      <w:r w:rsidR="00876E2B">
        <w:rPr>
          <w:rFonts w:cs="Times New Roman"/>
          <w:sz w:val="24"/>
          <w:szCs w:val="24"/>
        </w:rPr>
        <w:t xml:space="preserve"> from </w:t>
      </w:r>
      <w:r w:rsidR="00876E2B">
        <w:rPr>
          <w:rFonts w:cs="Times New Roman"/>
          <w:i/>
          <w:sz w:val="24"/>
          <w:szCs w:val="24"/>
        </w:rPr>
        <w:t>Dirks</w:t>
      </w:r>
    </w:p>
    <w:p w14:paraId="43A40FAF" w14:textId="2EC87388" w:rsidR="00876E2B" w:rsidRDefault="00876E2B" w:rsidP="00876E2B">
      <w:pPr>
        <w:pStyle w:val="ListParagraph"/>
        <w:numPr>
          <w:ilvl w:val="3"/>
          <w:numId w:val="10"/>
        </w:numPr>
        <w:rPr>
          <w:rFonts w:cs="Times New Roman"/>
          <w:sz w:val="24"/>
          <w:szCs w:val="24"/>
        </w:rPr>
      </w:pPr>
      <w:r>
        <w:rPr>
          <w:rFonts w:cs="Times New Roman"/>
          <w:sz w:val="24"/>
          <w:szCs w:val="24"/>
        </w:rPr>
        <w:t xml:space="preserve">An investor does not violate 10b-5 simply by trading on an informational advantage. Market specialists will always have an information advantage. Only by trading on that advantage will they cause market prices to reflect the information about the firm. And only if market prices reflect that information can uninformed investors trade at prices that reflect the consensus estimate of the firm’s anticipated performance. Thus, </w:t>
      </w:r>
      <w:r w:rsidRPr="00876E2B">
        <w:rPr>
          <w:rFonts w:cs="Times New Roman"/>
          <w:i/>
          <w:sz w:val="24"/>
          <w:szCs w:val="24"/>
        </w:rPr>
        <w:t>Texas Gulf Sulphur</w:t>
      </w:r>
      <w:r>
        <w:rPr>
          <w:rFonts w:cs="Times New Roman"/>
          <w:sz w:val="24"/>
          <w:szCs w:val="24"/>
        </w:rPr>
        <w:t xml:space="preserve"> language about “identical market risks” is not the law.</w:t>
      </w:r>
    </w:p>
    <w:p w14:paraId="5B04FFB2" w14:textId="4BC7263C" w:rsidR="00876E2B" w:rsidRDefault="00876E2B" w:rsidP="00876E2B">
      <w:pPr>
        <w:pStyle w:val="ListParagraph"/>
        <w:numPr>
          <w:ilvl w:val="3"/>
          <w:numId w:val="10"/>
        </w:numPr>
        <w:rPr>
          <w:rFonts w:cs="Times New Roman"/>
          <w:sz w:val="24"/>
          <w:szCs w:val="24"/>
        </w:rPr>
      </w:pPr>
      <w:r>
        <w:rPr>
          <w:rFonts w:cs="Times New Roman"/>
          <w:sz w:val="24"/>
          <w:szCs w:val="24"/>
        </w:rPr>
        <w:t xml:space="preserve">A firm’s lawyers and accountants, for purposes of </w:t>
      </w:r>
      <w:r w:rsidRPr="00876E2B">
        <w:rPr>
          <w:rFonts w:cs="Times New Roman"/>
          <w:i/>
          <w:sz w:val="24"/>
          <w:szCs w:val="24"/>
        </w:rPr>
        <w:t>Dirks</w:t>
      </w:r>
      <w:r>
        <w:rPr>
          <w:rFonts w:cs="Times New Roman"/>
          <w:sz w:val="24"/>
          <w:szCs w:val="24"/>
        </w:rPr>
        <w:t xml:space="preserve">, are “temporary insiders” rather than </w:t>
      </w:r>
      <w:proofErr w:type="spellStart"/>
      <w:r>
        <w:rPr>
          <w:rFonts w:cs="Times New Roman"/>
          <w:sz w:val="24"/>
          <w:szCs w:val="24"/>
        </w:rPr>
        <w:t>tippees</w:t>
      </w:r>
      <w:proofErr w:type="spellEnd"/>
      <w:r>
        <w:rPr>
          <w:rFonts w:cs="Times New Roman"/>
          <w:sz w:val="24"/>
          <w:szCs w:val="24"/>
        </w:rPr>
        <w:t xml:space="preserve">. </w:t>
      </w:r>
      <w:r w:rsidRPr="001C66A8">
        <w:rPr>
          <w:rFonts w:cs="Times New Roman"/>
          <w:b/>
          <w:sz w:val="24"/>
          <w:szCs w:val="24"/>
          <w:u w:val="single"/>
        </w:rPr>
        <w:t>Footnote 14</w:t>
      </w:r>
      <w:r>
        <w:rPr>
          <w:rFonts w:cs="Times New Roman"/>
          <w:sz w:val="24"/>
          <w:szCs w:val="24"/>
        </w:rPr>
        <w:t>:</w:t>
      </w:r>
    </w:p>
    <w:p w14:paraId="2A75D175" w14:textId="6397A5F9" w:rsidR="00876E2B" w:rsidRPr="00986193" w:rsidRDefault="00876E2B" w:rsidP="00876E2B">
      <w:pPr>
        <w:pStyle w:val="ListParagraph"/>
        <w:numPr>
          <w:ilvl w:val="4"/>
          <w:numId w:val="10"/>
        </w:numPr>
        <w:rPr>
          <w:rFonts w:cs="Times New Roman"/>
          <w:sz w:val="24"/>
          <w:szCs w:val="24"/>
        </w:rPr>
      </w:pPr>
      <w:r>
        <w:rPr>
          <w:rFonts w:cs="Times New Roman"/>
          <w:i/>
          <w:sz w:val="24"/>
          <w:szCs w:val="24"/>
        </w:rPr>
        <w:t>Under certain circumstances, such as where corporate information is revealed legitimately to an underwriter, accountant, lawyer, or consultant working for the corporation, these outsiders may become fiduciaries of the shareholders.</w:t>
      </w:r>
    </w:p>
    <w:p w14:paraId="1E100786" w14:textId="4C4DB3CC" w:rsidR="00986193" w:rsidRDefault="00986193" w:rsidP="00986193">
      <w:pPr>
        <w:pStyle w:val="ListParagraph"/>
        <w:numPr>
          <w:ilvl w:val="3"/>
          <w:numId w:val="10"/>
        </w:numPr>
        <w:rPr>
          <w:rFonts w:cs="Times New Roman"/>
          <w:sz w:val="24"/>
          <w:szCs w:val="24"/>
        </w:rPr>
      </w:pPr>
      <w:r>
        <w:rPr>
          <w:rFonts w:cs="Times New Roman"/>
          <w:sz w:val="24"/>
          <w:szCs w:val="24"/>
        </w:rPr>
        <w:t xml:space="preserve">Outsider becomes a temporary insider only if he accepts an appointment with a firm. </w:t>
      </w:r>
      <w:r w:rsidRPr="001C66A8">
        <w:rPr>
          <w:rFonts w:cs="Times New Roman"/>
          <w:b/>
          <w:sz w:val="24"/>
          <w:szCs w:val="24"/>
          <w:u w:val="single"/>
        </w:rPr>
        <w:t>Footnote 22</w:t>
      </w:r>
      <w:r>
        <w:rPr>
          <w:rFonts w:cs="Times New Roman"/>
          <w:sz w:val="24"/>
          <w:szCs w:val="24"/>
        </w:rPr>
        <w:t xml:space="preserve">: </w:t>
      </w:r>
    </w:p>
    <w:p w14:paraId="024280A4" w14:textId="275FA6D1" w:rsidR="00986193" w:rsidRDefault="00986193" w:rsidP="00986193">
      <w:pPr>
        <w:pStyle w:val="ListParagraph"/>
        <w:numPr>
          <w:ilvl w:val="4"/>
          <w:numId w:val="10"/>
        </w:numPr>
        <w:rPr>
          <w:rFonts w:cs="Times New Roman"/>
          <w:sz w:val="24"/>
          <w:szCs w:val="24"/>
        </w:rPr>
      </w:pPr>
      <w:r>
        <w:rPr>
          <w:rFonts w:cs="Times New Roman"/>
          <w:i/>
          <w:sz w:val="24"/>
          <w:szCs w:val="24"/>
        </w:rPr>
        <w:t xml:space="preserve">[T]he defendant investment banking firm…investigated another corporation that was a possible target of a takeover bid by its client. In the course of negotiations the investment banking firm was given, on a confidential basis, unpublished material information. Subsequently, after the proposed takeover was abandoned, the firm was charged with relying on the information when it traded in the target corporation’s stock…In the absence of any </w:t>
      </w:r>
      <w:r>
        <w:rPr>
          <w:rFonts w:cs="Times New Roman"/>
          <w:i/>
          <w:sz w:val="24"/>
          <w:szCs w:val="24"/>
        </w:rPr>
        <w:lastRenderedPageBreak/>
        <w:t xml:space="preserve">fiduciary relationship, the Court of Appeals found no basis for imposing </w:t>
      </w:r>
      <w:proofErr w:type="spellStart"/>
      <w:r>
        <w:rPr>
          <w:rFonts w:cs="Times New Roman"/>
          <w:i/>
          <w:sz w:val="24"/>
          <w:szCs w:val="24"/>
        </w:rPr>
        <w:t>tippee</w:t>
      </w:r>
      <w:proofErr w:type="spellEnd"/>
      <w:r>
        <w:rPr>
          <w:rFonts w:cs="Times New Roman"/>
          <w:i/>
          <w:sz w:val="24"/>
          <w:szCs w:val="24"/>
        </w:rPr>
        <w:t xml:space="preserve"> liability on the investment firm. </w:t>
      </w:r>
    </w:p>
    <w:p w14:paraId="58785983" w14:textId="12B07A76" w:rsidR="003E2159" w:rsidRDefault="003E2159" w:rsidP="00E361D6">
      <w:pPr>
        <w:pStyle w:val="ListParagraph"/>
        <w:numPr>
          <w:ilvl w:val="2"/>
          <w:numId w:val="10"/>
        </w:numPr>
        <w:rPr>
          <w:rFonts w:cs="Times New Roman"/>
          <w:sz w:val="24"/>
          <w:szCs w:val="24"/>
        </w:rPr>
      </w:pPr>
      <w:r>
        <w:rPr>
          <w:rFonts w:cs="Times New Roman"/>
          <w:sz w:val="24"/>
          <w:szCs w:val="24"/>
        </w:rPr>
        <w:t>Look-Alike Facts</w:t>
      </w:r>
      <w:r w:rsidR="00D50300">
        <w:rPr>
          <w:rFonts w:cs="Times New Roman"/>
          <w:sz w:val="24"/>
          <w:szCs w:val="24"/>
        </w:rPr>
        <w:t xml:space="preserve"> – </w:t>
      </w:r>
      <w:r w:rsidR="00D50300" w:rsidRPr="00D50300">
        <w:rPr>
          <w:rFonts w:cs="Times New Roman"/>
          <w:i/>
          <w:sz w:val="24"/>
          <w:szCs w:val="24"/>
        </w:rPr>
        <w:t>SEC v. Switzer</w:t>
      </w:r>
    </w:p>
    <w:p w14:paraId="464CFDC6" w14:textId="05CF3E17" w:rsidR="00D50300" w:rsidRDefault="00D50300" w:rsidP="00D50300">
      <w:pPr>
        <w:pStyle w:val="ListParagraph"/>
        <w:numPr>
          <w:ilvl w:val="3"/>
          <w:numId w:val="10"/>
        </w:numPr>
        <w:rPr>
          <w:rFonts w:cs="Times New Roman"/>
          <w:sz w:val="24"/>
          <w:szCs w:val="24"/>
        </w:rPr>
      </w:pPr>
      <w:r>
        <w:rPr>
          <w:rFonts w:cs="Times New Roman"/>
          <w:sz w:val="24"/>
          <w:szCs w:val="24"/>
        </w:rPr>
        <w:t>Synopsis: Investor overhear</w:t>
      </w:r>
      <w:r w:rsidR="00D7639C">
        <w:rPr>
          <w:rFonts w:cs="Times New Roman"/>
          <w:sz w:val="24"/>
          <w:szCs w:val="24"/>
        </w:rPr>
        <w:t>s</w:t>
      </w:r>
      <w:r>
        <w:rPr>
          <w:rFonts w:cs="Times New Roman"/>
          <w:sz w:val="24"/>
          <w:szCs w:val="24"/>
        </w:rPr>
        <w:t xml:space="preserve"> tip at a track meet. Heard CEO talk about his firm’s impending merger. Investor bought stock in the CEO’s firm, the firm announced the merger at a high </w:t>
      </w:r>
      <w:r w:rsidR="00D7639C">
        <w:rPr>
          <w:rFonts w:cs="Times New Roman"/>
          <w:sz w:val="24"/>
          <w:szCs w:val="24"/>
        </w:rPr>
        <w:t>p</w:t>
      </w:r>
      <w:r>
        <w:rPr>
          <w:rFonts w:cs="Times New Roman"/>
          <w:sz w:val="24"/>
          <w:szCs w:val="24"/>
        </w:rPr>
        <w:t xml:space="preserve">rice, and the investor pocketed a profit. SEC sued the investor for violating 10b-5. Court acquitted investor, because tipper did not earn a personal gain. </w:t>
      </w:r>
    </w:p>
    <w:p w14:paraId="52FF8F3B" w14:textId="2A3F0272" w:rsidR="00D50300" w:rsidRDefault="00D50300" w:rsidP="00D50300">
      <w:pPr>
        <w:pStyle w:val="ListParagraph"/>
        <w:numPr>
          <w:ilvl w:val="3"/>
          <w:numId w:val="10"/>
        </w:numPr>
        <w:rPr>
          <w:rFonts w:cs="Times New Roman"/>
          <w:sz w:val="24"/>
          <w:szCs w:val="24"/>
        </w:rPr>
      </w:pPr>
      <w:r>
        <w:rPr>
          <w:rFonts w:cs="Times New Roman"/>
          <w:sz w:val="24"/>
          <w:szCs w:val="24"/>
        </w:rPr>
        <w:t xml:space="preserve">Tool: Under </w:t>
      </w:r>
      <w:r w:rsidRPr="00D50300">
        <w:rPr>
          <w:rFonts w:cs="Times New Roman"/>
          <w:i/>
          <w:sz w:val="24"/>
          <w:szCs w:val="24"/>
        </w:rPr>
        <w:t>Dirks</w:t>
      </w:r>
      <w:r>
        <w:rPr>
          <w:rFonts w:cs="Times New Roman"/>
          <w:sz w:val="24"/>
          <w:szCs w:val="24"/>
        </w:rPr>
        <w:t>, duty of care violations did not count. Only duty of loyalty violations that</w:t>
      </w:r>
      <w:r w:rsidR="00D7639C">
        <w:rPr>
          <w:rFonts w:cs="Times New Roman"/>
          <w:sz w:val="24"/>
          <w:szCs w:val="24"/>
        </w:rPr>
        <w:t xml:space="preserve"> earn the tipper a gain matter</w:t>
      </w:r>
      <w:r>
        <w:rPr>
          <w:rFonts w:cs="Times New Roman"/>
          <w:sz w:val="24"/>
          <w:szCs w:val="24"/>
        </w:rPr>
        <w:t>.</w:t>
      </w:r>
    </w:p>
    <w:p w14:paraId="6989A66E" w14:textId="715B271A" w:rsidR="003E2159" w:rsidRPr="000A2D38" w:rsidRDefault="003E2159" w:rsidP="000A2D38">
      <w:pPr>
        <w:pStyle w:val="Heading3"/>
        <w:numPr>
          <w:ilvl w:val="1"/>
          <w:numId w:val="10"/>
        </w:numPr>
      </w:pPr>
      <w:r>
        <w:t>Misappropriation</w:t>
      </w:r>
    </w:p>
    <w:p w14:paraId="3AF78370" w14:textId="50F80B67" w:rsidR="00120149" w:rsidRDefault="00CB499B" w:rsidP="000A2D38">
      <w:pPr>
        <w:pStyle w:val="ListParagraph"/>
        <w:numPr>
          <w:ilvl w:val="2"/>
          <w:numId w:val="10"/>
        </w:numPr>
        <w:rPr>
          <w:rFonts w:cs="Times New Roman"/>
          <w:sz w:val="24"/>
          <w:szCs w:val="24"/>
        </w:rPr>
      </w:pPr>
      <w:r>
        <w:rPr>
          <w:rFonts w:cs="Times New Roman"/>
          <w:sz w:val="24"/>
          <w:szCs w:val="24"/>
        </w:rPr>
        <w:t xml:space="preserve">SEC didn’t like </w:t>
      </w:r>
      <w:proofErr w:type="spellStart"/>
      <w:r>
        <w:rPr>
          <w:rFonts w:cs="Times New Roman"/>
          <w:sz w:val="24"/>
          <w:szCs w:val="24"/>
        </w:rPr>
        <w:t>Chiarella</w:t>
      </w:r>
      <w:proofErr w:type="spellEnd"/>
      <w:r>
        <w:rPr>
          <w:rFonts w:cs="Times New Roman"/>
          <w:sz w:val="24"/>
          <w:szCs w:val="24"/>
        </w:rPr>
        <w:t xml:space="preserve"> outcome so comes up with Rule. </w:t>
      </w:r>
    </w:p>
    <w:p w14:paraId="19834C9F" w14:textId="39F0D1BD" w:rsidR="00120149" w:rsidRDefault="007A5AE6" w:rsidP="000A2D38">
      <w:pPr>
        <w:pStyle w:val="ListParagraph"/>
        <w:numPr>
          <w:ilvl w:val="2"/>
          <w:numId w:val="10"/>
        </w:numPr>
        <w:rPr>
          <w:rFonts w:cs="Times New Roman"/>
          <w:sz w:val="24"/>
          <w:szCs w:val="24"/>
        </w:rPr>
      </w:pPr>
      <w:r>
        <w:rPr>
          <w:rFonts w:cs="Times New Roman"/>
          <w:sz w:val="24"/>
          <w:szCs w:val="24"/>
        </w:rPr>
        <w:t xml:space="preserve">§ </w:t>
      </w:r>
      <w:r w:rsidR="00120149">
        <w:rPr>
          <w:rFonts w:cs="Times New Roman"/>
          <w:sz w:val="24"/>
          <w:szCs w:val="24"/>
        </w:rPr>
        <w:t>14e-3 of the 1934 Act</w:t>
      </w:r>
    </w:p>
    <w:p w14:paraId="5D1F34B2" w14:textId="56F38845" w:rsidR="00120149" w:rsidRPr="00120149" w:rsidRDefault="00120149" w:rsidP="000A2D38">
      <w:pPr>
        <w:pStyle w:val="ListParagraph"/>
        <w:ind w:left="1080"/>
        <w:rPr>
          <w:rFonts w:cs="Times New Roman"/>
          <w:i/>
          <w:sz w:val="24"/>
          <w:szCs w:val="24"/>
        </w:rPr>
      </w:pPr>
      <w:r>
        <w:rPr>
          <w:rFonts w:cs="Times New Roman"/>
          <w:i/>
          <w:sz w:val="24"/>
          <w:szCs w:val="24"/>
        </w:rPr>
        <w:t xml:space="preserve">It shall be unlawful for any person…to engage in any fraudulent, deceptive, or manipulative acts or practices, in connection with any </w:t>
      </w:r>
      <w:r w:rsidRPr="003275BF">
        <w:rPr>
          <w:rFonts w:cs="Times New Roman"/>
          <w:i/>
          <w:sz w:val="24"/>
          <w:szCs w:val="24"/>
        </w:rPr>
        <w:t>tender offer</w:t>
      </w:r>
      <w:r>
        <w:rPr>
          <w:rFonts w:cs="Times New Roman"/>
          <w:i/>
          <w:sz w:val="24"/>
          <w:szCs w:val="24"/>
        </w:rPr>
        <w:t>…The Commission shall…by rules and regulations define, and prescribe means reasonably designed to prevent, such acts and practices as are fraudulent, deceptive, or manipulative.</w:t>
      </w:r>
    </w:p>
    <w:p w14:paraId="64F3E5B8" w14:textId="59616940" w:rsidR="00120149" w:rsidRDefault="00120149" w:rsidP="000A2D38">
      <w:pPr>
        <w:pStyle w:val="ListParagraph"/>
        <w:numPr>
          <w:ilvl w:val="2"/>
          <w:numId w:val="10"/>
        </w:numPr>
        <w:rPr>
          <w:rFonts w:cs="Times New Roman"/>
          <w:sz w:val="24"/>
          <w:szCs w:val="24"/>
        </w:rPr>
      </w:pPr>
      <w:r>
        <w:rPr>
          <w:rFonts w:cs="Times New Roman"/>
          <w:sz w:val="24"/>
          <w:szCs w:val="24"/>
        </w:rPr>
        <w:t xml:space="preserve">To the SEC, insider trading was wrong </w:t>
      </w:r>
      <w:r w:rsidRPr="007A5AE6">
        <w:rPr>
          <w:rFonts w:cs="Times New Roman"/>
          <w:sz w:val="24"/>
          <w:szCs w:val="24"/>
          <w:u w:val="single"/>
        </w:rPr>
        <w:t xml:space="preserve">whether the insider served as a fiduciary to his </w:t>
      </w:r>
      <w:r w:rsidRPr="007A5AE6">
        <w:rPr>
          <w:rFonts w:cs="Times New Roman"/>
          <w:b/>
          <w:sz w:val="24"/>
          <w:szCs w:val="24"/>
          <w:u w:val="single"/>
        </w:rPr>
        <w:t xml:space="preserve">trading partner </w:t>
      </w:r>
      <w:r w:rsidRPr="007A5AE6">
        <w:rPr>
          <w:rFonts w:cs="Times New Roman"/>
          <w:sz w:val="24"/>
          <w:szCs w:val="24"/>
          <w:u w:val="single"/>
        </w:rPr>
        <w:t>or not</w:t>
      </w:r>
      <w:r>
        <w:rPr>
          <w:rFonts w:cs="Times New Roman"/>
          <w:sz w:val="24"/>
          <w:szCs w:val="24"/>
        </w:rPr>
        <w:t>.  To implement the statute, SEC wrote Rule 14e-3:</w:t>
      </w:r>
    </w:p>
    <w:p w14:paraId="6967D679" w14:textId="7D6DDE13" w:rsidR="00120149" w:rsidRPr="00026E87" w:rsidRDefault="00120149" w:rsidP="000A2D38">
      <w:pPr>
        <w:pStyle w:val="ListParagraph"/>
        <w:ind w:left="1080"/>
        <w:rPr>
          <w:rFonts w:cs="Times New Roman"/>
          <w:i/>
          <w:sz w:val="24"/>
          <w:szCs w:val="24"/>
        </w:rPr>
      </w:pPr>
      <w:r w:rsidRPr="00026E87">
        <w:rPr>
          <w:rFonts w:cs="Times New Roman"/>
          <w:i/>
          <w:sz w:val="24"/>
          <w:szCs w:val="24"/>
        </w:rPr>
        <w:t>“If any person has taken a substantial step or steps to commence, or</w:t>
      </w:r>
      <w:r w:rsidR="00500D72">
        <w:rPr>
          <w:rFonts w:cs="Times New Roman"/>
          <w:i/>
          <w:sz w:val="24"/>
          <w:szCs w:val="24"/>
        </w:rPr>
        <w:t xml:space="preserve"> </w:t>
      </w:r>
      <w:r w:rsidRPr="00026E87">
        <w:rPr>
          <w:rFonts w:cs="Times New Roman"/>
          <w:i/>
          <w:sz w:val="24"/>
          <w:szCs w:val="24"/>
        </w:rPr>
        <w:t xml:space="preserve">has commenced a </w:t>
      </w:r>
      <w:r w:rsidRPr="003275BF">
        <w:rPr>
          <w:rFonts w:cs="Times New Roman"/>
          <w:b/>
          <w:i/>
          <w:sz w:val="24"/>
          <w:szCs w:val="24"/>
          <w:u w:val="single"/>
        </w:rPr>
        <w:t>tender offer</w:t>
      </w:r>
      <w:r w:rsidRPr="00026E87">
        <w:rPr>
          <w:rFonts w:cs="Times New Roman"/>
          <w:i/>
          <w:sz w:val="24"/>
          <w:szCs w:val="24"/>
        </w:rPr>
        <w:t xml:space="preserve"> (the offering person), it shall constitute a fraudulent, deceptive or manipulative act or practice within the meaning of section 14(e) of the Exchange Act for any other person who is in possession of </w:t>
      </w:r>
      <w:r w:rsidRPr="003275BF">
        <w:rPr>
          <w:rFonts w:cs="Times New Roman"/>
          <w:b/>
          <w:i/>
          <w:sz w:val="24"/>
          <w:szCs w:val="24"/>
          <w:u w:val="single"/>
        </w:rPr>
        <w:t>material information</w:t>
      </w:r>
      <w:r w:rsidRPr="00026E87">
        <w:rPr>
          <w:rFonts w:cs="Times New Roman"/>
          <w:i/>
          <w:sz w:val="24"/>
          <w:szCs w:val="24"/>
        </w:rPr>
        <w:t xml:space="preserve"> relating to such tender offer which information he knows or has reason to know is </w:t>
      </w:r>
      <w:r w:rsidRPr="003275BF">
        <w:rPr>
          <w:rFonts w:cs="Times New Roman"/>
          <w:b/>
          <w:i/>
          <w:sz w:val="24"/>
          <w:szCs w:val="24"/>
          <w:u w:val="single"/>
        </w:rPr>
        <w:t>nonpublic</w:t>
      </w:r>
      <w:r w:rsidRPr="00026E87">
        <w:rPr>
          <w:rFonts w:cs="Times New Roman"/>
          <w:i/>
          <w:sz w:val="24"/>
          <w:szCs w:val="24"/>
        </w:rPr>
        <w:t xml:space="preserve"> and which he knows or has reason to know has been acquir</w:t>
      </w:r>
      <w:r w:rsidR="00500D72">
        <w:rPr>
          <w:rFonts w:cs="Times New Roman"/>
          <w:i/>
          <w:sz w:val="24"/>
          <w:szCs w:val="24"/>
        </w:rPr>
        <w:t>ed directly or indirectly from:</w:t>
      </w:r>
    </w:p>
    <w:p w14:paraId="4F9BCF86" w14:textId="77777777" w:rsidR="00120149" w:rsidRPr="00026E87" w:rsidRDefault="00120149" w:rsidP="000A2D38">
      <w:pPr>
        <w:ind w:left="1440"/>
        <w:rPr>
          <w:rFonts w:cs="Times New Roman"/>
          <w:i/>
          <w:szCs w:val="24"/>
        </w:rPr>
      </w:pPr>
      <w:r w:rsidRPr="00026E87">
        <w:rPr>
          <w:rFonts w:cs="Times New Roman"/>
          <w:i/>
          <w:szCs w:val="24"/>
        </w:rPr>
        <w:t xml:space="preserve">(1) </w:t>
      </w:r>
      <w:proofErr w:type="gramStart"/>
      <w:r w:rsidRPr="00026E87">
        <w:rPr>
          <w:rFonts w:cs="Times New Roman"/>
          <w:i/>
          <w:szCs w:val="24"/>
        </w:rPr>
        <w:t>the</w:t>
      </w:r>
      <w:proofErr w:type="gramEnd"/>
      <w:r w:rsidRPr="00026E87">
        <w:rPr>
          <w:rFonts w:cs="Times New Roman"/>
          <w:i/>
          <w:szCs w:val="24"/>
        </w:rPr>
        <w:t xml:space="preserve"> offering person, </w:t>
      </w:r>
    </w:p>
    <w:p w14:paraId="27753347" w14:textId="77777777" w:rsidR="00120149" w:rsidRPr="00026E87" w:rsidRDefault="00120149" w:rsidP="000A2D38">
      <w:pPr>
        <w:ind w:left="1440"/>
        <w:rPr>
          <w:rFonts w:cs="Times New Roman"/>
          <w:i/>
          <w:szCs w:val="24"/>
        </w:rPr>
      </w:pPr>
      <w:r w:rsidRPr="00026E87">
        <w:rPr>
          <w:rFonts w:cs="Times New Roman"/>
          <w:i/>
          <w:szCs w:val="24"/>
        </w:rPr>
        <w:t xml:space="preserve">(2) </w:t>
      </w:r>
      <w:proofErr w:type="gramStart"/>
      <w:r w:rsidRPr="00026E87">
        <w:rPr>
          <w:rFonts w:cs="Times New Roman"/>
          <w:i/>
          <w:szCs w:val="24"/>
        </w:rPr>
        <w:t>the</w:t>
      </w:r>
      <w:proofErr w:type="gramEnd"/>
      <w:r w:rsidRPr="00026E87">
        <w:rPr>
          <w:rFonts w:cs="Times New Roman"/>
          <w:i/>
          <w:szCs w:val="24"/>
        </w:rPr>
        <w:t xml:space="preserve"> issuer of the securities sought or to be sought by such tender offer, or </w:t>
      </w:r>
    </w:p>
    <w:p w14:paraId="563CFE56" w14:textId="77777777" w:rsidR="00120149" w:rsidRPr="00026E87" w:rsidRDefault="00120149" w:rsidP="000A2D38">
      <w:pPr>
        <w:ind w:left="1440"/>
        <w:rPr>
          <w:rFonts w:cs="Times New Roman"/>
          <w:i/>
          <w:szCs w:val="24"/>
        </w:rPr>
      </w:pPr>
      <w:r w:rsidRPr="00026E87">
        <w:rPr>
          <w:rFonts w:cs="Times New Roman"/>
          <w:i/>
          <w:szCs w:val="24"/>
        </w:rPr>
        <w:t xml:space="preserve">(3) </w:t>
      </w:r>
      <w:proofErr w:type="gramStart"/>
      <w:r w:rsidRPr="00026E87">
        <w:rPr>
          <w:rFonts w:cs="Times New Roman"/>
          <w:i/>
          <w:szCs w:val="24"/>
        </w:rPr>
        <w:t>any</w:t>
      </w:r>
      <w:proofErr w:type="gramEnd"/>
      <w:r w:rsidRPr="00026E87">
        <w:rPr>
          <w:rFonts w:cs="Times New Roman"/>
          <w:i/>
          <w:szCs w:val="24"/>
        </w:rPr>
        <w:t xml:space="preserve"> officer, director, partner, or employee or any other person activing on behalf of the offering person or such issuer, </w:t>
      </w:r>
    </w:p>
    <w:p w14:paraId="76814C84" w14:textId="6A7AED63" w:rsidR="00120149" w:rsidRPr="00120149" w:rsidRDefault="00120149" w:rsidP="000A2D38">
      <w:pPr>
        <w:ind w:left="1080"/>
        <w:rPr>
          <w:rFonts w:cs="Times New Roman"/>
          <w:i/>
          <w:szCs w:val="24"/>
        </w:rPr>
      </w:pPr>
      <w:r w:rsidRPr="00026E87">
        <w:rPr>
          <w:rFonts w:cs="Times New Roman"/>
          <w:i/>
          <w:szCs w:val="24"/>
        </w:rPr>
        <w:t xml:space="preserve">to purchase or sell or cause to be purchased or sold any of such securities or an securities convertible into or exchangeable for any such securities or any option or right to obtain or to dispose of any of the foregoing securities, unless within a reasonable time prior to any purchase or sale such information and its source are publicly disclosed </w:t>
      </w:r>
      <w:r>
        <w:rPr>
          <w:rFonts w:cs="Times New Roman"/>
          <w:i/>
          <w:szCs w:val="24"/>
        </w:rPr>
        <w:t>by press release or otherwise.”</w:t>
      </w:r>
    </w:p>
    <w:p w14:paraId="76E52F9E" w14:textId="2B859D1B" w:rsidR="003E2159" w:rsidRPr="000A2D38" w:rsidRDefault="00120149" w:rsidP="007A5AE6">
      <w:pPr>
        <w:pStyle w:val="ListParagraph"/>
        <w:numPr>
          <w:ilvl w:val="3"/>
          <w:numId w:val="10"/>
        </w:numPr>
        <w:rPr>
          <w:rFonts w:cs="Times New Roman"/>
          <w:sz w:val="24"/>
          <w:szCs w:val="24"/>
        </w:rPr>
      </w:pPr>
      <w:r>
        <w:rPr>
          <w:rFonts w:cs="Times New Roman"/>
          <w:sz w:val="24"/>
          <w:szCs w:val="24"/>
        </w:rPr>
        <w:t>Both §§ 10(b) and 14(e) banned “Fraud.” The Court had held that fraud under §10(b) required a fiduciary relationship between the trading partners. In Rule 14e-3, the SEC defined “Fraud” under § 14(e) without such a requirement. Could the SEC do this?</w:t>
      </w:r>
      <w:r w:rsidR="007A5AE6">
        <w:rPr>
          <w:rFonts w:cs="Times New Roman"/>
          <w:sz w:val="24"/>
          <w:szCs w:val="24"/>
        </w:rPr>
        <w:t xml:space="preserve"> Then comes O’Hagan.</w:t>
      </w:r>
    </w:p>
    <w:p w14:paraId="348F6015" w14:textId="60869233" w:rsidR="003E2159" w:rsidRPr="00D7639C" w:rsidRDefault="00EF2907" w:rsidP="00EF2907">
      <w:pPr>
        <w:pStyle w:val="ListParagraph"/>
        <w:numPr>
          <w:ilvl w:val="2"/>
          <w:numId w:val="10"/>
        </w:numPr>
        <w:rPr>
          <w:rFonts w:cs="Times New Roman"/>
          <w:b/>
          <w:i/>
          <w:sz w:val="24"/>
          <w:szCs w:val="24"/>
        </w:rPr>
      </w:pPr>
      <w:r w:rsidRPr="00D7639C">
        <w:rPr>
          <w:rFonts w:cs="Times New Roman"/>
          <w:b/>
          <w:i/>
          <w:sz w:val="24"/>
          <w:szCs w:val="24"/>
        </w:rPr>
        <w:t>United States v. O’Hagan (US 1997)</w:t>
      </w:r>
    </w:p>
    <w:p w14:paraId="25A3A883" w14:textId="1A2FC913" w:rsidR="00EF2907" w:rsidRDefault="007238ED" w:rsidP="003219F9">
      <w:pPr>
        <w:pStyle w:val="ListParagraph"/>
        <w:numPr>
          <w:ilvl w:val="3"/>
          <w:numId w:val="10"/>
        </w:numPr>
        <w:rPr>
          <w:rFonts w:cs="Times New Roman"/>
          <w:sz w:val="24"/>
          <w:szCs w:val="24"/>
        </w:rPr>
      </w:pPr>
      <w:r>
        <w:rPr>
          <w:rFonts w:cs="Times New Roman"/>
          <w:sz w:val="24"/>
          <w:szCs w:val="24"/>
        </w:rPr>
        <w:t xml:space="preserve">Synopsis: </w:t>
      </w:r>
      <w:proofErr w:type="spellStart"/>
      <w:r>
        <w:rPr>
          <w:rFonts w:cs="Times New Roman"/>
          <w:sz w:val="24"/>
          <w:szCs w:val="24"/>
        </w:rPr>
        <w:t>O’Hagen</w:t>
      </w:r>
      <w:proofErr w:type="spellEnd"/>
      <w:r>
        <w:rPr>
          <w:rFonts w:cs="Times New Roman"/>
          <w:sz w:val="24"/>
          <w:szCs w:val="24"/>
        </w:rPr>
        <w:t xml:space="preserve"> was a partner at Dorsey &amp; Whitney. His firm had been retained by Grant Met, which planned to announce a tender offer for Pillsbury. Having embezzled funds from a client, </w:t>
      </w:r>
      <w:proofErr w:type="spellStart"/>
      <w:r>
        <w:rPr>
          <w:rFonts w:cs="Times New Roman"/>
          <w:sz w:val="24"/>
          <w:szCs w:val="24"/>
        </w:rPr>
        <w:t>O’Hagen</w:t>
      </w:r>
      <w:proofErr w:type="spellEnd"/>
      <w:r>
        <w:rPr>
          <w:rFonts w:cs="Times New Roman"/>
          <w:sz w:val="24"/>
          <w:szCs w:val="24"/>
        </w:rPr>
        <w:t xml:space="preserve"> needed cash. Buying Pillsbury stock and optio</w:t>
      </w:r>
      <w:r w:rsidR="00D7639C">
        <w:rPr>
          <w:rFonts w:cs="Times New Roman"/>
          <w:sz w:val="24"/>
          <w:szCs w:val="24"/>
        </w:rPr>
        <w:t>ns on Pillsbury stock, he netted</w:t>
      </w:r>
      <w:r>
        <w:rPr>
          <w:rFonts w:cs="Times New Roman"/>
          <w:sz w:val="24"/>
          <w:szCs w:val="24"/>
        </w:rPr>
        <w:t xml:space="preserve"> $4.3 million. The SEC noticed and prosecutors indicted him for violating both Rule 14e-3 and Rule 10b-5. </w:t>
      </w:r>
      <w:r w:rsidR="003219F9">
        <w:rPr>
          <w:rFonts w:cs="Times New Roman"/>
          <w:sz w:val="24"/>
          <w:szCs w:val="24"/>
        </w:rPr>
        <w:t>SCOTU</w:t>
      </w:r>
      <w:r w:rsidR="00D7639C">
        <w:rPr>
          <w:rFonts w:cs="Times New Roman"/>
          <w:sz w:val="24"/>
          <w:szCs w:val="24"/>
        </w:rPr>
        <w:t xml:space="preserve">S found </w:t>
      </w:r>
      <w:proofErr w:type="spellStart"/>
      <w:r w:rsidR="00D7639C">
        <w:rPr>
          <w:rFonts w:cs="Times New Roman"/>
          <w:sz w:val="24"/>
          <w:szCs w:val="24"/>
        </w:rPr>
        <w:t>O’Hagen</w:t>
      </w:r>
      <w:proofErr w:type="spellEnd"/>
      <w:r w:rsidR="00D7639C">
        <w:rPr>
          <w:rFonts w:cs="Times New Roman"/>
          <w:sz w:val="24"/>
          <w:szCs w:val="24"/>
        </w:rPr>
        <w:t xml:space="preserve"> violated 10b-5 by not disclosing</w:t>
      </w:r>
      <w:r w:rsidR="003219F9" w:rsidRPr="003219F9">
        <w:rPr>
          <w:rFonts w:cs="Times New Roman"/>
          <w:sz w:val="24"/>
          <w:szCs w:val="24"/>
        </w:rPr>
        <w:t xml:space="preserve"> to the firm or the client that he was using the nonpublic information, and his use of it was at the </w:t>
      </w:r>
      <w:r w:rsidR="00D7639C">
        <w:rPr>
          <w:rFonts w:cs="Times New Roman"/>
          <w:sz w:val="24"/>
          <w:szCs w:val="24"/>
        </w:rPr>
        <w:t>client’s expense.</w:t>
      </w:r>
    </w:p>
    <w:p w14:paraId="3C8EC2D5" w14:textId="55EECB04" w:rsidR="0094289D" w:rsidRPr="000A2D38" w:rsidRDefault="0094289D" w:rsidP="00EF2907">
      <w:pPr>
        <w:pStyle w:val="ListParagraph"/>
        <w:numPr>
          <w:ilvl w:val="3"/>
          <w:numId w:val="10"/>
        </w:numPr>
        <w:rPr>
          <w:rFonts w:cs="Times New Roman"/>
          <w:sz w:val="24"/>
          <w:szCs w:val="24"/>
          <w:u w:val="single"/>
        </w:rPr>
      </w:pPr>
      <w:r>
        <w:rPr>
          <w:rFonts w:cs="Times New Roman"/>
          <w:sz w:val="24"/>
          <w:szCs w:val="24"/>
        </w:rPr>
        <w:t xml:space="preserve">Tool: </w:t>
      </w:r>
      <w:r w:rsidRPr="000A2D38">
        <w:rPr>
          <w:rFonts w:cs="Times New Roman"/>
          <w:sz w:val="24"/>
          <w:szCs w:val="24"/>
          <w:u w:val="single"/>
        </w:rPr>
        <w:t xml:space="preserve">Rule 14e-3 and </w:t>
      </w:r>
      <w:r w:rsidR="007A5AE6">
        <w:rPr>
          <w:rFonts w:cs="Times New Roman"/>
          <w:sz w:val="24"/>
          <w:szCs w:val="24"/>
          <w:u w:val="single"/>
        </w:rPr>
        <w:t>misappropriation</w:t>
      </w:r>
      <w:r w:rsidRPr="000A2D38">
        <w:rPr>
          <w:rFonts w:cs="Times New Roman"/>
          <w:sz w:val="24"/>
          <w:szCs w:val="24"/>
          <w:u w:val="single"/>
        </w:rPr>
        <w:t xml:space="preserve"> are both good law. </w:t>
      </w:r>
    </w:p>
    <w:p w14:paraId="2D604DF7" w14:textId="2E47BFF6" w:rsidR="0094289D" w:rsidRPr="007A5AE6" w:rsidRDefault="007A5AE6" w:rsidP="007A5AE6">
      <w:pPr>
        <w:pStyle w:val="ListParagraph"/>
        <w:numPr>
          <w:ilvl w:val="4"/>
          <w:numId w:val="10"/>
        </w:numPr>
        <w:rPr>
          <w:rFonts w:cs="Times New Roman"/>
          <w:sz w:val="24"/>
          <w:szCs w:val="24"/>
        </w:rPr>
      </w:pPr>
      <w:r>
        <w:rPr>
          <w:rFonts w:cs="Times New Roman"/>
          <w:sz w:val="24"/>
          <w:szCs w:val="24"/>
        </w:rPr>
        <w:t xml:space="preserve">Misappropriation </w:t>
      </w:r>
      <w:r w:rsidR="00276A65">
        <w:rPr>
          <w:rFonts w:cs="Times New Roman"/>
          <w:sz w:val="24"/>
          <w:szCs w:val="24"/>
        </w:rPr>
        <w:t>violates</w:t>
      </w:r>
      <w:r>
        <w:rPr>
          <w:rFonts w:cs="Times New Roman"/>
          <w:sz w:val="24"/>
          <w:szCs w:val="24"/>
        </w:rPr>
        <w:t xml:space="preserve"> 10b-5 which bans deceptive conduct and misappropriation is deceptive</w:t>
      </w:r>
      <w:r w:rsidR="003275BF">
        <w:rPr>
          <w:rFonts w:cs="Times New Roman"/>
          <w:sz w:val="24"/>
          <w:szCs w:val="24"/>
        </w:rPr>
        <w:t xml:space="preserve"> (</w:t>
      </w:r>
      <w:r w:rsidR="003275BF" w:rsidRPr="003275BF">
        <w:rPr>
          <w:rFonts w:cs="Times New Roman"/>
          <w:b/>
          <w:sz w:val="24"/>
          <w:szCs w:val="24"/>
          <w:u w:val="single"/>
        </w:rPr>
        <w:t>Need rule to break to be deceptive</w:t>
      </w:r>
      <w:r w:rsidR="003275BF">
        <w:rPr>
          <w:rFonts w:cs="Times New Roman"/>
          <w:b/>
          <w:sz w:val="24"/>
          <w:szCs w:val="24"/>
          <w:u w:val="single"/>
        </w:rPr>
        <w:t xml:space="preserve"> toward someone you owe fiduciary duty to</w:t>
      </w:r>
      <w:r w:rsidR="003275BF">
        <w:rPr>
          <w:rFonts w:cs="Times New Roman"/>
          <w:sz w:val="24"/>
          <w:szCs w:val="24"/>
        </w:rPr>
        <w:t>)</w:t>
      </w:r>
      <w:r>
        <w:rPr>
          <w:rFonts w:cs="Times New Roman"/>
          <w:sz w:val="24"/>
          <w:szCs w:val="24"/>
        </w:rPr>
        <w:t xml:space="preserve">. However, full disclosure forecloses liability under the misappropriation theory: </w:t>
      </w:r>
    </w:p>
    <w:p w14:paraId="138F9858" w14:textId="3D39D6B0" w:rsidR="0094289D" w:rsidRPr="0094289D" w:rsidRDefault="0094289D" w:rsidP="0094289D">
      <w:pPr>
        <w:pStyle w:val="ListParagraph"/>
        <w:numPr>
          <w:ilvl w:val="5"/>
          <w:numId w:val="10"/>
        </w:numPr>
        <w:rPr>
          <w:rFonts w:cs="Times New Roman"/>
          <w:i/>
          <w:sz w:val="24"/>
          <w:szCs w:val="24"/>
        </w:rPr>
      </w:pPr>
      <w:r w:rsidRPr="0094289D">
        <w:rPr>
          <w:rFonts w:cs="Times New Roman"/>
          <w:i/>
          <w:sz w:val="24"/>
          <w:szCs w:val="24"/>
        </w:rPr>
        <w:t xml:space="preserve">Because the deception essential to the misappropriation theory involves feigning fidelity to the source of information, if the fiduciary discloses to the source that he plans to trade on the nonpublic information, there is no “deceptive device” and thus no § 10(b) </w:t>
      </w:r>
      <w:r w:rsidRPr="0094289D">
        <w:rPr>
          <w:rFonts w:cs="Times New Roman"/>
          <w:i/>
          <w:sz w:val="24"/>
          <w:szCs w:val="24"/>
        </w:rPr>
        <w:lastRenderedPageBreak/>
        <w:t>violation—although the fiduciary-turned-trader may remain liable under state law for breach of a duty of loyalty</w:t>
      </w:r>
    </w:p>
    <w:p w14:paraId="4B3B5768" w14:textId="5F59179B" w:rsidR="0094289D" w:rsidRDefault="0094289D" w:rsidP="0094289D">
      <w:pPr>
        <w:pStyle w:val="ListParagraph"/>
        <w:numPr>
          <w:ilvl w:val="4"/>
          <w:numId w:val="10"/>
        </w:numPr>
        <w:rPr>
          <w:rFonts w:cs="Times New Roman"/>
          <w:sz w:val="24"/>
          <w:szCs w:val="24"/>
        </w:rPr>
      </w:pPr>
      <w:r>
        <w:rPr>
          <w:rFonts w:cs="Times New Roman"/>
          <w:sz w:val="24"/>
          <w:szCs w:val="24"/>
        </w:rPr>
        <w:t xml:space="preserve">Must disclose to all entities to </w:t>
      </w:r>
      <w:r w:rsidR="007A5AE6">
        <w:rPr>
          <w:rFonts w:cs="Times New Roman"/>
          <w:sz w:val="24"/>
          <w:szCs w:val="24"/>
        </w:rPr>
        <w:t>which you have a fiduciary duty in order to avoid liability:</w:t>
      </w:r>
    </w:p>
    <w:p w14:paraId="32F0ABF6" w14:textId="5E291E84" w:rsidR="0094289D" w:rsidRPr="0094289D" w:rsidRDefault="0094289D" w:rsidP="0094289D">
      <w:pPr>
        <w:pStyle w:val="ListParagraph"/>
        <w:numPr>
          <w:ilvl w:val="5"/>
          <w:numId w:val="10"/>
        </w:numPr>
        <w:rPr>
          <w:rFonts w:cs="Times New Roman"/>
          <w:i/>
          <w:sz w:val="24"/>
          <w:szCs w:val="24"/>
        </w:rPr>
      </w:pPr>
      <w:r w:rsidRPr="0094289D">
        <w:rPr>
          <w:rFonts w:cs="Times New Roman"/>
          <w:i/>
          <w:sz w:val="24"/>
          <w:szCs w:val="24"/>
        </w:rPr>
        <w:t>Where, however, a person trading on the basis of material, nonpublic information owes a duty of loyalty and confidentiality to two entities or persons – for example, a law firm and its client – but makes disclosure to only one, the trader may still be liable und</w:t>
      </w:r>
      <w:r>
        <w:rPr>
          <w:rFonts w:cs="Times New Roman"/>
          <w:i/>
          <w:sz w:val="24"/>
          <w:szCs w:val="24"/>
        </w:rPr>
        <w:t>er the misappropriation theory.</w:t>
      </w:r>
    </w:p>
    <w:p w14:paraId="11993827" w14:textId="77EB8A91" w:rsidR="0094289D" w:rsidRDefault="0094289D" w:rsidP="0094289D">
      <w:pPr>
        <w:pStyle w:val="ListParagraph"/>
        <w:numPr>
          <w:ilvl w:val="4"/>
          <w:numId w:val="10"/>
        </w:numPr>
        <w:rPr>
          <w:rFonts w:cs="Times New Roman"/>
          <w:sz w:val="24"/>
          <w:szCs w:val="24"/>
        </w:rPr>
      </w:pPr>
      <w:r>
        <w:rPr>
          <w:rFonts w:cs="Times New Roman"/>
          <w:sz w:val="24"/>
          <w:szCs w:val="24"/>
        </w:rPr>
        <w:t xml:space="preserve">Even if principals say to stop behavior still free to trade under 10b-5, but may not </w:t>
      </w:r>
      <w:r w:rsidR="00500D72">
        <w:rPr>
          <w:rFonts w:cs="Times New Roman"/>
          <w:sz w:val="24"/>
          <w:szCs w:val="24"/>
        </w:rPr>
        <w:t xml:space="preserve">be under </w:t>
      </w:r>
      <w:r>
        <w:rPr>
          <w:rFonts w:cs="Times New Roman"/>
          <w:sz w:val="24"/>
          <w:szCs w:val="24"/>
        </w:rPr>
        <w:t>state law</w:t>
      </w:r>
      <w:r w:rsidR="007A5AE6">
        <w:rPr>
          <w:rFonts w:cs="Times New Roman"/>
          <w:sz w:val="24"/>
          <w:szCs w:val="24"/>
        </w:rPr>
        <w:t>:</w:t>
      </w:r>
    </w:p>
    <w:p w14:paraId="38BA682F" w14:textId="1D8D2FE0" w:rsidR="0094289D" w:rsidRDefault="0094289D" w:rsidP="0094289D">
      <w:pPr>
        <w:pStyle w:val="ListParagraph"/>
        <w:numPr>
          <w:ilvl w:val="5"/>
          <w:numId w:val="10"/>
        </w:numPr>
        <w:rPr>
          <w:rFonts w:cs="Times New Roman"/>
          <w:i/>
          <w:sz w:val="24"/>
          <w:szCs w:val="24"/>
        </w:rPr>
      </w:pPr>
      <w:r w:rsidRPr="0094289D">
        <w:rPr>
          <w:rFonts w:cs="Times New Roman"/>
          <w:i/>
          <w:sz w:val="24"/>
          <w:szCs w:val="24"/>
        </w:rPr>
        <w:t>[T]he textual requirement of deception precludes 10(b) liability when a person trading on the basis of nonpublic information</w:t>
      </w:r>
      <w:r w:rsidR="00500D72">
        <w:rPr>
          <w:rFonts w:cs="Times New Roman"/>
          <w:i/>
          <w:sz w:val="24"/>
          <w:szCs w:val="24"/>
        </w:rPr>
        <w:t xml:space="preserve"> has disclosed his trading plan</w:t>
      </w:r>
      <w:r w:rsidRPr="0094289D">
        <w:rPr>
          <w:rFonts w:cs="Times New Roman"/>
          <w:i/>
          <w:sz w:val="24"/>
          <w:szCs w:val="24"/>
        </w:rPr>
        <w:t>s to, or obtained authorization from, the principal – even though such conduct may affect the securities markets in the same manner as the conduct reached by the misappropriation theory…Once a disloyal agent disclosed his imminent breach of duty, his principal may seek appropriate equitable relief under state law.</w:t>
      </w:r>
    </w:p>
    <w:p w14:paraId="1ACA140A" w14:textId="30E2D737" w:rsidR="0094289D" w:rsidRPr="0094289D" w:rsidRDefault="0094289D" w:rsidP="0094289D">
      <w:pPr>
        <w:pStyle w:val="ListParagraph"/>
        <w:numPr>
          <w:ilvl w:val="4"/>
          <w:numId w:val="10"/>
        </w:numPr>
        <w:rPr>
          <w:rFonts w:cs="Times New Roman"/>
          <w:i/>
          <w:sz w:val="24"/>
          <w:szCs w:val="24"/>
        </w:rPr>
      </w:pPr>
      <w:r>
        <w:rPr>
          <w:rFonts w:cs="Times New Roman"/>
          <w:sz w:val="24"/>
          <w:szCs w:val="24"/>
        </w:rPr>
        <w:t>If principal authorizes trading, may be liable.</w:t>
      </w:r>
    </w:p>
    <w:p w14:paraId="556F7B87" w14:textId="2417E5C9" w:rsidR="0094289D" w:rsidRPr="0094289D" w:rsidRDefault="0094289D" w:rsidP="0094289D">
      <w:pPr>
        <w:pStyle w:val="ListParagraph"/>
        <w:numPr>
          <w:ilvl w:val="5"/>
          <w:numId w:val="10"/>
        </w:numPr>
        <w:rPr>
          <w:rFonts w:cs="Times New Roman"/>
          <w:i/>
          <w:sz w:val="24"/>
          <w:szCs w:val="24"/>
        </w:rPr>
      </w:pPr>
      <w:r>
        <w:rPr>
          <w:rFonts w:cs="Times New Roman"/>
          <w:i/>
          <w:sz w:val="24"/>
          <w:szCs w:val="24"/>
        </w:rPr>
        <w:t xml:space="preserve">[I]n the context of a tender offer, the principal who authorizes an agent’s trading on confidential information may, in the Commission’s view, incur liability for an Exchange Act violation under Rule 14e-3(a). </w:t>
      </w:r>
    </w:p>
    <w:p w14:paraId="0E6BBE6D" w14:textId="543A5247" w:rsidR="003E2159" w:rsidRDefault="000A2D38" w:rsidP="00E361D6">
      <w:pPr>
        <w:pStyle w:val="ListParagraph"/>
        <w:numPr>
          <w:ilvl w:val="2"/>
          <w:numId w:val="10"/>
        </w:numPr>
        <w:rPr>
          <w:rFonts w:cs="Times New Roman"/>
          <w:sz w:val="24"/>
          <w:szCs w:val="24"/>
        </w:rPr>
      </w:pPr>
      <w:r>
        <w:rPr>
          <w:rFonts w:cs="Times New Roman"/>
          <w:sz w:val="24"/>
          <w:szCs w:val="24"/>
        </w:rPr>
        <w:t>Other Duties of Trust or Confidence</w:t>
      </w:r>
    </w:p>
    <w:p w14:paraId="0F9AE82D" w14:textId="6A462C4C" w:rsidR="003219F9" w:rsidRDefault="003219F9" w:rsidP="003219F9">
      <w:pPr>
        <w:pStyle w:val="ListParagraph"/>
        <w:numPr>
          <w:ilvl w:val="3"/>
          <w:numId w:val="10"/>
        </w:numPr>
        <w:rPr>
          <w:rFonts w:cs="Times New Roman"/>
          <w:sz w:val="24"/>
          <w:szCs w:val="24"/>
        </w:rPr>
      </w:pPr>
      <w:r w:rsidRPr="003219F9">
        <w:rPr>
          <w:rFonts w:cs="Times New Roman"/>
          <w:i/>
          <w:sz w:val="24"/>
          <w:szCs w:val="24"/>
        </w:rPr>
        <w:t xml:space="preserve">United States v. </w:t>
      </w:r>
      <w:proofErr w:type="spellStart"/>
      <w:r w:rsidRPr="003219F9">
        <w:rPr>
          <w:rFonts w:cs="Times New Roman"/>
          <w:i/>
          <w:sz w:val="24"/>
          <w:szCs w:val="24"/>
        </w:rPr>
        <w:t>Chestman</w:t>
      </w:r>
      <w:proofErr w:type="spellEnd"/>
      <w:r w:rsidRPr="003219F9">
        <w:rPr>
          <w:rFonts w:cs="Times New Roman"/>
          <w:i/>
          <w:sz w:val="24"/>
          <w:szCs w:val="24"/>
        </w:rPr>
        <w:t xml:space="preserve"> </w:t>
      </w:r>
      <w:r>
        <w:rPr>
          <w:rFonts w:cs="Times New Roman"/>
          <w:sz w:val="24"/>
          <w:szCs w:val="24"/>
        </w:rPr>
        <w:t xml:space="preserve">(2d Cir. 1991) – Court held that husbands and wives do not owe each other fiduciary duties. For the SEC, the result was an obvious nightmare. To trade on inside information, a CEO need simply place the trade in his or her spouse’s account. When the SEC comes calling, the two can then invent a “What did you do at the office today, honey?” conversation. So long as neither wants to put the other in prison, they are both home free. </w:t>
      </w:r>
    </w:p>
    <w:p w14:paraId="7D601658" w14:textId="211E430B" w:rsidR="003219F9" w:rsidRDefault="003219F9" w:rsidP="003219F9">
      <w:pPr>
        <w:pStyle w:val="ListParagraph"/>
        <w:numPr>
          <w:ilvl w:val="3"/>
          <w:numId w:val="10"/>
        </w:numPr>
        <w:rPr>
          <w:rFonts w:cs="Times New Roman"/>
          <w:sz w:val="24"/>
          <w:szCs w:val="24"/>
        </w:rPr>
      </w:pPr>
      <w:r>
        <w:rPr>
          <w:rFonts w:cs="Times New Roman"/>
          <w:sz w:val="24"/>
          <w:szCs w:val="24"/>
        </w:rPr>
        <w:t xml:space="preserve">To address the problem, in 2000 the SEC adopted </w:t>
      </w:r>
      <w:r w:rsidRPr="003275BF">
        <w:rPr>
          <w:rFonts w:cs="Times New Roman"/>
          <w:b/>
          <w:sz w:val="24"/>
          <w:szCs w:val="24"/>
          <w:u w:val="single"/>
        </w:rPr>
        <w:t>Rule 10b5-2:</w:t>
      </w:r>
    </w:p>
    <w:p w14:paraId="7C6B54A1" w14:textId="77777777" w:rsidR="003219F9" w:rsidRPr="003219F9" w:rsidRDefault="003219F9" w:rsidP="000A2D38">
      <w:pPr>
        <w:pStyle w:val="ListParagraph"/>
        <w:ind w:left="1440"/>
        <w:rPr>
          <w:rFonts w:cs="Times New Roman"/>
          <w:i/>
          <w:sz w:val="24"/>
          <w:szCs w:val="24"/>
        </w:rPr>
      </w:pPr>
      <w:r w:rsidRPr="003219F9">
        <w:rPr>
          <w:rFonts w:cs="Times New Roman"/>
          <w:i/>
          <w:sz w:val="24"/>
          <w:szCs w:val="24"/>
        </w:rPr>
        <w:t>For purposes of this section, a “duty of trust or confidence” exists in the following circumstances, among others:</w:t>
      </w:r>
    </w:p>
    <w:p w14:paraId="3C9AA3A4" w14:textId="77777777" w:rsidR="003219F9" w:rsidRPr="003219F9" w:rsidRDefault="003219F9" w:rsidP="000A2D38">
      <w:pPr>
        <w:pStyle w:val="ListParagraph"/>
        <w:ind w:left="1800"/>
        <w:rPr>
          <w:rFonts w:cs="Times New Roman"/>
          <w:i/>
          <w:sz w:val="24"/>
          <w:szCs w:val="24"/>
        </w:rPr>
      </w:pPr>
      <w:r w:rsidRPr="003219F9">
        <w:rPr>
          <w:rFonts w:cs="Times New Roman"/>
          <w:i/>
          <w:sz w:val="24"/>
          <w:szCs w:val="24"/>
        </w:rPr>
        <w:t>(1) Whenever a person agrees to maintain information in confidence;</w:t>
      </w:r>
    </w:p>
    <w:p w14:paraId="1384ADDC" w14:textId="77777777" w:rsidR="003219F9" w:rsidRPr="003219F9" w:rsidRDefault="003219F9" w:rsidP="000A2D38">
      <w:pPr>
        <w:pStyle w:val="ListParagraph"/>
        <w:ind w:left="1800"/>
        <w:rPr>
          <w:rFonts w:cs="Times New Roman"/>
          <w:i/>
          <w:sz w:val="24"/>
          <w:szCs w:val="24"/>
        </w:rPr>
      </w:pPr>
      <w:r w:rsidRPr="003219F9">
        <w:rPr>
          <w:rFonts w:cs="Times New Roman"/>
          <w:i/>
          <w:sz w:val="24"/>
          <w:szCs w:val="24"/>
        </w:rPr>
        <w:t>(2) Whenever the person communicating the material nonpublic information and the person to whom it is communicated have a history, pattern, or practice of sharing confidences, such that the recipient of the information knows or reasonably should know that the person communicating the material nonpublic information expects that the recipient will maintain its confidentiality; or</w:t>
      </w:r>
    </w:p>
    <w:p w14:paraId="20FEB1E6" w14:textId="1D2E7A1B" w:rsidR="003219F9" w:rsidRPr="003219F9" w:rsidRDefault="003219F9" w:rsidP="000A2D38">
      <w:pPr>
        <w:pStyle w:val="ListParagraph"/>
        <w:ind w:left="1800"/>
        <w:rPr>
          <w:rFonts w:cs="Times New Roman"/>
          <w:i/>
          <w:sz w:val="24"/>
          <w:szCs w:val="24"/>
        </w:rPr>
      </w:pPr>
      <w:r w:rsidRPr="003219F9">
        <w:rPr>
          <w:rFonts w:cs="Times New Roman"/>
          <w:i/>
          <w:sz w:val="24"/>
          <w:szCs w:val="24"/>
        </w:rPr>
        <w:t>(3) Whenever a person receives or obtains material nonpublic information from his or her spouse, parent, child, or sibling…</w:t>
      </w:r>
    </w:p>
    <w:p w14:paraId="7E3D9231" w14:textId="77777777" w:rsidR="00B77A5D" w:rsidRDefault="00B77A5D" w:rsidP="00B77A5D">
      <w:pPr>
        <w:rPr>
          <w:rFonts w:cs="Times New Roman"/>
          <w:b/>
          <w:sz w:val="28"/>
          <w:szCs w:val="28"/>
        </w:rPr>
      </w:pPr>
    </w:p>
    <w:p w14:paraId="53331A1A" w14:textId="62468D31" w:rsidR="003219F9" w:rsidRPr="00E0645C" w:rsidRDefault="003219F9" w:rsidP="00E0645C">
      <w:pPr>
        <w:pStyle w:val="Heading1"/>
      </w:pPr>
      <w:r>
        <w:t>CONTROL ISSUES</w:t>
      </w:r>
    </w:p>
    <w:p w14:paraId="0175E6ED" w14:textId="339B3898" w:rsidR="00585C8E" w:rsidRDefault="00585C8E" w:rsidP="007267BF">
      <w:pPr>
        <w:pStyle w:val="Heading2"/>
        <w:numPr>
          <w:ilvl w:val="0"/>
          <w:numId w:val="21"/>
        </w:numPr>
      </w:pPr>
      <w:r>
        <w:t>Choosing the Team that Runs the Firm</w:t>
      </w:r>
    </w:p>
    <w:p w14:paraId="6FF82661" w14:textId="2E472715" w:rsidR="00585C8E" w:rsidRPr="00D20513" w:rsidRDefault="00585C8E" w:rsidP="007267BF">
      <w:pPr>
        <w:pStyle w:val="Heading3"/>
        <w:numPr>
          <w:ilvl w:val="1"/>
          <w:numId w:val="21"/>
        </w:numPr>
      </w:pPr>
      <w:r>
        <w:t>The Mechanics</w:t>
      </w:r>
    </w:p>
    <w:p w14:paraId="658A4C83" w14:textId="37243E28" w:rsidR="00DD6345" w:rsidRDefault="00DD6345" w:rsidP="007267BF">
      <w:pPr>
        <w:pStyle w:val="ListParagraph"/>
        <w:numPr>
          <w:ilvl w:val="2"/>
          <w:numId w:val="21"/>
        </w:numPr>
        <w:rPr>
          <w:rFonts w:cs="Times New Roman"/>
          <w:sz w:val="24"/>
          <w:szCs w:val="24"/>
        </w:rPr>
      </w:pPr>
      <w:r>
        <w:rPr>
          <w:rFonts w:cs="Times New Roman"/>
          <w:sz w:val="24"/>
          <w:szCs w:val="24"/>
        </w:rPr>
        <w:t>The law provides that shareholders vote once a year to elect the members of the board of directors. Those directors then monitor, hire, and fire the officers who run the firm day in and day out. The law also gives shareholders a vote on transactions involving the life of the firm – e.g. mergers, liquidations, and sales of substantially all the corporate assets.</w:t>
      </w:r>
    </w:p>
    <w:p w14:paraId="690D1D27" w14:textId="4686844B" w:rsidR="00DD6345" w:rsidRDefault="00DD6345" w:rsidP="007267BF">
      <w:pPr>
        <w:pStyle w:val="ListParagraph"/>
        <w:numPr>
          <w:ilvl w:val="2"/>
          <w:numId w:val="21"/>
        </w:numPr>
        <w:rPr>
          <w:rFonts w:cs="Times New Roman"/>
          <w:sz w:val="24"/>
          <w:szCs w:val="24"/>
        </w:rPr>
      </w:pPr>
      <w:r>
        <w:rPr>
          <w:rFonts w:cs="Times New Roman"/>
          <w:sz w:val="24"/>
          <w:szCs w:val="24"/>
        </w:rPr>
        <w:t>Often, shareholders vote at the annual meeting by proxy - by appointing someone there to vote in their stead as their agent.</w:t>
      </w:r>
    </w:p>
    <w:p w14:paraId="697B9EC3" w14:textId="3B774AAD" w:rsidR="00DD6345" w:rsidRDefault="00DD6345" w:rsidP="007267BF">
      <w:pPr>
        <w:pStyle w:val="ListParagraph"/>
        <w:numPr>
          <w:ilvl w:val="3"/>
          <w:numId w:val="21"/>
        </w:numPr>
        <w:rPr>
          <w:rFonts w:cs="Times New Roman"/>
          <w:sz w:val="24"/>
          <w:szCs w:val="24"/>
        </w:rPr>
      </w:pPr>
      <w:r>
        <w:rPr>
          <w:rFonts w:cs="Times New Roman"/>
          <w:sz w:val="24"/>
          <w:szCs w:val="24"/>
        </w:rPr>
        <w:t>“Proxy card” – the document by which they appoint a voting agent</w:t>
      </w:r>
    </w:p>
    <w:p w14:paraId="33BED828" w14:textId="6F3B104B" w:rsidR="00DD6345" w:rsidRDefault="00DD6345" w:rsidP="007267BF">
      <w:pPr>
        <w:pStyle w:val="ListParagraph"/>
        <w:numPr>
          <w:ilvl w:val="3"/>
          <w:numId w:val="21"/>
        </w:numPr>
        <w:rPr>
          <w:rFonts w:cs="Times New Roman"/>
          <w:sz w:val="24"/>
          <w:szCs w:val="24"/>
        </w:rPr>
      </w:pPr>
      <w:r>
        <w:rPr>
          <w:rFonts w:cs="Times New Roman"/>
          <w:sz w:val="24"/>
          <w:szCs w:val="24"/>
        </w:rPr>
        <w:t xml:space="preserve">“Proxy fight” – process by which rival board candidates solicit shareholder support </w:t>
      </w:r>
    </w:p>
    <w:p w14:paraId="3E8AD5DB" w14:textId="2A7C8D53" w:rsidR="00DD6345" w:rsidRDefault="00DD6345" w:rsidP="007267BF">
      <w:pPr>
        <w:pStyle w:val="ListParagraph"/>
        <w:numPr>
          <w:ilvl w:val="3"/>
          <w:numId w:val="21"/>
        </w:numPr>
        <w:rPr>
          <w:rFonts w:cs="Times New Roman"/>
          <w:sz w:val="24"/>
          <w:szCs w:val="24"/>
        </w:rPr>
      </w:pPr>
      <w:r>
        <w:rPr>
          <w:rFonts w:cs="Times New Roman"/>
          <w:sz w:val="24"/>
          <w:szCs w:val="24"/>
        </w:rPr>
        <w:lastRenderedPageBreak/>
        <w:t>“Proxy rules” – federal rules that govern the content of their solicitation material</w:t>
      </w:r>
      <w:r w:rsidR="00584FAA">
        <w:rPr>
          <w:rFonts w:cs="Times New Roman"/>
          <w:sz w:val="24"/>
          <w:szCs w:val="24"/>
        </w:rPr>
        <w:t>. Apply to same firms that fall under 16(b).</w:t>
      </w:r>
      <w:r w:rsidR="00104768">
        <w:rPr>
          <w:rFonts w:cs="Times New Roman"/>
          <w:sz w:val="24"/>
          <w:szCs w:val="24"/>
        </w:rPr>
        <w:t xml:space="preserve"> Heavily regulated by 1934 Act.</w:t>
      </w:r>
    </w:p>
    <w:p w14:paraId="6AC6FE33" w14:textId="77777777" w:rsidR="00E240AE" w:rsidRDefault="00874DA9" w:rsidP="00E240AE">
      <w:pPr>
        <w:pStyle w:val="ListParagraph"/>
        <w:numPr>
          <w:ilvl w:val="3"/>
          <w:numId w:val="21"/>
        </w:numPr>
        <w:rPr>
          <w:rFonts w:cs="Times New Roman"/>
          <w:sz w:val="24"/>
          <w:szCs w:val="24"/>
        </w:rPr>
      </w:pPr>
      <w:r>
        <w:rPr>
          <w:rFonts w:cs="Times New Roman"/>
          <w:sz w:val="24"/>
          <w:szCs w:val="24"/>
        </w:rPr>
        <w:t xml:space="preserve">“Proxy statement” – </w:t>
      </w:r>
      <w:r w:rsidRPr="00874DA9">
        <w:rPr>
          <w:rFonts w:cs="Times New Roman"/>
          <w:sz w:val="24"/>
          <w:szCs w:val="24"/>
        </w:rPr>
        <w:t>statement required of a firm when soliciting shareholder votes. This statement is filed in advance of the annual meeting.</w:t>
      </w:r>
    </w:p>
    <w:p w14:paraId="7095B491" w14:textId="33E31EEF" w:rsidR="00E240AE" w:rsidRPr="00E240AE" w:rsidRDefault="00E240AE" w:rsidP="00E240AE">
      <w:pPr>
        <w:pStyle w:val="ListParagraph"/>
        <w:numPr>
          <w:ilvl w:val="2"/>
          <w:numId w:val="21"/>
        </w:numPr>
        <w:rPr>
          <w:rFonts w:cs="Times New Roman"/>
          <w:sz w:val="24"/>
          <w:szCs w:val="24"/>
        </w:rPr>
      </w:pPr>
      <w:r w:rsidRPr="00E240AE">
        <w:rPr>
          <w:rFonts w:cs="Times New Roman"/>
          <w:sz w:val="24"/>
          <w:szCs w:val="24"/>
        </w:rPr>
        <w:t xml:space="preserve">Private Actions for Federal Proxy Violations – a shareholder can sue under </w:t>
      </w:r>
      <w:r>
        <w:rPr>
          <w:rFonts w:cs="Times New Roman"/>
          <w:sz w:val="24"/>
          <w:szCs w:val="24"/>
        </w:rPr>
        <w:t xml:space="preserve">1934 Exchange Act § 14. </w:t>
      </w:r>
    </w:p>
    <w:p w14:paraId="3B8B785F" w14:textId="77777777" w:rsidR="00E240AE" w:rsidRDefault="00E240AE" w:rsidP="00E240AE">
      <w:pPr>
        <w:pStyle w:val="ListParagraph"/>
        <w:ind w:left="1440"/>
        <w:rPr>
          <w:rFonts w:cs="Times New Roman"/>
          <w:sz w:val="24"/>
          <w:szCs w:val="24"/>
        </w:rPr>
      </w:pPr>
    </w:p>
    <w:p w14:paraId="0076222D" w14:textId="4A4926BD" w:rsidR="00585C8E" w:rsidRPr="00620D5A" w:rsidRDefault="00585C8E" w:rsidP="007267BF">
      <w:pPr>
        <w:pStyle w:val="Heading3"/>
        <w:numPr>
          <w:ilvl w:val="1"/>
          <w:numId w:val="21"/>
        </w:numPr>
      </w:pPr>
      <w:r>
        <w:t xml:space="preserve">Paying for the Proxies </w:t>
      </w:r>
    </w:p>
    <w:p w14:paraId="4F09C527" w14:textId="6AC69908" w:rsidR="00585C8E" w:rsidRDefault="00620D5A" w:rsidP="007267BF">
      <w:pPr>
        <w:pStyle w:val="ListParagraph"/>
        <w:numPr>
          <w:ilvl w:val="2"/>
          <w:numId w:val="21"/>
        </w:numPr>
        <w:rPr>
          <w:rFonts w:cs="Times New Roman"/>
          <w:sz w:val="24"/>
          <w:szCs w:val="24"/>
        </w:rPr>
      </w:pPr>
      <w:r>
        <w:rPr>
          <w:rFonts w:cs="Times New Roman"/>
          <w:sz w:val="24"/>
          <w:szCs w:val="24"/>
        </w:rPr>
        <w:t>In contests over policy, the incumbent board may charge the firm for reasonable proxy solicitation expenses</w:t>
      </w:r>
      <w:r w:rsidR="00D153D8">
        <w:rPr>
          <w:rFonts w:cs="Times New Roman"/>
          <w:sz w:val="24"/>
          <w:szCs w:val="24"/>
        </w:rPr>
        <w:t xml:space="preserve"> whether they win or lose (</w:t>
      </w:r>
      <w:r w:rsidR="00D153D8" w:rsidRPr="00D153D8">
        <w:rPr>
          <w:rFonts w:cs="Times New Roman"/>
          <w:i/>
          <w:sz w:val="24"/>
          <w:szCs w:val="24"/>
        </w:rPr>
        <w:t>Rosenfeld</w:t>
      </w:r>
      <w:r w:rsidR="00D153D8">
        <w:rPr>
          <w:rFonts w:cs="Times New Roman"/>
          <w:sz w:val="24"/>
          <w:szCs w:val="24"/>
        </w:rPr>
        <w:t xml:space="preserve"> clarifies that even when lose)</w:t>
      </w:r>
      <w:r>
        <w:rPr>
          <w:rFonts w:cs="Times New Roman"/>
          <w:sz w:val="24"/>
          <w:szCs w:val="24"/>
        </w:rPr>
        <w:t xml:space="preserve"> – </w:t>
      </w:r>
      <w:r w:rsidRPr="007C5634">
        <w:rPr>
          <w:rFonts w:cs="Times New Roman"/>
          <w:b/>
          <w:i/>
          <w:sz w:val="24"/>
          <w:szCs w:val="24"/>
        </w:rPr>
        <w:t>Levin v. Metro-Goldwyn-Mayer, Inc. (SDNY 1967)</w:t>
      </w:r>
    </w:p>
    <w:p w14:paraId="46609AFE" w14:textId="613535FD" w:rsidR="00620D5A" w:rsidRDefault="00620D5A" w:rsidP="007267BF">
      <w:pPr>
        <w:pStyle w:val="ListParagraph"/>
        <w:numPr>
          <w:ilvl w:val="3"/>
          <w:numId w:val="21"/>
        </w:numPr>
        <w:rPr>
          <w:rFonts w:cs="Times New Roman"/>
          <w:sz w:val="24"/>
          <w:szCs w:val="24"/>
        </w:rPr>
      </w:pPr>
      <w:r>
        <w:rPr>
          <w:rFonts w:cs="Times New Roman"/>
          <w:sz w:val="24"/>
          <w:szCs w:val="24"/>
        </w:rPr>
        <w:t xml:space="preserve">Synopsis: Levin, shareholder, launched a proxy fight to oust O’Brien, MGM president. The Levin group and the MGM incumbents both solicited proxies for the annual meeting. Levin then sued to enjoin the incumbents from using corporate facilities in the effort. Specifically, he argued that MGM should not use corporate funds to hire lawyers or proxy solicitation specialists. Court held for D noting that the differences were about business policies, not personality conflict; D did not spend an unreasonable amount (MGM spent $125K); and D disclosed what they were doing. </w:t>
      </w:r>
    </w:p>
    <w:p w14:paraId="0326D958" w14:textId="353A08C2" w:rsidR="00620D5A" w:rsidRDefault="00620D5A" w:rsidP="007267BF">
      <w:pPr>
        <w:pStyle w:val="ListParagraph"/>
        <w:numPr>
          <w:ilvl w:val="3"/>
          <w:numId w:val="21"/>
        </w:numPr>
        <w:rPr>
          <w:rFonts w:cs="Times New Roman"/>
          <w:sz w:val="24"/>
          <w:szCs w:val="24"/>
        </w:rPr>
      </w:pPr>
      <w:r>
        <w:rPr>
          <w:rFonts w:cs="Times New Roman"/>
          <w:sz w:val="24"/>
          <w:szCs w:val="24"/>
        </w:rPr>
        <w:t>Tool:</w:t>
      </w:r>
      <w:r w:rsidR="00023D20" w:rsidRPr="00023D20">
        <w:t xml:space="preserve"> </w:t>
      </w:r>
      <w:r w:rsidR="00023D20" w:rsidRPr="00023D20">
        <w:rPr>
          <w:rFonts w:cs="Times New Roman"/>
          <w:sz w:val="24"/>
          <w:szCs w:val="24"/>
        </w:rPr>
        <w:t>There is no law against the solicitation of proxies through the use of corporate resources, and if there is no showing of irreparable harm to Ps then proxy solicitation should not be prohibited.</w:t>
      </w:r>
    </w:p>
    <w:p w14:paraId="7AF297BC" w14:textId="4FD4F931" w:rsidR="00585C8E" w:rsidRDefault="00023D20" w:rsidP="007267BF">
      <w:pPr>
        <w:pStyle w:val="ListParagraph"/>
        <w:numPr>
          <w:ilvl w:val="2"/>
          <w:numId w:val="21"/>
        </w:numPr>
        <w:rPr>
          <w:rFonts w:cs="Times New Roman"/>
          <w:sz w:val="24"/>
          <w:szCs w:val="24"/>
        </w:rPr>
      </w:pPr>
      <w:r>
        <w:rPr>
          <w:rFonts w:cs="Times New Roman"/>
          <w:sz w:val="24"/>
          <w:szCs w:val="24"/>
        </w:rPr>
        <w:t xml:space="preserve">In contests over policy, the insurgent candidates may charge the firm for their proxy solicitation expenses, provided the amounts are reasonable, the insurgents win, and the shareholders approve the expenditure – </w:t>
      </w:r>
      <w:r w:rsidRPr="007C5634">
        <w:rPr>
          <w:rFonts w:cs="Times New Roman"/>
          <w:b/>
          <w:i/>
          <w:sz w:val="24"/>
          <w:szCs w:val="24"/>
        </w:rPr>
        <w:t>Rosenfeld v. Fairchild Engine &amp; Airplane Corp. (NY 1955)</w:t>
      </w:r>
    </w:p>
    <w:p w14:paraId="3868B9C0" w14:textId="7B9052D4" w:rsidR="00023D20" w:rsidRDefault="00023D20" w:rsidP="007267BF">
      <w:pPr>
        <w:pStyle w:val="ListParagraph"/>
        <w:numPr>
          <w:ilvl w:val="3"/>
          <w:numId w:val="21"/>
        </w:numPr>
        <w:rPr>
          <w:rFonts w:cs="Times New Roman"/>
          <w:sz w:val="24"/>
          <w:szCs w:val="24"/>
        </w:rPr>
      </w:pPr>
      <w:r>
        <w:rPr>
          <w:rFonts w:cs="Times New Roman"/>
          <w:sz w:val="24"/>
          <w:szCs w:val="24"/>
        </w:rPr>
        <w:t xml:space="preserve">Synopsis: Fairchild founded the Fairchild Engine &amp; Airplane firm. Ward ran the firm. Fairchild did not like the direction Ward was taking the firm so he campaigned other shareholders to oust Ward, he won, and Ward resigned. Ward and his allies spent $106K in corporate funds to solicit proxies. After the shareholders had approved the payment, the Fairchild group charged the firm $127K for their won proxy solicitation expenses. In a derivative suit challenging these expenses, the NY Court of Appeals held </w:t>
      </w:r>
      <w:r w:rsidR="00D153D8">
        <w:rPr>
          <w:rFonts w:cs="Times New Roman"/>
          <w:sz w:val="24"/>
          <w:szCs w:val="24"/>
        </w:rPr>
        <w:t>that parties could</w:t>
      </w:r>
      <w:r>
        <w:rPr>
          <w:rFonts w:cs="Times New Roman"/>
          <w:sz w:val="24"/>
          <w:szCs w:val="24"/>
        </w:rPr>
        <w:t xml:space="preserve"> charge the firm when there was a good faith dispute over policy and the expenses were reasonable. </w:t>
      </w:r>
    </w:p>
    <w:p w14:paraId="5EE9A0DA" w14:textId="59C57FB6" w:rsidR="00023D20" w:rsidRPr="00023D20" w:rsidRDefault="00023D20" w:rsidP="007267BF">
      <w:pPr>
        <w:pStyle w:val="ListParagraph"/>
        <w:numPr>
          <w:ilvl w:val="3"/>
          <w:numId w:val="21"/>
        </w:numPr>
        <w:rPr>
          <w:rFonts w:cs="Times New Roman"/>
          <w:sz w:val="24"/>
          <w:szCs w:val="24"/>
        </w:rPr>
      </w:pPr>
      <w:r w:rsidRPr="00023D20">
        <w:rPr>
          <w:rFonts w:cs="Times New Roman"/>
          <w:sz w:val="24"/>
          <w:szCs w:val="24"/>
        </w:rPr>
        <w:t>Tool:</w:t>
      </w:r>
      <w:r w:rsidR="00104768">
        <w:rPr>
          <w:rFonts w:cs="Times New Roman"/>
          <w:sz w:val="24"/>
          <w:szCs w:val="24"/>
        </w:rPr>
        <w:t xml:space="preserve"> Incumbents can may reasonable expenditures whether they win or lose but contestants only if they win – </w:t>
      </w:r>
      <w:r w:rsidRPr="00023D20">
        <w:rPr>
          <w:rFonts w:cs="Times New Roman"/>
          <w:sz w:val="24"/>
          <w:szCs w:val="24"/>
        </w:rPr>
        <w:t xml:space="preserve"> </w:t>
      </w:r>
      <w:r>
        <w:rPr>
          <w:rFonts w:cs="Times New Roman"/>
          <w:sz w:val="24"/>
          <w:szCs w:val="24"/>
        </w:rPr>
        <w:t>“</w:t>
      </w:r>
      <w:r w:rsidRPr="00023D20">
        <w:rPr>
          <w:rFonts w:cs="Times New Roman"/>
          <w:sz w:val="24"/>
          <w:szCs w:val="24"/>
        </w:rPr>
        <w:t xml:space="preserve">In a contest over policy, as compared to a purely personal power contest, </w:t>
      </w:r>
      <w:r w:rsidRPr="00104768">
        <w:rPr>
          <w:rFonts w:cs="Times New Roman"/>
          <w:sz w:val="24"/>
          <w:szCs w:val="24"/>
          <w:u w:val="single"/>
        </w:rPr>
        <w:t>corporate directors have the right to make reasonable and proper expenditures</w:t>
      </w:r>
      <w:r w:rsidRPr="00023D20">
        <w:rPr>
          <w:rFonts w:cs="Times New Roman"/>
          <w:sz w:val="24"/>
          <w:szCs w:val="24"/>
        </w:rPr>
        <w:t xml:space="preserve">, subject to the scrutiny of the courts when duly challenged, from the corporate treasury for the purpose of persuading the stockholders of the correctness of their position and soliciting their support for policies which the directors believe, in all good faith, are in the best interests of the corporation. </w:t>
      </w:r>
      <w:r w:rsidRPr="00023D20">
        <w:rPr>
          <w:rFonts w:cs="Times New Roman"/>
          <w:sz w:val="24"/>
          <w:szCs w:val="24"/>
          <w:u w:val="single"/>
        </w:rPr>
        <w:t xml:space="preserve">The stockholders, moreover, have the right to reimburse </w:t>
      </w:r>
      <w:r w:rsidRPr="00104768">
        <w:rPr>
          <w:rFonts w:cs="Times New Roman"/>
          <w:b/>
          <w:sz w:val="24"/>
          <w:szCs w:val="24"/>
          <w:u w:val="single"/>
        </w:rPr>
        <w:t>successful</w:t>
      </w:r>
      <w:r w:rsidRPr="00023D20">
        <w:rPr>
          <w:rFonts w:cs="Times New Roman"/>
          <w:sz w:val="24"/>
          <w:szCs w:val="24"/>
          <w:u w:val="single"/>
        </w:rPr>
        <w:t xml:space="preserve"> contestants for the reasonable and bona fide expenses incurred by them in any such policy contest, subject to like court scrutiny.</w:t>
      </w:r>
      <w:r>
        <w:rPr>
          <w:rFonts w:cs="Times New Roman"/>
          <w:sz w:val="24"/>
          <w:szCs w:val="24"/>
        </w:rPr>
        <w:t>”</w:t>
      </w:r>
    </w:p>
    <w:p w14:paraId="24AAC947" w14:textId="5FE9B839" w:rsidR="00023D20" w:rsidRDefault="00D153D8" w:rsidP="007267BF">
      <w:pPr>
        <w:pStyle w:val="ListParagraph"/>
        <w:numPr>
          <w:ilvl w:val="3"/>
          <w:numId w:val="21"/>
        </w:numPr>
        <w:rPr>
          <w:rFonts w:cs="Times New Roman"/>
          <w:sz w:val="24"/>
          <w:szCs w:val="24"/>
        </w:rPr>
      </w:pPr>
      <w:r>
        <w:rPr>
          <w:rFonts w:cs="Times New Roman"/>
          <w:sz w:val="24"/>
          <w:szCs w:val="24"/>
        </w:rPr>
        <w:t>Dissent: all disputes involve policy</w:t>
      </w:r>
    </w:p>
    <w:p w14:paraId="67A3EFBF" w14:textId="799B364A" w:rsidR="00585C8E" w:rsidRPr="00584FAA" w:rsidRDefault="00585C8E" w:rsidP="007267BF">
      <w:pPr>
        <w:pStyle w:val="Heading3"/>
        <w:numPr>
          <w:ilvl w:val="1"/>
          <w:numId w:val="21"/>
        </w:numPr>
      </w:pPr>
      <w:r>
        <w:t>Contacting the Shareholders</w:t>
      </w:r>
    </w:p>
    <w:p w14:paraId="5A168977" w14:textId="77777777" w:rsidR="004C2265" w:rsidRDefault="004C2265" w:rsidP="007267BF">
      <w:pPr>
        <w:pStyle w:val="ListParagraph"/>
        <w:numPr>
          <w:ilvl w:val="2"/>
          <w:numId w:val="21"/>
        </w:numPr>
        <w:rPr>
          <w:rFonts w:cs="Times New Roman"/>
          <w:sz w:val="24"/>
          <w:szCs w:val="24"/>
        </w:rPr>
      </w:pPr>
      <w:r>
        <w:rPr>
          <w:rFonts w:cs="Times New Roman"/>
          <w:sz w:val="24"/>
          <w:szCs w:val="24"/>
        </w:rPr>
        <w:t>Right to Shareholder’s List</w:t>
      </w:r>
    </w:p>
    <w:p w14:paraId="0D21275E" w14:textId="2DA4744C" w:rsidR="00584FAA" w:rsidRDefault="00584FAA" w:rsidP="007267BF">
      <w:pPr>
        <w:pStyle w:val="ListParagraph"/>
        <w:numPr>
          <w:ilvl w:val="3"/>
          <w:numId w:val="21"/>
        </w:numPr>
        <w:rPr>
          <w:rFonts w:cs="Times New Roman"/>
          <w:sz w:val="24"/>
          <w:szCs w:val="24"/>
        </w:rPr>
      </w:pPr>
      <w:r>
        <w:rPr>
          <w:rFonts w:cs="Times New Roman"/>
          <w:sz w:val="24"/>
          <w:szCs w:val="24"/>
        </w:rPr>
        <w:t>14a-7</w:t>
      </w:r>
    </w:p>
    <w:p w14:paraId="506CF838" w14:textId="77777777" w:rsidR="00584FAA" w:rsidRDefault="00584FAA" w:rsidP="007267BF">
      <w:pPr>
        <w:pStyle w:val="ListParagraph"/>
        <w:numPr>
          <w:ilvl w:val="4"/>
          <w:numId w:val="21"/>
        </w:numPr>
        <w:rPr>
          <w:rFonts w:cs="Times New Roman"/>
          <w:sz w:val="24"/>
          <w:szCs w:val="24"/>
        </w:rPr>
      </w:pPr>
      <w:r w:rsidRPr="00584FAA">
        <w:rPr>
          <w:rFonts w:cs="Times New Roman"/>
          <w:sz w:val="24"/>
          <w:szCs w:val="24"/>
        </w:rPr>
        <w:t xml:space="preserve">14a-7: when an insurgent group wants to contest management and solicit proxies, Rule 14a-7 gives management a choice: it can </w:t>
      </w:r>
      <w:proofErr w:type="gramStart"/>
      <w:r w:rsidRPr="00584FAA">
        <w:rPr>
          <w:rFonts w:cs="Times New Roman"/>
          <w:sz w:val="24"/>
          <w:szCs w:val="24"/>
        </w:rPr>
        <w:t>either mail the insurgent group’s material to the shareholders directly and</w:t>
      </w:r>
      <w:proofErr w:type="gramEnd"/>
      <w:r w:rsidRPr="00584FAA">
        <w:rPr>
          <w:rFonts w:cs="Times New Roman"/>
          <w:sz w:val="24"/>
          <w:szCs w:val="24"/>
        </w:rPr>
        <w:t xml:space="preserve"> charge the group for the cost, or it can give the group a copy of the shareholder list and let it distribute its own material. </w:t>
      </w:r>
    </w:p>
    <w:p w14:paraId="16B3C9F5" w14:textId="77777777" w:rsidR="00584FAA" w:rsidRDefault="00584FAA" w:rsidP="007267BF">
      <w:pPr>
        <w:pStyle w:val="ListParagraph"/>
        <w:numPr>
          <w:ilvl w:val="4"/>
          <w:numId w:val="21"/>
        </w:numPr>
        <w:rPr>
          <w:rFonts w:cs="Times New Roman"/>
          <w:sz w:val="24"/>
          <w:szCs w:val="24"/>
        </w:rPr>
      </w:pPr>
      <w:r>
        <w:rPr>
          <w:rFonts w:cs="Times New Roman"/>
          <w:sz w:val="24"/>
          <w:szCs w:val="24"/>
        </w:rPr>
        <w:t xml:space="preserve">Federal proxy rules do not give insurgent a right to demand the shareholder list. </w:t>
      </w:r>
    </w:p>
    <w:p w14:paraId="1B7371B0" w14:textId="77777777" w:rsidR="00584FAA" w:rsidRDefault="00584FAA" w:rsidP="007267BF">
      <w:pPr>
        <w:pStyle w:val="ListParagraph"/>
        <w:numPr>
          <w:ilvl w:val="4"/>
          <w:numId w:val="21"/>
        </w:numPr>
        <w:rPr>
          <w:rFonts w:cs="Times New Roman"/>
          <w:sz w:val="24"/>
          <w:szCs w:val="24"/>
        </w:rPr>
      </w:pPr>
      <w:r>
        <w:rPr>
          <w:rFonts w:cs="Times New Roman"/>
          <w:sz w:val="24"/>
          <w:szCs w:val="24"/>
        </w:rPr>
        <w:t>Insurgents want to see the list to know which shareholders own substantial amounts of stock to target them.</w:t>
      </w:r>
    </w:p>
    <w:p w14:paraId="4BEFF5AC" w14:textId="36DD2DE7" w:rsidR="00584FAA" w:rsidRPr="00584FAA" w:rsidRDefault="00584FAA" w:rsidP="007267BF">
      <w:pPr>
        <w:pStyle w:val="ListParagraph"/>
        <w:numPr>
          <w:ilvl w:val="4"/>
          <w:numId w:val="21"/>
        </w:numPr>
        <w:rPr>
          <w:rFonts w:cs="Times New Roman"/>
          <w:sz w:val="24"/>
          <w:szCs w:val="24"/>
        </w:rPr>
      </w:pPr>
      <w:r>
        <w:rPr>
          <w:rFonts w:cs="Times New Roman"/>
          <w:sz w:val="24"/>
          <w:szCs w:val="24"/>
        </w:rPr>
        <w:lastRenderedPageBreak/>
        <w:t xml:space="preserve">Generally, the state law will give you a right to the list. </w:t>
      </w:r>
      <w:r w:rsidRPr="00584FAA">
        <w:rPr>
          <w:rFonts w:cs="Times New Roman"/>
          <w:sz w:val="24"/>
          <w:szCs w:val="24"/>
        </w:rPr>
        <w:t>If the insurgent has a right the shareholders list under state law, Rule 14a-7 does not circumscribe that right.</w:t>
      </w:r>
    </w:p>
    <w:p w14:paraId="3505D327" w14:textId="77777777" w:rsidR="00581F35" w:rsidRPr="007C5634" w:rsidRDefault="00581F35" w:rsidP="007267BF">
      <w:pPr>
        <w:pStyle w:val="ListParagraph"/>
        <w:numPr>
          <w:ilvl w:val="3"/>
          <w:numId w:val="21"/>
        </w:numPr>
        <w:rPr>
          <w:rFonts w:cs="Times New Roman"/>
          <w:b/>
          <w:i/>
          <w:sz w:val="24"/>
          <w:szCs w:val="24"/>
        </w:rPr>
      </w:pPr>
      <w:r w:rsidRPr="007C5634">
        <w:rPr>
          <w:rFonts w:cs="Times New Roman"/>
          <w:b/>
          <w:i/>
          <w:sz w:val="24"/>
          <w:szCs w:val="24"/>
        </w:rPr>
        <w:t>Crane Co. v. Anaconda Co. (NY 1976)</w:t>
      </w:r>
    </w:p>
    <w:p w14:paraId="0EE31E57" w14:textId="74198CAE" w:rsidR="00581F35" w:rsidRDefault="00364B22" w:rsidP="007267BF">
      <w:pPr>
        <w:pStyle w:val="ListParagraph"/>
        <w:numPr>
          <w:ilvl w:val="4"/>
          <w:numId w:val="21"/>
        </w:numPr>
        <w:rPr>
          <w:rFonts w:cs="Times New Roman"/>
          <w:sz w:val="24"/>
          <w:szCs w:val="24"/>
        </w:rPr>
      </w:pPr>
      <w:r>
        <w:rPr>
          <w:rFonts w:cs="Times New Roman"/>
          <w:sz w:val="24"/>
          <w:szCs w:val="24"/>
        </w:rPr>
        <w:t xml:space="preserve">Synopsis: Evans (head of Crane Co.) looked to buy a minority stake. Anaconda management interpreted his interest as a hostile acquisition and moved to block him. Evans proposed a tender offer in exchange for Crane bonds. To implement this tender offer, Evans wanted to contact the shareholders. He asked for the shareholder list, Anaconda refused, Evans sued in NY. Although Anaconda was a Montana corporation, it did business in NY, and </w:t>
      </w:r>
      <w:r w:rsidRPr="007276A3">
        <w:rPr>
          <w:rFonts w:cs="Times New Roman"/>
          <w:sz w:val="24"/>
          <w:szCs w:val="24"/>
          <w:u w:val="single"/>
        </w:rPr>
        <w:t>NY law let its residents demand a shareholders’ list from an out-of-state firm if they met one of two conditions: (1) They had owned the company’s stock for at least 6 months or (2) they owned at least 5% of stock.</w:t>
      </w:r>
      <w:r>
        <w:rPr>
          <w:rFonts w:cs="Times New Roman"/>
          <w:sz w:val="24"/>
          <w:szCs w:val="24"/>
        </w:rPr>
        <w:t xml:space="preserve"> </w:t>
      </w:r>
      <w:r w:rsidR="002400AE">
        <w:rPr>
          <w:rFonts w:cs="Times New Roman"/>
          <w:sz w:val="24"/>
          <w:szCs w:val="24"/>
        </w:rPr>
        <w:t>Crane owned 11% of Anaconda so it met the second condition. Anaconda argued that Crane did not want the list for the business of mining (Anaconda’s business), but wanted it to plan to buy stock. Court held in favor of Crane stating that the “statute should be liberally construed in favor of the stockholder.”</w:t>
      </w:r>
    </w:p>
    <w:p w14:paraId="394178A8" w14:textId="77777777" w:rsidR="002400AE" w:rsidRDefault="002400AE" w:rsidP="007267BF">
      <w:pPr>
        <w:pStyle w:val="ListParagraph"/>
        <w:numPr>
          <w:ilvl w:val="4"/>
          <w:numId w:val="21"/>
        </w:numPr>
        <w:rPr>
          <w:rFonts w:cs="Times New Roman"/>
          <w:sz w:val="24"/>
          <w:szCs w:val="24"/>
        </w:rPr>
      </w:pPr>
      <w:r>
        <w:rPr>
          <w:rFonts w:cs="Times New Roman"/>
          <w:sz w:val="24"/>
          <w:szCs w:val="24"/>
        </w:rPr>
        <w:t xml:space="preserve">Tool: </w:t>
      </w:r>
    </w:p>
    <w:p w14:paraId="648A7D57" w14:textId="77777777" w:rsidR="007276A3" w:rsidRPr="00C71466" w:rsidRDefault="007276A3" w:rsidP="007267BF">
      <w:pPr>
        <w:pStyle w:val="ListParagraph"/>
        <w:numPr>
          <w:ilvl w:val="5"/>
          <w:numId w:val="21"/>
        </w:numPr>
        <w:rPr>
          <w:rFonts w:cs="Times New Roman"/>
          <w:sz w:val="24"/>
          <w:szCs w:val="24"/>
        </w:rPr>
      </w:pPr>
      <w:r>
        <w:rPr>
          <w:rFonts w:cs="Times New Roman"/>
          <w:sz w:val="24"/>
          <w:szCs w:val="24"/>
        </w:rPr>
        <w:t>“</w:t>
      </w:r>
      <w:r w:rsidRPr="007276A3">
        <w:rPr>
          <w:rFonts w:cs="Times New Roman"/>
          <w:sz w:val="24"/>
          <w:szCs w:val="24"/>
        </w:rPr>
        <w:t>Any resident of this state who shall have been a shareholder of record, for at least six months immediately preceding his demand, of a foreign corporation doing business in this state, or any resident of this state holding, or thereunto authorized in writing by the holders of, at least five percent of any class of the outstanding shares, upon at least five days' written demand may require such foreign corporation to produce a record of its shareholders setting forth the names and ad</w:t>
      </w:r>
      <w:r>
        <w:rPr>
          <w:rFonts w:cs="Times New Roman"/>
          <w:sz w:val="24"/>
          <w:szCs w:val="24"/>
        </w:rPr>
        <w:t>dresses of all shareholders,</w:t>
      </w:r>
      <w:r w:rsidRPr="007276A3">
        <w:rPr>
          <w:rFonts w:cs="Times New Roman"/>
          <w:sz w:val="24"/>
          <w:szCs w:val="24"/>
        </w:rPr>
        <w:t xml:space="preserve"> the number and class of shares held by each and the dates when they respect</w:t>
      </w:r>
      <w:r>
        <w:rPr>
          <w:rFonts w:cs="Times New Roman"/>
          <w:sz w:val="24"/>
          <w:szCs w:val="24"/>
        </w:rPr>
        <w:t>ively became the owners of</w:t>
      </w:r>
      <w:r w:rsidRPr="007276A3">
        <w:rPr>
          <w:rFonts w:cs="Times New Roman"/>
          <w:sz w:val="24"/>
          <w:szCs w:val="24"/>
        </w:rPr>
        <w:t xml:space="preserve"> record</w:t>
      </w:r>
      <w:r>
        <w:rPr>
          <w:rFonts w:cs="Times New Roman"/>
          <w:sz w:val="24"/>
          <w:szCs w:val="24"/>
        </w:rPr>
        <w:t>…”</w:t>
      </w:r>
    </w:p>
    <w:p w14:paraId="1BBA7BE9" w14:textId="19184E69" w:rsidR="002400AE" w:rsidRDefault="002400AE" w:rsidP="007267BF">
      <w:pPr>
        <w:pStyle w:val="ListParagraph"/>
        <w:numPr>
          <w:ilvl w:val="5"/>
          <w:numId w:val="21"/>
        </w:numPr>
        <w:rPr>
          <w:rFonts w:cs="Times New Roman"/>
          <w:sz w:val="24"/>
          <w:szCs w:val="24"/>
        </w:rPr>
      </w:pPr>
      <w:r>
        <w:rPr>
          <w:rFonts w:cs="Times New Roman"/>
          <w:sz w:val="24"/>
          <w:szCs w:val="24"/>
        </w:rPr>
        <w:t>Business Corporation Law § 1315 – lets a firm deny the list if a stockholder wants it “for a purpose which is in the interest of a business or object other than the business of the foreign corporation.”</w:t>
      </w:r>
      <w:r w:rsidR="00E0142B">
        <w:rPr>
          <w:rFonts w:cs="Times New Roman"/>
          <w:sz w:val="24"/>
          <w:szCs w:val="24"/>
        </w:rPr>
        <w:t xml:space="preserve"> In this case, tender offer was deemed business interest.</w:t>
      </w:r>
    </w:p>
    <w:p w14:paraId="378D3D79" w14:textId="1D0AA027" w:rsidR="00585C8E" w:rsidRDefault="002400AE" w:rsidP="007267BF">
      <w:pPr>
        <w:pStyle w:val="ListParagraph"/>
        <w:numPr>
          <w:ilvl w:val="5"/>
          <w:numId w:val="21"/>
        </w:numPr>
        <w:rPr>
          <w:rFonts w:cs="Times New Roman"/>
          <w:sz w:val="24"/>
          <w:szCs w:val="24"/>
        </w:rPr>
      </w:pPr>
      <w:r>
        <w:rPr>
          <w:rFonts w:cs="Times New Roman"/>
          <w:sz w:val="24"/>
          <w:szCs w:val="24"/>
        </w:rPr>
        <w:t>The “statute should be liberally construed in favor of the stockholder.”</w:t>
      </w:r>
    </w:p>
    <w:p w14:paraId="291B8BC6" w14:textId="77777777" w:rsidR="00C71466" w:rsidRPr="007C5634" w:rsidRDefault="00C71466" w:rsidP="007267BF">
      <w:pPr>
        <w:pStyle w:val="ListParagraph"/>
        <w:numPr>
          <w:ilvl w:val="3"/>
          <w:numId w:val="21"/>
        </w:numPr>
        <w:rPr>
          <w:rFonts w:cs="Times New Roman"/>
          <w:b/>
          <w:i/>
          <w:sz w:val="24"/>
          <w:szCs w:val="24"/>
        </w:rPr>
      </w:pPr>
      <w:r w:rsidRPr="007C5634">
        <w:rPr>
          <w:rFonts w:cs="Times New Roman"/>
          <w:b/>
          <w:i/>
          <w:sz w:val="24"/>
          <w:szCs w:val="24"/>
        </w:rPr>
        <w:t>State ex rel. Pillsbury v. Honeywell, Inc. (Minn. 1971)</w:t>
      </w:r>
    </w:p>
    <w:p w14:paraId="1A604DD4" w14:textId="414D6164" w:rsidR="00C71466" w:rsidRDefault="00C71466" w:rsidP="007267BF">
      <w:pPr>
        <w:pStyle w:val="ListParagraph"/>
        <w:numPr>
          <w:ilvl w:val="4"/>
          <w:numId w:val="21"/>
        </w:numPr>
        <w:rPr>
          <w:rFonts w:cs="Times New Roman"/>
          <w:sz w:val="24"/>
          <w:szCs w:val="24"/>
        </w:rPr>
      </w:pPr>
      <w:r>
        <w:rPr>
          <w:rFonts w:cs="Times New Roman"/>
          <w:sz w:val="24"/>
          <w:szCs w:val="24"/>
        </w:rPr>
        <w:t>Synopsis:</w:t>
      </w:r>
      <w:r w:rsidR="00844A4C">
        <w:rPr>
          <w:rFonts w:cs="Times New Roman"/>
          <w:sz w:val="24"/>
          <w:szCs w:val="24"/>
        </w:rPr>
        <w:t xml:space="preserve"> </w:t>
      </w:r>
      <w:r w:rsidR="00844A4C" w:rsidRPr="00844A4C">
        <w:rPr>
          <w:rFonts w:cs="Times New Roman"/>
          <w:sz w:val="24"/>
          <w:szCs w:val="24"/>
        </w:rPr>
        <w:t>Pillsbury was part of an anti-war group that decided to target Honeywell, Inc., for their manufacturing of anti-personnel fragmentation bombs that would be used in the Vietnam War. Pillsbury purchased 100 shares of Honeywell stock. He then demanded the firm’s shareholder list and “all corporate records dealing with weapons and munitions manufacture.” Honeywell refused. Honeywell was incorporated in Delaware (HQ in Minn.) and Delaware law allowed it to refuse the shareholder’s list if it could show that Pillsbury wanted it “for an improper purpose.” It could not refuse the business records unless Pillsbury could himself prove that he wanted them “for a proper purpose.” The Minn. Supreme Court denied Pillsbury’s claim, because Pillsbury had “utterly no interest in the affairs of Honeywell before he learned of Honeywell’s production of fragmentation bombs.” Pillsbury only cared about opposition to Honeywell’s policy as opposed to the firm’s profits or shareholder list. Thus, he lacked proper purpose.</w:t>
      </w:r>
    </w:p>
    <w:p w14:paraId="509E10C5" w14:textId="11D42DC6" w:rsidR="00844A4C" w:rsidRDefault="00844A4C" w:rsidP="007267BF">
      <w:pPr>
        <w:pStyle w:val="ListParagraph"/>
        <w:numPr>
          <w:ilvl w:val="4"/>
          <w:numId w:val="21"/>
        </w:numPr>
        <w:rPr>
          <w:rFonts w:cs="Times New Roman"/>
          <w:sz w:val="24"/>
          <w:szCs w:val="24"/>
        </w:rPr>
      </w:pPr>
      <w:r>
        <w:rPr>
          <w:rFonts w:cs="Times New Roman"/>
          <w:sz w:val="24"/>
          <w:szCs w:val="24"/>
        </w:rPr>
        <w:t xml:space="preserve">Tool: </w:t>
      </w:r>
      <w:r w:rsidR="00E50EDE">
        <w:rPr>
          <w:rFonts w:cs="Times New Roman"/>
          <w:sz w:val="24"/>
          <w:szCs w:val="24"/>
        </w:rPr>
        <w:t xml:space="preserve">From Delaware statute – </w:t>
      </w:r>
      <w:r>
        <w:rPr>
          <w:rFonts w:cs="Times New Roman"/>
          <w:sz w:val="24"/>
          <w:szCs w:val="24"/>
        </w:rPr>
        <w:t xml:space="preserve">Company can deny shareholders’ list if it can prove it is wanted for an “improper purpose.” </w:t>
      </w:r>
    </w:p>
    <w:p w14:paraId="5D6CD580" w14:textId="77777777" w:rsidR="004C2265" w:rsidRDefault="004C2265" w:rsidP="007267BF">
      <w:pPr>
        <w:pStyle w:val="ListParagraph"/>
        <w:numPr>
          <w:ilvl w:val="2"/>
          <w:numId w:val="21"/>
        </w:numPr>
        <w:rPr>
          <w:rFonts w:cs="Times New Roman"/>
          <w:sz w:val="24"/>
          <w:szCs w:val="24"/>
        </w:rPr>
      </w:pPr>
      <w:r>
        <w:rPr>
          <w:rFonts w:cs="Times New Roman"/>
          <w:sz w:val="24"/>
          <w:szCs w:val="24"/>
        </w:rPr>
        <w:t>Proxy Materials</w:t>
      </w:r>
    </w:p>
    <w:p w14:paraId="48CB22DC" w14:textId="33476A64" w:rsidR="004C2265" w:rsidRDefault="004C2265" w:rsidP="007267BF">
      <w:pPr>
        <w:pStyle w:val="ListParagraph"/>
        <w:numPr>
          <w:ilvl w:val="3"/>
          <w:numId w:val="21"/>
        </w:numPr>
        <w:rPr>
          <w:rFonts w:cs="Times New Roman"/>
          <w:sz w:val="24"/>
          <w:szCs w:val="24"/>
        </w:rPr>
      </w:pPr>
      <w:r>
        <w:rPr>
          <w:rFonts w:cs="Times New Roman"/>
          <w:sz w:val="24"/>
          <w:szCs w:val="24"/>
        </w:rPr>
        <w:t>Rule 14a-8</w:t>
      </w:r>
    </w:p>
    <w:p w14:paraId="4484D282" w14:textId="77777777" w:rsidR="004C2265" w:rsidRDefault="004C2265" w:rsidP="007267BF">
      <w:pPr>
        <w:pStyle w:val="ListParagraph"/>
        <w:numPr>
          <w:ilvl w:val="4"/>
          <w:numId w:val="21"/>
        </w:numPr>
        <w:rPr>
          <w:rFonts w:cs="Times New Roman"/>
          <w:sz w:val="24"/>
          <w:szCs w:val="24"/>
        </w:rPr>
      </w:pPr>
      <w:r>
        <w:rPr>
          <w:rFonts w:cs="Times New Roman"/>
          <w:sz w:val="24"/>
          <w:szCs w:val="24"/>
        </w:rPr>
        <w:t xml:space="preserve">Rule 14a-8 </w:t>
      </w:r>
      <w:r w:rsidRPr="00874DA9">
        <w:rPr>
          <w:rFonts w:cs="Times New Roman"/>
          <w:sz w:val="24"/>
          <w:szCs w:val="24"/>
        </w:rPr>
        <w:t xml:space="preserve">provides an opportunity for a shareholder to have his or her proposal placed alongside management's proposals in that company's proxy materials for presentation to a vote. </w:t>
      </w:r>
    </w:p>
    <w:p w14:paraId="1573FE22" w14:textId="1A380AE5" w:rsidR="004C2265" w:rsidRPr="00525875" w:rsidRDefault="004C2265" w:rsidP="007267BF">
      <w:pPr>
        <w:pStyle w:val="ListParagraph"/>
        <w:numPr>
          <w:ilvl w:val="4"/>
          <w:numId w:val="21"/>
        </w:numPr>
        <w:rPr>
          <w:rFonts w:cs="Times New Roman"/>
          <w:sz w:val="24"/>
          <w:szCs w:val="24"/>
        </w:rPr>
      </w:pPr>
      <w:r w:rsidRPr="00874DA9">
        <w:rPr>
          <w:rFonts w:cs="Times New Roman"/>
          <w:sz w:val="24"/>
          <w:szCs w:val="24"/>
        </w:rPr>
        <w:t xml:space="preserve">The rule generally requires the company to include the proposal unless the shareholder has not complied with the rule's procedural requirements or the proposal falls within one of the </w:t>
      </w:r>
      <w:r w:rsidRPr="00874DA9">
        <w:rPr>
          <w:rFonts w:cs="Times New Roman"/>
          <w:sz w:val="24"/>
          <w:szCs w:val="24"/>
        </w:rPr>
        <w:lastRenderedPageBreak/>
        <w:t>13 substantive ba</w:t>
      </w:r>
      <w:r>
        <w:rPr>
          <w:rFonts w:cs="Times New Roman"/>
          <w:sz w:val="24"/>
          <w:szCs w:val="24"/>
        </w:rPr>
        <w:t>ses for exclusion:</w:t>
      </w:r>
      <w:r w:rsidRPr="00874DA9">
        <w:rPr>
          <w:rFonts w:cs="Times New Roman"/>
          <w:sz w:val="24"/>
          <w:szCs w:val="24"/>
        </w:rPr>
        <w:t xml:space="preserve"> (1) not a proper subject for action by shareholder; (2) </w:t>
      </w:r>
      <w:r>
        <w:rPr>
          <w:rFonts w:cs="Times New Roman"/>
          <w:sz w:val="24"/>
          <w:szCs w:val="24"/>
        </w:rPr>
        <w:t xml:space="preserve">proposal would violate the law; (3) contrary to proxy rules including #9; (4) concerns a personal grievance; (5) relates to operations that account for less than 5% of assets and less than 5% of revenue </w:t>
      </w:r>
      <w:r w:rsidRPr="004C2265">
        <w:rPr>
          <w:rFonts w:cs="Times New Roman"/>
          <w:sz w:val="24"/>
          <w:szCs w:val="24"/>
        </w:rPr>
        <w:t xml:space="preserve">(Note that in </w:t>
      </w:r>
      <w:proofErr w:type="spellStart"/>
      <w:r w:rsidRPr="004C2265">
        <w:rPr>
          <w:rFonts w:cs="Times New Roman"/>
          <w:i/>
          <w:sz w:val="24"/>
          <w:szCs w:val="24"/>
        </w:rPr>
        <w:t>Lovenheim</w:t>
      </w:r>
      <w:proofErr w:type="spellEnd"/>
      <w:r w:rsidRPr="004C2265">
        <w:rPr>
          <w:rFonts w:cs="Times New Roman"/>
          <w:sz w:val="24"/>
          <w:szCs w:val="24"/>
        </w:rPr>
        <w:t>, court found that if a proposal raises ethical issues of significance, it can</w:t>
      </w:r>
      <w:r>
        <w:rPr>
          <w:rFonts w:cs="Times New Roman"/>
          <w:sz w:val="24"/>
          <w:szCs w:val="24"/>
        </w:rPr>
        <w:t xml:space="preserve">not be excluded under reason 5); (6) company would lack power to implement; (7) ordinary business </w:t>
      </w:r>
      <w:r w:rsidRPr="004C2265">
        <w:rPr>
          <w:rFonts w:cs="Times New Roman"/>
          <w:sz w:val="24"/>
          <w:szCs w:val="24"/>
        </w:rPr>
        <w:t xml:space="preserve">(note that SEC tends not to let firms exclude proposals that the company form a committee to study aspects of its ordinary business operations. See e.g. </w:t>
      </w:r>
      <w:proofErr w:type="spellStart"/>
      <w:r w:rsidRPr="004C2265">
        <w:rPr>
          <w:rFonts w:cs="Times New Roman"/>
          <w:i/>
          <w:sz w:val="24"/>
          <w:szCs w:val="24"/>
        </w:rPr>
        <w:t>Lovenheim</w:t>
      </w:r>
      <w:proofErr w:type="spellEnd"/>
      <w:r>
        <w:rPr>
          <w:rFonts w:cs="Times New Roman"/>
          <w:sz w:val="24"/>
          <w:szCs w:val="24"/>
        </w:rPr>
        <w:t xml:space="preserve">); (8) relates to election of membership of board; (9) directly conflicts with one of company’s own proposals to be submitted at same meeting; (10) company has already substantially implemented proposal; (11) substantially </w:t>
      </w:r>
      <w:r w:rsidR="00525875">
        <w:rPr>
          <w:rFonts w:cs="Times New Roman"/>
          <w:sz w:val="24"/>
          <w:szCs w:val="24"/>
        </w:rPr>
        <w:t>duplicates another proposal; (</w:t>
      </w:r>
      <w:r w:rsidR="00525875" w:rsidRPr="00525875">
        <w:rPr>
          <w:rFonts w:cs="Times New Roman"/>
          <w:sz w:val="24"/>
          <w:szCs w:val="24"/>
        </w:rPr>
        <w:t>12) If the proposal deals with substantially the same subject matter as another proposal…that has…been previously included in the company’s proxy materials within the preceding 5 calendar year, a company may exclude it from its proxy materials for any meeting held within 3 calendar years of the last time it was included if the proposal received:</w:t>
      </w:r>
      <w:r w:rsidR="00525875">
        <w:rPr>
          <w:rFonts w:cs="Times New Roman"/>
          <w:sz w:val="24"/>
          <w:szCs w:val="24"/>
        </w:rPr>
        <w:t xml:space="preserve"> </w:t>
      </w:r>
      <w:r w:rsidR="00525875" w:rsidRPr="00525875">
        <w:rPr>
          <w:rFonts w:cs="Times New Roman"/>
          <w:sz w:val="24"/>
          <w:szCs w:val="24"/>
        </w:rPr>
        <w:t>(</w:t>
      </w:r>
      <w:proofErr w:type="spellStart"/>
      <w:r w:rsidR="00525875" w:rsidRPr="00525875">
        <w:rPr>
          <w:rFonts w:cs="Times New Roman"/>
          <w:sz w:val="24"/>
          <w:szCs w:val="24"/>
        </w:rPr>
        <w:t>i</w:t>
      </w:r>
      <w:proofErr w:type="spellEnd"/>
      <w:r w:rsidR="00525875" w:rsidRPr="00525875">
        <w:rPr>
          <w:rFonts w:cs="Times New Roman"/>
          <w:sz w:val="24"/>
          <w:szCs w:val="24"/>
        </w:rPr>
        <w:t>) Less than 3% of the vote if proposed once within the preceding 5 calendar year;</w:t>
      </w:r>
      <w:r w:rsidR="00525875">
        <w:rPr>
          <w:rFonts w:cs="Times New Roman"/>
          <w:sz w:val="24"/>
          <w:szCs w:val="24"/>
        </w:rPr>
        <w:t xml:space="preserve"> </w:t>
      </w:r>
      <w:r w:rsidR="00525875" w:rsidRPr="00525875">
        <w:rPr>
          <w:rFonts w:cs="Times New Roman"/>
          <w:sz w:val="24"/>
          <w:szCs w:val="24"/>
        </w:rPr>
        <w:t>(ii) Less than 6% of the vote on its last submission to shareholders if proposed twice previously within the preceding 5 calendar years; or</w:t>
      </w:r>
      <w:r w:rsidR="00525875">
        <w:rPr>
          <w:rFonts w:cs="Times New Roman"/>
          <w:sz w:val="24"/>
          <w:szCs w:val="24"/>
        </w:rPr>
        <w:t xml:space="preserve"> </w:t>
      </w:r>
      <w:r w:rsidR="00525875" w:rsidRPr="00525875">
        <w:rPr>
          <w:rFonts w:cs="Times New Roman"/>
          <w:sz w:val="24"/>
          <w:szCs w:val="24"/>
        </w:rPr>
        <w:t>(iii) Less than 10% on its last submission to shareholders if proposed three times or more previously within</w:t>
      </w:r>
      <w:r w:rsidR="00525875">
        <w:rPr>
          <w:rFonts w:cs="Times New Roman"/>
          <w:sz w:val="24"/>
          <w:szCs w:val="24"/>
        </w:rPr>
        <w:t xml:space="preserve"> the preceding 5 calendar years;</w:t>
      </w:r>
      <w:r w:rsidR="00525875" w:rsidRPr="00525875">
        <w:rPr>
          <w:rFonts w:cs="Times New Roman"/>
          <w:sz w:val="24"/>
          <w:szCs w:val="24"/>
        </w:rPr>
        <w:t xml:space="preserve"> </w:t>
      </w:r>
      <w:r w:rsidRPr="00525875">
        <w:rPr>
          <w:rFonts w:cs="Times New Roman"/>
          <w:sz w:val="24"/>
          <w:szCs w:val="24"/>
        </w:rPr>
        <w:t>(13) relates to specific amount of cash or stock dividends.</w:t>
      </w:r>
    </w:p>
    <w:p w14:paraId="5C8A52B7" w14:textId="2F7886B6" w:rsidR="007672FB" w:rsidRPr="007C5634" w:rsidRDefault="007672FB" w:rsidP="007267BF">
      <w:pPr>
        <w:pStyle w:val="ListParagraph"/>
        <w:numPr>
          <w:ilvl w:val="3"/>
          <w:numId w:val="21"/>
        </w:numPr>
        <w:rPr>
          <w:rFonts w:cs="Times New Roman"/>
          <w:b/>
          <w:i/>
          <w:sz w:val="24"/>
          <w:szCs w:val="24"/>
        </w:rPr>
      </w:pPr>
      <w:proofErr w:type="spellStart"/>
      <w:r w:rsidRPr="007C5634">
        <w:rPr>
          <w:rFonts w:cs="Times New Roman"/>
          <w:b/>
          <w:i/>
          <w:sz w:val="24"/>
          <w:szCs w:val="24"/>
        </w:rPr>
        <w:t>Lovenheim</w:t>
      </w:r>
      <w:proofErr w:type="spellEnd"/>
      <w:r w:rsidRPr="007C5634">
        <w:rPr>
          <w:rFonts w:cs="Times New Roman"/>
          <w:b/>
          <w:i/>
          <w:sz w:val="24"/>
          <w:szCs w:val="24"/>
        </w:rPr>
        <w:t xml:space="preserve"> v. Iroquois Brands, Ltd. (DDC 1985)</w:t>
      </w:r>
    </w:p>
    <w:p w14:paraId="3DD4AF50" w14:textId="129F67BD" w:rsidR="007672FB" w:rsidRDefault="007672FB" w:rsidP="007267BF">
      <w:pPr>
        <w:pStyle w:val="ListParagraph"/>
        <w:numPr>
          <w:ilvl w:val="4"/>
          <w:numId w:val="21"/>
        </w:numPr>
        <w:rPr>
          <w:rFonts w:cs="Times New Roman"/>
          <w:sz w:val="24"/>
          <w:szCs w:val="24"/>
        </w:rPr>
      </w:pPr>
      <w:r>
        <w:rPr>
          <w:rFonts w:cs="Times New Roman"/>
          <w:sz w:val="24"/>
          <w:szCs w:val="24"/>
        </w:rPr>
        <w:t xml:space="preserve">Synopsis: </w:t>
      </w:r>
      <w:r w:rsidRPr="007672FB">
        <w:rPr>
          <w:rFonts w:cs="Times New Roman"/>
          <w:sz w:val="24"/>
          <w:szCs w:val="24"/>
        </w:rPr>
        <w:t xml:space="preserve">P wanted to insert a proposal in the proxy statement regarding a supplier of pate de </w:t>
      </w:r>
      <w:proofErr w:type="spellStart"/>
      <w:r w:rsidRPr="007672FB">
        <w:rPr>
          <w:rFonts w:cs="Times New Roman"/>
          <w:sz w:val="24"/>
          <w:szCs w:val="24"/>
        </w:rPr>
        <w:t>fois</w:t>
      </w:r>
      <w:proofErr w:type="spellEnd"/>
      <w:r w:rsidRPr="007672FB">
        <w:rPr>
          <w:rFonts w:cs="Times New Roman"/>
          <w:sz w:val="24"/>
          <w:szCs w:val="24"/>
        </w:rPr>
        <w:t xml:space="preserve"> </w:t>
      </w:r>
      <w:proofErr w:type="spellStart"/>
      <w:r w:rsidRPr="007672FB">
        <w:rPr>
          <w:rFonts w:cs="Times New Roman"/>
          <w:sz w:val="24"/>
          <w:szCs w:val="24"/>
        </w:rPr>
        <w:t>gras</w:t>
      </w:r>
      <w:proofErr w:type="spellEnd"/>
      <w:r w:rsidRPr="007672FB">
        <w:rPr>
          <w:rFonts w:cs="Times New Roman"/>
          <w:sz w:val="24"/>
          <w:szCs w:val="24"/>
        </w:rPr>
        <w:t xml:space="preserve"> that force-fed the geese in order to enlarge the livers. The pate represented less than .05 percent of Ds sales, and the product operated at a loss. Therefore, Ds wanted to omit the proposal. Ds believed that only a proposal related to economic purposes are required to be accepted per Rule 14a-8(c</w:t>
      </w:r>
      <w:proofErr w:type="gramStart"/>
      <w:r w:rsidRPr="007672FB">
        <w:rPr>
          <w:rFonts w:cs="Times New Roman"/>
          <w:sz w:val="24"/>
          <w:szCs w:val="24"/>
        </w:rPr>
        <w:t>)(</w:t>
      </w:r>
      <w:proofErr w:type="gramEnd"/>
      <w:r w:rsidRPr="007672FB">
        <w:rPr>
          <w:rFonts w:cs="Times New Roman"/>
          <w:sz w:val="24"/>
          <w:szCs w:val="24"/>
        </w:rPr>
        <w:t>5), and that the 5% threshold was not exceeded. P argued that material social issues that were relevant to the business would not fit under the Rule’s exception.</w:t>
      </w:r>
      <w:r>
        <w:rPr>
          <w:rFonts w:cs="Times New Roman"/>
          <w:sz w:val="24"/>
          <w:szCs w:val="24"/>
        </w:rPr>
        <w:t xml:space="preserve"> Court held that </w:t>
      </w:r>
      <w:r w:rsidRPr="007672FB">
        <w:rPr>
          <w:rFonts w:cs="Times New Roman"/>
          <w:sz w:val="24"/>
          <w:szCs w:val="24"/>
        </w:rPr>
        <w:t>the pate issue was significant to its pate business regardless that it did not comprise greater than 5% of sales.</w:t>
      </w:r>
    </w:p>
    <w:p w14:paraId="0EC94208" w14:textId="77777777" w:rsidR="007672FB" w:rsidRDefault="007672FB" w:rsidP="007267BF">
      <w:pPr>
        <w:pStyle w:val="ListParagraph"/>
        <w:numPr>
          <w:ilvl w:val="4"/>
          <w:numId w:val="21"/>
        </w:numPr>
        <w:rPr>
          <w:rFonts w:cs="Times New Roman"/>
          <w:sz w:val="24"/>
          <w:szCs w:val="24"/>
        </w:rPr>
      </w:pPr>
      <w:r>
        <w:rPr>
          <w:rFonts w:cs="Times New Roman"/>
          <w:sz w:val="24"/>
          <w:szCs w:val="24"/>
        </w:rPr>
        <w:t xml:space="preserve">Tool: </w:t>
      </w:r>
    </w:p>
    <w:p w14:paraId="7CC02389" w14:textId="59F6D704" w:rsidR="007672FB" w:rsidRPr="007672FB" w:rsidRDefault="007672FB" w:rsidP="007267BF">
      <w:pPr>
        <w:pStyle w:val="ListParagraph"/>
        <w:numPr>
          <w:ilvl w:val="5"/>
          <w:numId w:val="21"/>
        </w:numPr>
        <w:rPr>
          <w:rFonts w:cs="Times New Roman"/>
          <w:sz w:val="24"/>
          <w:szCs w:val="24"/>
        </w:rPr>
      </w:pPr>
      <w:r w:rsidRPr="007672FB">
        <w:rPr>
          <w:rFonts w:cs="Times New Roman"/>
          <w:sz w:val="24"/>
          <w:szCs w:val="24"/>
        </w:rPr>
        <w:t>Rule 14a-8 of 1934 Exchange Act: “If any security holder of an issuer notifies the issuer of his intention to present a proposal for action at a forthcoming meeting of the issuer's security holders, the issuer shall set forth the proposal in its proxy statement and identify it in its form of proxy and provide means by which security holders [presenting a proposal may present in the proxy statement a statement of not more than 200 words in support of the proposal].”</w:t>
      </w:r>
    </w:p>
    <w:p w14:paraId="7220365A" w14:textId="77777777" w:rsidR="007672FB" w:rsidRPr="007672FB" w:rsidRDefault="007672FB" w:rsidP="007267BF">
      <w:pPr>
        <w:pStyle w:val="ListParagraph"/>
        <w:numPr>
          <w:ilvl w:val="5"/>
          <w:numId w:val="21"/>
        </w:numPr>
        <w:rPr>
          <w:rFonts w:cs="Times New Roman"/>
          <w:sz w:val="24"/>
          <w:szCs w:val="24"/>
        </w:rPr>
      </w:pPr>
      <w:r w:rsidRPr="007672FB">
        <w:rPr>
          <w:rFonts w:cs="Times New Roman"/>
          <w:sz w:val="24"/>
          <w:szCs w:val="24"/>
        </w:rPr>
        <w:t>Exception – Rule 14a-8(</w:t>
      </w:r>
      <w:proofErr w:type="spellStart"/>
      <w:r w:rsidRPr="007672FB">
        <w:rPr>
          <w:rFonts w:cs="Times New Roman"/>
          <w:sz w:val="24"/>
          <w:szCs w:val="24"/>
        </w:rPr>
        <w:t>i</w:t>
      </w:r>
      <w:proofErr w:type="spellEnd"/>
      <w:r w:rsidRPr="007672FB">
        <w:rPr>
          <w:rFonts w:cs="Times New Roman"/>
          <w:sz w:val="24"/>
          <w:szCs w:val="24"/>
        </w:rPr>
        <w:t xml:space="preserve">)(5): “an issuer of securities may omit a proposal and any statement in support thereof from its proxy statement and form of proxy: if the proposal relates to operations which account for less than 5 percent of the issuer's total assets at the end of its most recent fiscal year, and for less than 5 percent of its net earnings and gross sales for its most recent fiscal year, and is not otherwise </w:t>
      </w:r>
      <w:r w:rsidRPr="007672FB">
        <w:rPr>
          <w:rFonts w:cs="Times New Roman"/>
          <w:sz w:val="24"/>
          <w:szCs w:val="24"/>
          <w:u w:val="single"/>
        </w:rPr>
        <w:t>significantly</w:t>
      </w:r>
      <w:r w:rsidRPr="007672FB">
        <w:rPr>
          <w:rFonts w:cs="Times New Roman"/>
          <w:sz w:val="24"/>
          <w:szCs w:val="24"/>
        </w:rPr>
        <w:t xml:space="preserve"> related to the issuer's business.”</w:t>
      </w:r>
    </w:p>
    <w:p w14:paraId="6BE94B7F" w14:textId="1D06BE83" w:rsidR="007672FB" w:rsidRPr="007672FB" w:rsidRDefault="007672FB" w:rsidP="007267BF">
      <w:pPr>
        <w:pStyle w:val="ListParagraph"/>
        <w:numPr>
          <w:ilvl w:val="5"/>
          <w:numId w:val="21"/>
        </w:numPr>
        <w:rPr>
          <w:rFonts w:cs="Times New Roman"/>
          <w:sz w:val="24"/>
          <w:szCs w:val="24"/>
        </w:rPr>
      </w:pPr>
      <w:r w:rsidRPr="007672FB">
        <w:rPr>
          <w:rFonts w:cs="Times New Roman"/>
          <w:sz w:val="24"/>
          <w:szCs w:val="24"/>
        </w:rPr>
        <w:t xml:space="preserve">The meaning of “significantly related” is not limited to economic significance. </w:t>
      </w:r>
    </w:p>
    <w:p w14:paraId="478FA160" w14:textId="6F30FF30" w:rsidR="00585C8E" w:rsidRDefault="00585C8E" w:rsidP="007267BF">
      <w:pPr>
        <w:pStyle w:val="Heading2"/>
        <w:numPr>
          <w:ilvl w:val="0"/>
          <w:numId w:val="21"/>
        </w:numPr>
      </w:pPr>
      <w:r>
        <w:t>Allocating Control in the Close Corporation</w:t>
      </w:r>
    </w:p>
    <w:p w14:paraId="4B068A24" w14:textId="6E4C7340" w:rsidR="00585C8E" w:rsidRDefault="007C5634" w:rsidP="007267BF">
      <w:pPr>
        <w:pStyle w:val="Heading3"/>
        <w:numPr>
          <w:ilvl w:val="1"/>
          <w:numId w:val="21"/>
        </w:numPr>
      </w:pPr>
      <w:r>
        <w:t>Problem</w:t>
      </w:r>
    </w:p>
    <w:p w14:paraId="54EE5873" w14:textId="65537766" w:rsidR="00585C8E" w:rsidRDefault="007C5634" w:rsidP="007267BF">
      <w:pPr>
        <w:pStyle w:val="ListParagraph"/>
        <w:numPr>
          <w:ilvl w:val="2"/>
          <w:numId w:val="21"/>
        </w:numPr>
        <w:rPr>
          <w:rFonts w:cs="Times New Roman"/>
          <w:sz w:val="24"/>
          <w:szCs w:val="24"/>
        </w:rPr>
      </w:pPr>
      <w:r>
        <w:rPr>
          <w:rFonts w:cs="Times New Roman"/>
          <w:sz w:val="24"/>
          <w:szCs w:val="24"/>
        </w:rPr>
        <w:t>S</w:t>
      </w:r>
      <w:r w:rsidR="00070EEF">
        <w:rPr>
          <w:rFonts w:cs="Times New Roman"/>
          <w:sz w:val="24"/>
          <w:szCs w:val="24"/>
        </w:rPr>
        <w:t>hareholders are</w:t>
      </w:r>
      <w:r w:rsidR="004D2E8C">
        <w:rPr>
          <w:rFonts w:cs="Times New Roman"/>
          <w:sz w:val="24"/>
          <w:szCs w:val="24"/>
        </w:rPr>
        <w:t xml:space="preserve"> trying to recruit a manager and in order to do so want to give him control over the firm during his tenure as CEO. </w:t>
      </w:r>
    </w:p>
    <w:p w14:paraId="4C11B09D" w14:textId="68B43B4A" w:rsidR="007C5634" w:rsidRDefault="007C5634" w:rsidP="007267BF">
      <w:pPr>
        <w:pStyle w:val="Heading3"/>
        <w:numPr>
          <w:ilvl w:val="1"/>
          <w:numId w:val="21"/>
        </w:numPr>
      </w:pPr>
      <w:r>
        <w:t>Potential Solutions</w:t>
      </w:r>
    </w:p>
    <w:p w14:paraId="3BCC66BE" w14:textId="13ECC3F3" w:rsidR="00585C8E" w:rsidRDefault="00585C8E" w:rsidP="007267BF">
      <w:pPr>
        <w:pStyle w:val="ListParagraph"/>
        <w:numPr>
          <w:ilvl w:val="2"/>
          <w:numId w:val="21"/>
        </w:numPr>
        <w:rPr>
          <w:rFonts w:cs="Times New Roman"/>
          <w:sz w:val="24"/>
          <w:szCs w:val="24"/>
        </w:rPr>
      </w:pPr>
      <w:r>
        <w:rPr>
          <w:rFonts w:cs="Times New Roman"/>
          <w:sz w:val="24"/>
          <w:szCs w:val="24"/>
        </w:rPr>
        <w:t>Stock</w:t>
      </w:r>
      <w:r w:rsidR="004D2E8C">
        <w:rPr>
          <w:rFonts w:cs="Times New Roman"/>
          <w:sz w:val="24"/>
          <w:szCs w:val="24"/>
        </w:rPr>
        <w:t xml:space="preserve"> – can sell majority stake in the firm, but this is likely t</w:t>
      </w:r>
      <w:r w:rsidR="00347323">
        <w:rPr>
          <w:rFonts w:cs="Times New Roman"/>
          <w:sz w:val="24"/>
          <w:szCs w:val="24"/>
        </w:rPr>
        <w:t>o</w:t>
      </w:r>
      <w:r w:rsidR="004D2E8C">
        <w:rPr>
          <w:rFonts w:cs="Times New Roman"/>
          <w:sz w:val="24"/>
          <w:szCs w:val="24"/>
        </w:rPr>
        <w:t xml:space="preserve">o expensive. Even then, may want to limit ability to sell stock so that someone else doesn’t step in. </w:t>
      </w:r>
    </w:p>
    <w:p w14:paraId="015FA88A" w14:textId="77777777" w:rsidR="004D2E8C" w:rsidRDefault="00585C8E" w:rsidP="007267BF">
      <w:pPr>
        <w:pStyle w:val="ListParagraph"/>
        <w:numPr>
          <w:ilvl w:val="2"/>
          <w:numId w:val="21"/>
        </w:numPr>
        <w:rPr>
          <w:rFonts w:cs="Times New Roman"/>
          <w:sz w:val="24"/>
          <w:szCs w:val="24"/>
        </w:rPr>
      </w:pPr>
      <w:r>
        <w:rPr>
          <w:rFonts w:cs="Times New Roman"/>
          <w:sz w:val="24"/>
          <w:szCs w:val="24"/>
        </w:rPr>
        <w:lastRenderedPageBreak/>
        <w:t>Vote Classes</w:t>
      </w:r>
    </w:p>
    <w:p w14:paraId="56AE1B42" w14:textId="216E70C6" w:rsidR="004D2E8C" w:rsidRPr="00347323" w:rsidRDefault="004D2E8C" w:rsidP="007267BF">
      <w:pPr>
        <w:pStyle w:val="ListParagraph"/>
        <w:numPr>
          <w:ilvl w:val="3"/>
          <w:numId w:val="21"/>
        </w:numPr>
        <w:rPr>
          <w:rFonts w:cs="Times New Roman"/>
          <w:sz w:val="24"/>
          <w:szCs w:val="24"/>
        </w:rPr>
      </w:pPr>
      <w:r>
        <w:rPr>
          <w:rFonts w:cs="Times New Roman"/>
          <w:sz w:val="24"/>
          <w:szCs w:val="24"/>
        </w:rPr>
        <w:t xml:space="preserve">Voting stock – Sell stock that votes </w:t>
      </w:r>
      <w:r w:rsidR="00347323">
        <w:rPr>
          <w:rFonts w:cs="Times New Roman"/>
          <w:sz w:val="24"/>
          <w:szCs w:val="24"/>
        </w:rPr>
        <w:t xml:space="preserve">(to give controlling vote at shareholder’s meeting) </w:t>
      </w:r>
      <w:r>
        <w:rPr>
          <w:rFonts w:cs="Times New Roman"/>
          <w:sz w:val="24"/>
          <w:szCs w:val="24"/>
        </w:rPr>
        <w:t xml:space="preserve">but does not entitle recruit to dividends or a liquidation distribution. </w:t>
      </w:r>
      <w:r w:rsidRPr="00347323">
        <w:rPr>
          <w:rFonts w:cs="Times New Roman"/>
          <w:sz w:val="24"/>
          <w:szCs w:val="24"/>
        </w:rPr>
        <w:t xml:space="preserve">Approved in </w:t>
      </w:r>
      <w:r w:rsidRPr="007C5634">
        <w:rPr>
          <w:rFonts w:cs="Times New Roman"/>
          <w:b/>
          <w:i/>
          <w:sz w:val="24"/>
          <w:szCs w:val="24"/>
        </w:rPr>
        <w:t>Stroh v. Blackhawk Holding Corp. (Ill. 1971)</w:t>
      </w:r>
    </w:p>
    <w:p w14:paraId="4466FD24" w14:textId="640C1BD4" w:rsidR="004D2E8C" w:rsidRDefault="004D2E8C" w:rsidP="007267BF">
      <w:pPr>
        <w:pStyle w:val="ListParagraph"/>
        <w:numPr>
          <w:ilvl w:val="4"/>
          <w:numId w:val="21"/>
        </w:numPr>
        <w:rPr>
          <w:rFonts w:cs="Times New Roman"/>
          <w:sz w:val="24"/>
          <w:szCs w:val="24"/>
        </w:rPr>
      </w:pPr>
      <w:r>
        <w:rPr>
          <w:rFonts w:cs="Times New Roman"/>
          <w:sz w:val="24"/>
          <w:szCs w:val="24"/>
        </w:rPr>
        <w:t xml:space="preserve">Synopsis: </w:t>
      </w:r>
      <w:r w:rsidRPr="004D2E8C">
        <w:rPr>
          <w:rFonts w:cs="Times New Roman"/>
          <w:sz w:val="24"/>
          <w:szCs w:val="24"/>
        </w:rPr>
        <w:t>Blackhawk Holding Corp. (D) designated two classes of stock, Class A and Class B. Each share of the Class B stock was entitled to a vote in corporate matters, but the articles of incorporation provided that Class B stock was not entitled to dividends of any kind. Stroh, et al. (P) brought suit as owners of Class B stock, claiming that the provision effectively invalidated their stock. Illinois law defined “shares” as “the units into which the proprietary interests in a corporation are divided” and the plaintiffs claimed that the word “proprietary” connoted some kind of economic interest.</w:t>
      </w:r>
      <w:r>
        <w:rPr>
          <w:rFonts w:cs="Times New Roman"/>
          <w:sz w:val="24"/>
          <w:szCs w:val="24"/>
        </w:rPr>
        <w:t xml:space="preserve"> Court held for D finding that provisions did not invalidate stock.</w:t>
      </w:r>
    </w:p>
    <w:p w14:paraId="0A6EC496" w14:textId="77777777" w:rsidR="004D2E8C" w:rsidRPr="004D2E8C" w:rsidRDefault="004D2E8C" w:rsidP="007267BF">
      <w:pPr>
        <w:pStyle w:val="ListParagraph"/>
        <w:numPr>
          <w:ilvl w:val="4"/>
          <w:numId w:val="21"/>
        </w:numPr>
        <w:rPr>
          <w:rFonts w:cs="Times New Roman"/>
          <w:sz w:val="24"/>
          <w:szCs w:val="24"/>
        </w:rPr>
      </w:pPr>
      <w:r w:rsidRPr="004D2E8C">
        <w:rPr>
          <w:rFonts w:cs="Times New Roman"/>
          <w:sz w:val="24"/>
          <w:szCs w:val="24"/>
        </w:rPr>
        <w:t>Tool:</w:t>
      </w:r>
    </w:p>
    <w:p w14:paraId="56785AA0" w14:textId="77777777" w:rsidR="004D2E8C" w:rsidRPr="004D2E8C" w:rsidRDefault="004D2E8C" w:rsidP="007267BF">
      <w:pPr>
        <w:pStyle w:val="ListParagraph"/>
        <w:numPr>
          <w:ilvl w:val="5"/>
          <w:numId w:val="21"/>
        </w:numPr>
        <w:rPr>
          <w:rFonts w:cs="Times New Roman"/>
          <w:sz w:val="24"/>
          <w:szCs w:val="24"/>
        </w:rPr>
      </w:pPr>
      <w:r w:rsidRPr="004D2E8C">
        <w:rPr>
          <w:rFonts w:cs="Times New Roman"/>
          <w:sz w:val="24"/>
          <w:szCs w:val="24"/>
        </w:rPr>
        <w:t>State constitution requires only that a shareholder not be deprived of his voice in management. It does not require that a shareholder, in addition to the management aspect of ownership, must also have an economic interest.</w:t>
      </w:r>
    </w:p>
    <w:p w14:paraId="62398570" w14:textId="77777777" w:rsidR="004D2E8C" w:rsidRPr="004D2E8C" w:rsidRDefault="004D2E8C" w:rsidP="007267BF">
      <w:pPr>
        <w:pStyle w:val="ListParagraph"/>
        <w:numPr>
          <w:ilvl w:val="5"/>
          <w:numId w:val="21"/>
        </w:numPr>
        <w:rPr>
          <w:rFonts w:cs="Times New Roman"/>
          <w:sz w:val="24"/>
          <w:szCs w:val="24"/>
        </w:rPr>
      </w:pPr>
      <w:r w:rsidRPr="004D2E8C">
        <w:rPr>
          <w:rFonts w:cs="Times New Roman"/>
          <w:sz w:val="24"/>
          <w:szCs w:val="24"/>
        </w:rPr>
        <w:t xml:space="preserve">The rights to earnings and the rights to assets – the economic rights – may be removed and eliminated from the other attributed of a share of stock. Only the management incident of ownership may not be removed. </w:t>
      </w:r>
    </w:p>
    <w:p w14:paraId="2A750585" w14:textId="2611A935" w:rsidR="004D2E8C" w:rsidRDefault="004D2E8C" w:rsidP="007267BF">
      <w:pPr>
        <w:pStyle w:val="ListParagraph"/>
        <w:numPr>
          <w:ilvl w:val="5"/>
          <w:numId w:val="21"/>
        </w:numPr>
        <w:rPr>
          <w:rFonts w:cs="Times New Roman"/>
          <w:sz w:val="24"/>
          <w:szCs w:val="24"/>
        </w:rPr>
      </w:pPr>
      <w:r w:rsidRPr="004D2E8C">
        <w:rPr>
          <w:rFonts w:cs="Times New Roman"/>
          <w:sz w:val="24"/>
          <w:szCs w:val="24"/>
        </w:rPr>
        <w:t>The constitution requires only that the right to vote be proportionate to the number of shares owned, not to the investment made in a corporation.</w:t>
      </w:r>
    </w:p>
    <w:p w14:paraId="493470AA" w14:textId="6902A1A2" w:rsidR="004D2E8C" w:rsidRPr="004D2E8C" w:rsidRDefault="004D2E8C" w:rsidP="007267BF">
      <w:pPr>
        <w:pStyle w:val="ListParagraph"/>
        <w:numPr>
          <w:ilvl w:val="3"/>
          <w:numId w:val="21"/>
        </w:numPr>
        <w:rPr>
          <w:rFonts w:cs="Times New Roman"/>
          <w:sz w:val="24"/>
          <w:szCs w:val="24"/>
        </w:rPr>
      </w:pPr>
      <w:r>
        <w:rPr>
          <w:rFonts w:cs="Times New Roman"/>
          <w:sz w:val="24"/>
          <w:szCs w:val="24"/>
        </w:rPr>
        <w:t>Nonvoting stock – most states allow it. Delaware, for example, allows firms to “issue one or more classes of stock” with “such voting powers, full or limited, or no voting powers…as shall be stated…in the certificate of incorporation.”</w:t>
      </w:r>
    </w:p>
    <w:p w14:paraId="6FC79DBD" w14:textId="0965CD93" w:rsidR="00585C8E" w:rsidRDefault="00585C8E" w:rsidP="007267BF">
      <w:pPr>
        <w:pStyle w:val="ListParagraph"/>
        <w:numPr>
          <w:ilvl w:val="2"/>
          <w:numId w:val="21"/>
        </w:numPr>
        <w:rPr>
          <w:rFonts w:cs="Times New Roman"/>
          <w:sz w:val="24"/>
          <w:szCs w:val="24"/>
        </w:rPr>
      </w:pPr>
      <w:r>
        <w:rPr>
          <w:rFonts w:cs="Times New Roman"/>
          <w:sz w:val="24"/>
          <w:szCs w:val="24"/>
        </w:rPr>
        <w:t>Cumulative Voting</w:t>
      </w:r>
    </w:p>
    <w:p w14:paraId="7D15E684" w14:textId="0232D796" w:rsidR="00AB2072" w:rsidRDefault="00AB2072" w:rsidP="007267BF">
      <w:pPr>
        <w:pStyle w:val="ListParagraph"/>
        <w:numPr>
          <w:ilvl w:val="3"/>
          <w:numId w:val="21"/>
        </w:numPr>
        <w:rPr>
          <w:rFonts w:cs="Times New Roman"/>
          <w:sz w:val="24"/>
          <w:szCs w:val="24"/>
        </w:rPr>
      </w:pPr>
      <w:r>
        <w:rPr>
          <w:rFonts w:cs="Times New Roman"/>
          <w:sz w:val="24"/>
          <w:szCs w:val="24"/>
        </w:rPr>
        <w:t>In “straight voting,” shareholders vote for slates – an entire board of directors.</w:t>
      </w:r>
    </w:p>
    <w:p w14:paraId="78A2375D" w14:textId="7ABAB488" w:rsidR="00AB2072" w:rsidRDefault="00AB2072" w:rsidP="007267BF">
      <w:pPr>
        <w:pStyle w:val="ListParagraph"/>
        <w:numPr>
          <w:ilvl w:val="3"/>
          <w:numId w:val="21"/>
        </w:numPr>
        <w:rPr>
          <w:rFonts w:cs="Times New Roman"/>
          <w:sz w:val="24"/>
          <w:szCs w:val="24"/>
        </w:rPr>
      </w:pPr>
      <w:r>
        <w:rPr>
          <w:rFonts w:cs="Times New Roman"/>
          <w:sz w:val="24"/>
          <w:szCs w:val="24"/>
        </w:rPr>
        <w:t xml:space="preserve">In “cumulative voting,” investors can “cumulate” their votes and allocate them to a few candidates (i.e., less than a full slate). This allows a minority shareholder with a substantial block of stock to obtain board representation roughly proportional to his fractional interest in the firm. </w:t>
      </w:r>
    </w:p>
    <w:p w14:paraId="2A280A86" w14:textId="77777777" w:rsidR="007C5634" w:rsidRDefault="00585C8E" w:rsidP="007267BF">
      <w:pPr>
        <w:pStyle w:val="ListParagraph"/>
        <w:numPr>
          <w:ilvl w:val="2"/>
          <w:numId w:val="21"/>
        </w:numPr>
        <w:rPr>
          <w:rFonts w:cs="Times New Roman"/>
          <w:sz w:val="24"/>
          <w:szCs w:val="24"/>
        </w:rPr>
      </w:pPr>
      <w:r>
        <w:rPr>
          <w:rFonts w:cs="Times New Roman"/>
          <w:sz w:val="24"/>
          <w:szCs w:val="24"/>
        </w:rPr>
        <w:t>Voting Trusts</w:t>
      </w:r>
      <w:r w:rsidR="00070EEF">
        <w:rPr>
          <w:rFonts w:cs="Times New Roman"/>
          <w:sz w:val="24"/>
          <w:szCs w:val="24"/>
        </w:rPr>
        <w:t xml:space="preserve"> – shareholders create a “voting trust,” assign stock to it, and name themselves beneficiaries and name recruit as trustee. Shareholders retain economic incidences but recruit could vote the stock as he pleases. This separates the economic incidents of stock ownership from the vote. Shareholders would then arrange for the trust to dissolve when the recruit quits his or her job. Have encountered some skepticism from courts and legislatures. </w:t>
      </w:r>
    </w:p>
    <w:p w14:paraId="4CD005B5" w14:textId="5D288C8C" w:rsidR="007C5634" w:rsidRPr="007C5634" w:rsidRDefault="00585C8E" w:rsidP="007267BF">
      <w:pPr>
        <w:pStyle w:val="ListParagraph"/>
        <w:numPr>
          <w:ilvl w:val="2"/>
          <w:numId w:val="21"/>
        </w:numPr>
        <w:rPr>
          <w:rFonts w:cs="Times New Roman"/>
          <w:b/>
          <w:i/>
          <w:sz w:val="24"/>
          <w:szCs w:val="24"/>
        </w:rPr>
      </w:pPr>
      <w:r w:rsidRPr="007C5634">
        <w:rPr>
          <w:sz w:val="24"/>
          <w:szCs w:val="24"/>
        </w:rPr>
        <w:t>Vote Pooling Agreements</w:t>
      </w:r>
      <w:r w:rsidR="0081289F" w:rsidRPr="007C5634">
        <w:rPr>
          <w:sz w:val="24"/>
          <w:szCs w:val="24"/>
        </w:rPr>
        <w:t xml:space="preserve"> </w:t>
      </w:r>
      <w:r w:rsidR="004A4E75" w:rsidRPr="007C5634">
        <w:rPr>
          <w:sz w:val="24"/>
          <w:szCs w:val="24"/>
        </w:rPr>
        <w:t>–</w:t>
      </w:r>
      <w:r w:rsidR="0081289F" w:rsidRPr="007C5634">
        <w:rPr>
          <w:sz w:val="24"/>
          <w:szCs w:val="24"/>
        </w:rPr>
        <w:t xml:space="preserve"> </w:t>
      </w:r>
      <w:r w:rsidR="004A4E75" w:rsidRPr="007C5634">
        <w:rPr>
          <w:sz w:val="24"/>
          <w:szCs w:val="24"/>
        </w:rPr>
        <w:t xml:space="preserve">shareholders may agree to pool their stock and vote as recruit wishes. </w:t>
      </w:r>
      <w:r w:rsidR="007C5634" w:rsidRPr="007C5634">
        <w:rPr>
          <w:b/>
          <w:i/>
          <w:sz w:val="24"/>
          <w:szCs w:val="24"/>
        </w:rPr>
        <w:t>Ringling Bros. – Barnum &amp; Bailey Combined Shows v. Ringling (Del. Sup. Ct. 1947)</w:t>
      </w:r>
    </w:p>
    <w:p w14:paraId="6377E21E" w14:textId="77777777" w:rsidR="007C5634" w:rsidRDefault="007C5634" w:rsidP="007C5634">
      <w:pPr>
        <w:pStyle w:val="ListParagraph"/>
        <w:numPr>
          <w:ilvl w:val="3"/>
          <w:numId w:val="20"/>
        </w:numPr>
        <w:rPr>
          <w:rFonts w:cs="Times New Roman"/>
          <w:sz w:val="24"/>
          <w:szCs w:val="24"/>
        </w:rPr>
      </w:pPr>
      <w:r>
        <w:rPr>
          <w:rFonts w:cs="Times New Roman"/>
          <w:sz w:val="24"/>
          <w:szCs w:val="24"/>
        </w:rPr>
        <w:t xml:space="preserve">Synopsis: John Ringling named John and Ida North the executors of his estate. To eliminate the circus’s meddlesome creditors, John North decided to buy them out. He needed cash. The bank in return for the loan required that John North run the circus. To give North control, Edith and Aubrey agreed to put their stock in a voting trust. (Good under DE law). Eventually, Edith wanted her son Robert to run circus and Aubrey would marry James Haley and wanted him to run it too. To place their men in management, Edith and Aubrey signed a “vote pooling agreement” known as the “Ladies’ Agreement” (provided that if they didn’t agree, Karl Loos would dictate vote). After fire and after James Haley left prison (due to charges from fire), there was a shareholders meeting. James attended the meeting in Aubrey’s stead. Aubrey and Edith now not agreeing so Loos chose to vote in aim or original goal – reduce </w:t>
      </w:r>
      <w:proofErr w:type="gramStart"/>
      <w:r>
        <w:rPr>
          <w:rFonts w:cs="Times New Roman"/>
          <w:sz w:val="24"/>
          <w:szCs w:val="24"/>
        </w:rPr>
        <w:t>North’s</w:t>
      </w:r>
      <w:proofErr w:type="gramEnd"/>
      <w:r>
        <w:rPr>
          <w:rFonts w:cs="Times New Roman"/>
          <w:sz w:val="24"/>
          <w:szCs w:val="24"/>
        </w:rPr>
        <w:t xml:space="preserve"> power. James did not vote as Loos ordered. John and James counted James’s votes as legally cast, held a meeting of the directors so elected, and replaced Robert with James as Ringling president. Infringement ensued. Court held vote pooling agreement legal but unenforceable, because the </w:t>
      </w:r>
      <w:r>
        <w:rPr>
          <w:rFonts w:cs="Times New Roman"/>
          <w:sz w:val="24"/>
          <w:szCs w:val="24"/>
        </w:rPr>
        <w:lastRenderedPageBreak/>
        <w:t>agreement contained “no express delegation or grant of power” (</w:t>
      </w:r>
      <w:proofErr w:type="spellStart"/>
      <w:r>
        <w:rPr>
          <w:rFonts w:cs="Times New Roman"/>
          <w:sz w:val="24"/>
          <w:szCs w:val="24"/>
        </w:rPr>
        <w:t>nevermind</w:t>
      </w:r>
      <w:proofErr w:type="spellEnd"/>
      <w:r>
        <w:rPr>
          <w:rFonts w:cs="Times New Roman"/>
          <w:sz w:val="24"/>
          <w:szCs w:val="24"/>
        </w:rPr>
        <w:t xml:space="preserve"> the agreement provided that Loos’s decision thereon shall be binding upon the parties hereto). However, it was still legal so James’ votes do not count at all. </w:t>
      </w:r>
    </w:p>
    <w:p w14:paraId="218C3C6C" w14:textId="1C9F20F2" w:rsidR="00585C8E" w:rsidRPr="007C5634" w:rsidRDefault="007C5634" w:rsidP="007C5634">
      <w:pPr>
        <w:pStyle w:val="ListParagraph"/>
        <w:numPr>
          <w:ilvl w:val="3"/>
          <w:numId w:val="20"/>
        </w:numPr>
        <w:rPr>
          <w:rFonts w:cs="Times New Roman"/>
          <w:sz w:val="24"/>
          <w:szCs w:val="24"/>
        </w:rPr>
      </w:pPr>
      <w:r>
        <w:rPr>
          <w:rFonts w:cs="Times New Roman"/>
          <w:sz w:val="24"/>
          <w:szCs w:val="24"/>
        </w:rPr>
        <w:t>Tool: Vote pooling agreement is legal but not enforceable. Court may reject votes of a registered shareholder where his voting of them is found to be in violation of rights of another person.”</w:t>
      </w:r>
    </w:p>
    <w:p w14:paraId="64708D11" w14:textId="5DC4272B" w:rsidR="00585C8E" w:rsidRDefault="00585C8E" w:rsidP="007C5634">
      <w:pPr>
        <w:pStyle w:val="ListParagraph"/>
        <w:numPr>
          <w:ilvl w:val="2"/>
          <w:numId w:val="20"/>
        </w:numPr>
        <w:rPr>
          <w:rFonts w:cs="Times New Roman"/>
          <w:sz w:val="24"/>
          <w:szCs w:val="24"/>
        </w:rPr>
      </w:pPr>
      <w:r>
        <w:rPr>
          <w:rFonts w:cs="Times New Roman"/>
          <w:sz w:val="24"/>
          <w:szCs w:val="24"/>
        </w:rPr>
        <w:t>Irrevocable Proxies</w:t>
      </w:r>
      <w:r w:rsidR="004A4E75">
        <w:rPr>
          <w:rFonts w:cs="Times New Roman"/>
          <w:sz w:val="24"/>
          <w:szCs w:val="24"/>
        </w:rPr>
        <w:t xml:space="preserve"> – give recruit voting control by assigning him or her a proxy to vote a given number of their shares. Would have to promise not to revoke their proxies, for example, as long as recruit works for the firm. Early courts treated a proxy as irrevocable only when the person taking the </w:t>
      </w:r>
      <w:proofErr w:type="spellStart"/>
      <w:r w:rsidR="004A4E75">
        <w:rPr>
          <w:rFonts w:cs="Times New Roman"/>
          <w:sz w:val="24"/>
          <w:szCs w:val="24"/>
        </w:rPr>
        <w:t>right</w:t>
      </w:r>
      <w:r w:rsidR="007C5634">
        <w:rPr>
          <w:rFonts w:cs="Times New Roman"/>
          <w:sz w:val="24"/>
          <w:szCs w:val="24"/>
        </w:rPr>
        <w:t>t</w:t>
      </w:r>
      <w:proofErr w:type="spellEnd"/>
      <w:r w:rsidR="004A4E75">
        <w:rPr>
          <w:rFonts w:cs="Times New Roman"/>
          <w:sz w:val="24"/>
          <w:szCs w:val="24"/>
        </w:rPr>
        <w:t xml:space="preserve"> o vote had another “interest” in the firm, such as, for example, working at the firm. </w:t>
      </w:r>
    </w:p>
    <w:p w14:paraId="64EA1874" w14:textId="77D3C486" w:rsidR="00585C8E" w:rsidRDefault="00585C8E" w:rsidP="007C5634">
      <w:pPr>
        <w:pStyle w:val="ListParagraph"/>
        <w:numPr>
          <w:ilvl w:val="2"/>
          <w:numId w:val="20"/>
        </w:numPr>
        <w:rPr>
          <w:rFonts w:cs="Times New Roman"/>
          <w:sz w:val="24"/>
          <w:szCs w:val="24"/>
        </w:rPr>
      </w:pPr>
      <w:r>
        <w:rPr>
          <w:rFonts w:cs="Times New Roman"/>
          <w:sz w:val="24"/>
          <w:szCs w:val="24"/>
        </w:rPr>
        <w:t>The Logic</w:t>
      </w:r>
      <w:r w:rsidR="004A4E75">
        <w:rPr>
          <w:rFonts w:cs="Times New Roman"/>
          <w:sz w:val="24"/>
          <w:szCs w:val="24"/>
        </w:rPr>
        <w:t xml:space="preserve"> – Eventually, the courts realized the logic to the arrangements ex-ante and started enforcing all of them. When they did, parties found themselves with the panoply of heavily overlapping options that they enjoy today.</w:t>
      </w:r>
    </w:p>
    <w:p w14:paraId="010371C0" w14:textId="793FD47E" w:rsidR="00585C8E" w:rsidRPr="008358C7" w:rsidRDefault="00585C8E" w:rsidP="007267BF">
      <w:pPr>
        <w:pStyle w:val="Heading2"/>
        <w:numPr>
          <w:ilvl w:val="0"/>
          <w:numId w:val="21"/>
        </w:numPr>
      </w:pPr>
      <w:r>
        <w:t>Restric</w:t>
      </w:r>
      <w:r w:rsidR="008358C7">
        <w:t>tions on the Power of the Board</w:t>
      </w:r>
    </w:p>
    <w:p w14:paraId="34417E39" w14:textId="77777777" w:rsidR="00916D22" w:rsidRDefault="00916D22" w:rsidP="007267BF">
      <w:pPr>
        <w:pStyle w:val="Heading3"/>
        <w:numPr>
          <w:ilvl w:val="1"/>
          <w:numId w:val="21"/>
        </w:numPr>
      </w:pPr>
      <w:r>
        <w:t>General</w:t>
      </w:r>
    </w:p>
    <w:p w14:paraId="4F9423E0" w14:textId="77777777" w:rsidR="00916D22" w:rsidRDefault="00916D22" w:rsidP="007267BF">
      <w:pPr>
        <w:pStyle w:val="ListParagraph"/>
        <w:numPr>
          <w:ilvl w:val="2"/>
          <w:numId w:val="21"/>
        </w:numPr>
        <w:rPr>
          <w:rFonts w:cs="Times New Roman"/>
          <w:sz w:val="24"/>
          <w:szCs w:val="24"/>
        </w:rPr>
      </w:pPr>
      <w:r>
        <w:rPr>
          <w:rFonts w:cs="Times New Roman"/>
          <w:sz w:val="24"/>
          <w:szCs w:val="24"/>
        </w:rPr>
        <w:t>Agreements by which the shareholders simply commit to electing themselves, or their representatives, as directors, are generally considered unobjectionable, and are now expressly validated in many jurisdictions. (</w:t>
      </w:r>
      <w:proofErr w:type="gramStart"/>
      <w:r>
        <w:rPr>
          <w:rFonts w:cs="Times New Roman"/>
          <w:sz w:val="24"/>
          <w:szCs w:val="24"/>
        </w:rPr>
        <w:t>e.g</w:t>
      </w:r>
      <w:proofErr w:type="gramEnd"/>
      <w:r>
        <w:rPr>
          <w:rFonts w:cs="Times New Roman"/>
          <w:sz w:val="24"/>
          <w:szCs w:val="24"/>
        </w:rPr>
        <w:t xml:space="preserve">. NY Bus. Corp. Law § 620(a)). </w:t>
      </w:r>
    </w:p>
    <w:p w14:paraId="10B2BE76" w14:textId="2C61AFC2" w:rsidR="00916D22" w:rsidRPr="00916D22" w:rsidRDefault="00916D22" w:rsidP="007267BF">
      <w:pPr>
        <w:pStyle w:val="ListParagraph"/>
        <w:numPr>
          <w:ilvl w:val="2"/>
          <w:numId w:val="21"/>
        </w:numPr>
        <w:rPr>
          <w:rFonts w:cs="Times New Roman"/>
          <w:sz w:val="24"/>
          <w:szCs w:val="24"/>
        </w:rPr>
      </w:pPr>
      <w:r w:rsidRPr="00703047">
        <w:rPr>
          <w:rFonts w:cs="Times New Roman"/>
          <w:sz w:val="24"/>
          <w:szCs w:val="24"/>
        </w:rPr>
        <w:t>Courts have had more difficult</w:t>
      </w:r>
      <w:r>
        <w:rPr>
          <w:rFonts w:cs="Times New Roman"/>
          <w:sz w:val="24"/>
          <w:szCs w:val="24"/>
        </w:rPr>
        <w:t>y</w:t>
      </w:r>
      <w:r w:rsidRPr="00703047">
        <w:rPr>
          <w:rFonts w:cs="Times New Roman"/>
          <w:sz w:val="24"/>
          <w:szCs w:val="24"/>
        </w:rPr>
        <w:t xml:space="preserve"> with shareholder agreements requiring the appointment of particular individuals as officers or employees of the corporation, since such agreements do deprive the </w:t>
      </w:r>
      <w:proofErr w:type="gramStart"/>
      <w:r w:rsidRPr="00703047">
        <w:rPr>
          <w:rFonts w:cs="Times New Roman"/>
          <w:sz w:val="24"/>
          <w:szCs w:val="24"/>
        </w:rPr>
        <w:t>directors</w:t>
      </w:r>
      <w:proofErr w:type="gramEnd"/>
      <w:r w:rsidRPr="00703047">
        <w:rPr>
          <w:rFonts w:cs="Times New Roman"/>
          <w:sz w:val="24"/>
          <w:szCs w:val="24"/>
        </w:rPr>
        <w:t xml:space="preserve"> one of their most important functions. The modern view, reflected in </w:t>
      </w:r>
      <w:proofErr w:type="spellStart"/>
      <w:r w:rsidRPr="00703047">
        <w:rPr>
          <w:rFonts w:cs="Times New Roman"/>
          <w:sz w:val="24"/>
          <w:szCs w:val="24"/>
        </w:rPr>
        <w:t>Galler</w:t>
      </w:r>
      <w:proofErr w:type="spellEnd"/>
      <w:r w:rsidRPr="00703047">
        <w:rPr>
          <w:rFonts w:cs="Times New Roman"/>
          <w:sz w:val="24"/>
          <w:szCs w:val="24"/>
        </w:rPr>
        <w:t xml:space="preserve"> and Zion, is that such agreements are enforceable, at least for closely held corporations, as long as they are signed by all shareholders (and, perhaps in situations in which any non-signing minority shareholders cannot or do not object). </w:t>
      </w:r>
    </w:p>
    <w:p w14:paraId="1BC080DB" w14:textId="4982B022" w:rsidR="00841F7B" w:rsidRDefault="00841F7B" w:rsidP="007267BF">
      <w:pPr>
        <w:pStyle w:val="Heading3"/>
        <w:numPr>
          <w:ilvl w:val="1"/>
          <w:numId w:val="21"/>
        </w:numPr>
        <w:rPr>
          <w:i/>
        </w:rPr>
      </w:pPr>
      <w:r>
        <w:t>New York</w:t>
      </w:r>
    </w:p>
    <w:p w14:paraId="343F1841" w14:textId="4DF3F0BF" w:rsidR="00E50EDE" w:rsidRDefault="00E50EDE" w:rsidP="007267BF">
      <w:pPr>
        <w:pStyle w:val="ListParagraph"/>
        <w:numPr>
          <w:ilvl w:val="2"/>
          <w:numId w:val="21"/>
        </w:numPr>
        <w:rPr>
          <w:rFonts w:cs="Times New Roman"/>
          <w:i/>
          <w:sz w:val="24"/>
          <w:szCs w:val="24"/>
        </w:rPr>
      </w:pPr>
      <w:r>
        <w:rPr>
          <w:rFonts w:cs="Times New Roman"/>
          <w:sz w:val="24"/>
          <w:szCs w:val="24"/>
        </w:rPr>
        <w:t>Shareholders cannot enter agreements about who they will elect to a board (</w:t>
      </w:r>
      <w:proofErr w:type="spellStart"/>
      <w:r w:rsidRPr="00916D22">
        <w:rPr>
          <w:rFonts w:cs="Times New Roman"/>
          <w:i/>
          <w:sz w:val="24"/>
          <w:szCs w:val="24"/>
        </w:rPr>
        <w:t>McQuade</w:t>
      </w:r>
      <w:proofErr w:type="spellEnd"/>
      <w:r>
        <w:rPr>
          <w:rFonts w:cs="Times New Roman"/>
          <w:sz w:val="24"/>
          <w:szCs w:val="24"/>
        </w:rPr>
        <w:t>) unless the shareholders are unanimous in making such agreements (</w:t>
      </w:r>
      <w:r w:rsidRPr="00916D22">
        <w:rPr>
          <w:rFonts w:cs="Times New Roman"/>
          <w:i/>
          <w:sz w:val="24"/>
          <w:szCs w:val="24"/>
        </w:rPr>
        <w:t>Clark</w:t>
      </w:r>
      <w:r>
        <w:rPr>
          <w:rFonts w:cs="Times New Roman"/>
          <w:sz w:val="24"/>
          <w:szCs w:val="24"/>
        </w:rPr>
        <w:t>).</w:t>
      </w:r>
    </w:p>
    <w:p w14:paraId="08ED5188" w14:textId="77777777" w:rsidR="008358C7" w:rsidRPr="00916D22" w:rsidRDefault="008358C7" w:rsidP="007267BF">
      <w:pPr>
        <w:pStyle w:val="ListParagraph"/>
        <w:numPr>
          <w:ilvl w:val="2"/>
          <w:numId w:val="21"/>
        </w:numPr>
        <w:rPr>
          <w:rFonts w:cs="Times New Roman"/>
          <w:b/>
          <w:i/>
          <w:sz w:val="24"/>
          <w:szCs w:val="24"/>
        </w:rPr>
      </w:pPr>
      <w:proofErr w:type="spellStart"/>
      <w:r w:rsidRPr="00916D22">
        <w:rPr>
          <w:rFonts w:cs="Times New Roman"/>
          <w:b/>
          <w:i/>
          <w:sz w:val="24"/>
          <w:szCs w:val="24"/>
        </w:rPr>
        <w:t>McQuade</w:t>
      </w:r>
      <w:proofErr w:type="spellEnd"/>
      <w:r w:rsidRPr="00916D22">
        <w:rPr>
          <w:rFonts w:cs="Times New Roman"/>
          <w:b/>
          <w:i/>
          <w:sz w:val="24"/>
          <w:szCs w:val="24"/>
        </w:rPr>
        <w:t xml:space="preserve"> v. Stoneham (NY 1934)</w:t>
      </w:r>
    </w:p>
    <w:p w14:paraId="493D6EA2" w14:textId="2D778F96" w:rsidR="00585C8E" w:rsidRDefault="008358C7" w:rsidP="007267BF">
      <w:pPr>
        <w:pStyle w:val="ListParagraph"/>
        <w:numPr>
          <w:ilvl w:val="3"/>
          <w:numId w:val="21"/>
        </w:numPr>
        <w:rPr>
          <w:rFonts w:cs="Times New Roman"/>
          <w:sz w:val="24"/>
          <w:szCs w:val="24"/>
        </w:rPr>
      </w:pPr>
      <w:r>
        <w:rPr>
          <w:rFonts w:cs="Times New Roman"/>
          <w:sz w:val="24"/>
          <w:szCs w:val="24"/>
        </w:rPr>
        <w:t xml:space="preserve">Synopsis: </w:t>
      </w:r>
      <w:proofErr w:type="spellStart"/>
      <w:r>
        <w:rPr>
          <w:rFonts w:cs="Times New Roman"/>
          <w:sz w:val="24"/>
          <w:szCs w:val="24"/>
        </w:rPr>
        <w:t>McQuade</w:t>
      </w:r>
      <w:proofErr w:type="spellEnd"/>
      <w:r>
        <w:rPr>
          <w:rFonts w:cs="Times New Roman"/>
          <w:sz w:val="24"/>
          <w:szCs w:val="24"/>
        </w:rPr>
        <w:t xml:space="preserve"> (P)</w:t>
      </w:r>
      <w:r w:rsidRPr="008358C7">
        <w:rPr>
          <w:rFonts w:cs="Times New Roman"/>
          <w:sz w:val="24"/>
          <w:szCs w:val="24"/>
        </w:rPr>
        <w:t xml:space="preserve"> and McGraw each purchased 70 shares of NEC stock from the majority 1,306 shares that Stoneham owned. NEC was the company that owned the New York Giants. At the time of purchase, the parties agreed in writing to do everything in their power to keep Stoneham as president, McGraw as vice-president and Plaintiff as treasurer. </w:t>
      </w:r>
      <w:r>
        <w:rPr>
          <w:rFonts w:cs="Times New Roman"/>
          <w:sz w:val="24"/>
          <w:szCs w:val="24"/>
        </w:rPr>
        <w:t>P</w:t>
      </w:r>
      <w:r w:rsidRPr="008358C7">
        <w:rPr>
          <w:rFonts w:cs="Times New Roman"/>
          <w:sz w:val="24"/>
          <w:szCs w:val="24"/>
        </w:rPr>
        <w:t xml:space="preserve"> and Stoneham had a number of conflicts co</w:t>
      </w:r>
      <w:r>
        <w:rPr>
          <w:rFonts w:cs="Times New Roman"/>
          <w:sz w:val="24"/>
          <w:szCs w:val="24"/>
        </w:rPr>
        <w:t xml:space="preserve">ncerning the operations of NEC and </w:t>
      </w:r>
      <w:r w:rsidRPr="008358C7">
        <w:rPr>
          <w:rFonts w:cs="Times New Roman"/>
          <w:sz w:val="24"/>
          <w:szCs w:val="24"/>
        </w:rPr>
        <w:t>the 7-member board of directors of NEC voted in a new treasurer (McGraw and Stoneham abstained from the vote</w:t>
      </w:r>
      <w:r>
        <w:rPr>
          <w:rFonts w:cs="Times New Roman"/>
          <w:sz w:val="24"/>
          <w:szCs w:val="24"/>
        </w:rPr>
        <w:t xml:space="preserve"> but others who answered to Stoneham voted</w:t>
      </w:r>
      <w:r w:rsidRPr="008358C7">
        <w:rPr>
          <w:rFonts w:cs="Times New Roman"/>
          <w:sz w:val="24"/>
          <w:szCs w:val="24"/>
        </w:rPr>
        <w:t xml:space="preserve">). </w:t>
      </w:r>
      <w:r>
        <w:rPr>
          <w:rFonts w:cs="Times New Roman"/>
          <w:sz w:val="24"/>
          <w:szCs w:val="24"/>
        </w:rPr>
        <w:t>P</w:t>
      </w:r>
      <w:r w:rsidRPr="008358C7">
        <w:rPr>
          <w:rFonts w:cs="Times New Roman"/>
          <w:sz w:val="24"/>
          <w:szCs w:val="24"/>
        </w:rPr>
        <w:t xml:space="preserve"> was not removed for any misconduct or ineptitude, but rather for his conflicts with Stoneham. </w:t>
      </w:r>
      <w:r w:rsidR="00A451E7">
        <w:rPr>
          <w:rFonts w:cs="Times New Roman"/>
          <w:sz w:val="24"/>
          <w:szCs w:val="24"/>
        </w:rPr>
        <w:t>P</w:t>
      </w:r>
      <w:r w:rsidRPr="008358C7">
        <w:rPr>
          <w:rFonts w:cs="Times New Roman"/>
          <w:sz w:val="24"/>
          <w:szCs w:val="24"/>
        </w:rPr>
        <w:t xml:space="preserve"> brought this action to be reinstated as treasurer, and he cited the agreement that he entered with McGraw and Stoneham that provided for each of them to use their “best endeavors” to keep each other in their respective positions. </w:t>
      </w:r>
      <w:r w:rsidR="00A451E7">
        <w:rPr>
          <w:rFonts w:cs="Times New Roman"/>
          <w:sz w:val="24"/>
          <w:szCs w:val="24"/>
        </w:rPr>
        <w:t xml:space="preserve">NY Court of Appeals held in favor of D, because directors may not by agreements entered into as stockholders abrogate their independent judgment. </w:t>
      </w:r>
    </w:p>
    <w:p w14:paraId="673FDCB2" w14:textId="3FCC8365" w:rsidR="00585C8E" w:rsidRDefault="00A451E7" w:rsidP="007267BF">
      <w:pPr>
        <w:pStyle w:val="ListParagraph"/>
        <w:numPr>
          <w:ilvl w:val="3"/>
          <w:numId w:val="21"/>
        </w:numPr>
        <w:rPr>
          <w:rFonts w:cs="Times New Roman"/>
          <w:sz w:val="24"/>
          <w:szCs w:val="24"/>
        </w:rPr>
      </w:pPr>
      <w:r>
        <w:rPr>
          <w:rFonts w:cs="Times New Roman"/>
          <w:sz w:val="24"/>
          <w:szCs w:val="24"/>
        </w:rPr>
        <w:t>Tool:</w:t>
      </w:r>
    </w:p>
    <w:p w14:paraId="1FB3623D" w14:textId="187EC345" w:rsidR="00A451E7" w:rsidRDefault="00A451E7" w:rsidP="007267BF">
      <w:pPr>
        <w:pStyle w:val="ListParagraph"/>
        <w:numPr>
          <w:ilvl w:val="4"/>
          <w:numId w:val="21"/>
        </w:numPr>
        <w:rPr>
          <w:rFonts w:cs="Times New Roman"/>
          <w:sz w:val="24"/>
          <w:szCs w:val="24"/>
        </w:rPr>
      </w:pPr>
      <w:r>
        <w:rPr>
          <w:rFonts w:cs="Times New Roman"/>
          <w:sz w:val="24"/>
          <w:szCs w:val="24"/>
        </w:rPr>
        <w:t xml:space="preserve">“[T]he stockholders may not, by agreement among themselves, control the directors in the exercise of the judgment vested in them by virtue of their office to elect officers and fix salaries. Their motives may not be questioned so long as their acts are legal. The bad faith or improper motives of the parties does not change the rule…Directors may not by agreements entered into as stock-holders abrogate their independent judgment.” </w:t>
      </w:r>
    </w:p>
    <w:p w14:paraId="3729C55E" w14:textId="533D0948" w:rsidR="00A451E7" w:rsidRDefault="00A451E7" w:rsidP="007267BF">
      <w:pPr>
        <w:pStyle w:val="ListParagraph"/>
        <w:numPr>
          <w:ilvl w:val="4"/>
          <w:numId w:val="21"/>
        </w:numPr>
        <w:rPr>
          <w:rFonts w:cs="Times New Roman"/>
          <w:sz w:val="24"/>
          <w:szCs w:val="24"/>
        </w:rPr>
      </w:pPr>
      <w:r>
        <w:rPr>
          <w:rFonts w:cs="Times New Roman"/>
          <w:sz w:val="24"/>
          <w:szCs w:val="24"/>
        </w:rPr>
        <w:t xml:space="preserve">Shareholders can agree about how they would vote their stock. Shareholders act for themselves; they are not agents of anyone else. They can properly agree about whom they will elect to the board. What they cannot do is agree about what actions those directors will </w:t>
      </w:r>
      <w:r>
        <w:rPr>
          <w:rFonts w:cs="Times New Roman"/>
          <w:sz w:val="24"/>
          <w:szCs w:val="24"/>
        </w:rPr>
        <w:lastRenderedPageBreak/>
        <w:t xml:space="preserve">take once elected. Directors are agents for the corporation and owe a legal duty to promote the interests of </w:t>
      </w:r>
      <w:proofErr w:type="spellStart"/>
      <w:r>
        <w:rPr>
          <w:rFonts w:cs="Times New Roman"/>
          <w:sz w:val="24"/>
          <w:szCs w:val="24"/>
        </w:rPr>
        <w:t>allshareholders</w:t>
      </w:r>
      <w:proofErr w:type="spellEnd"/>
      <w:r>
        <w:rPr>
          <w:rFonts w:cs="Times New Roman"/>
          <w:sz w:val="24"/>
          <w:szCs w:val="24"/>
        </w:rPr>
        <w:t xml:space="preserve"> – including shareholders not party to any agreement. </w:t>
      </w:r>
    </w:p>
    <w:p w14:paraId="343CAA84" w14:textId="6C1F5440" w:rsidR="00585C8E" w:rsidRPr="00916D22" w:rsidRDefault="00585C8E" w:rsidP="007267BF">
      <w:pPr>
        <w:pStyle w:val="ListParagraph"/>
        <w:numPr>
          <w:ilvl w:val="2"/>
          <w:numId w:val="21"/>
        </w:numPr>
        <w:rPr>
          <w:rFonts w:cs="Times New Roman"/>
          <w:b/>
          <w:i/>
          <w:sz w:val="24"/>
          <w:szCs w:val="24"/>
        </w:rPr>
      </w:pPr>
      <w:r w:rsidRPr="00916D22">
        <w:rPr>
          <w:rFonts w:cs="Times New Roman"/>
          <w:b/>
          <w:i/>
          <w:sz w:val="24"/>
          <w:szCs w:val="24"/>
        </w:rPr>
        <w:t>Clark v. Dodge</w:t>
      </w:r>
      <w:r w:rsidR="00841F7B" w:rsidRPr="00916D22">
        <w:rPr>
          <w:rFonts w:cs="Times New Roman"/>
          <w:b/>
          <w:i/>
          <w:sz w:val="24"/>
          <w:szCs w:val="24"/>
        </w:rPr>
        <w:t xml:space="preserve"> (NY 1936)</w:t>
      </w:r>
    </w:p>
    <w:p w14:paraId="730D9BCF" w14:textId="7C44B011" w:rsidR="00841F7B" w:rsidRDefault="00841F7B" w:rsidP="007267BF">
      <w:pPr>
        <w:pStyle w:val="ListParagraph"/>
        <w:numPr>
          <w:ilvl w:val="3"/>
          <w:numId w:val="21"/>
        </w:numPr>
        <w:rPr>
          <w:rFonts w:cs="Times New Roman"/>
          <w:sz w:val="24"/>
          <w:szCs w:val="24"/>
        </w:rPr>
      </w:pPr>
      <w:r>
        <w:rPr>
          <w:rFonts w:cs="Times New Roman"/>
          <w:sz w:val="24"/>
          <w:szCs w:val="24"/>
        </w:rPr>
        <w:t xml:space="preserve">Synopsis: </w:t>
      </w:r>
      <w:r w:rsidRPr="00841F7B">
        <w:rPr>
          <w:rFonts w:cs="Times New Roman"/>
          <w:sz w:val="24"/>
          <w:szCs w:val="24"/>
        </w:rPr>
        <w:t xml:space="preserve">D companies, Bell &amp; Company, Inc. and Hollings-Smith Company, Inc., were co-owned by </w:t>
      </w:r>
      <w:r>
        <w:rPr>
          <w:rFonts w:cs="Times New Roman"/>
          <w:sz w:val="24"/>
          <w:szCs w:val="24"/>
        </w:rPr>
        <w:t>Clark (</w:t>
      </w:r>
      <w:r w:rsidRPr="00841F7B">
        <w:rPr>
          <w:rFonts w:cs="Times New Roman"/>
          <w:sz w:val="24"/>
          <w:szCs w:val="24"/>
        </w:rPr>
        <w:t>P</w:t>
      </w:r>
      <w:r>
        <w:rPr>
          <w:rFonts w:cs="Times New Roman"/>
          <w:sz w:val="24"/>
          <w:szCs w:val="24"/>
        </w:rPr>
        <w:t>)</w:t>
      </w:r>
      <w:r w:rsidRPr="00841F7B">
        <w:rPr>
          <w:rFonts w:cs="Times New Roman"/>
          <w:sz w:val="24"/>
          <w:szCs w:val="24"/>
        </w:rPr>
        <w:t xml:space="preserve"> (25% of shares) and </w:t>
      </w:r>
      <w:r>
        <w:rPr>
          <w:rFonts w:cs="Times New Roman"/>
          <w:sz w:val="24"/>
          <w:szCs w:val="24"/>
        </w:rPr>
        <w:t>Dodge (</w:t>
      </w:r>
      <w:r w:rsidRPr="00841F7B">
        <w:rPr>
          <w:rFonts w:cs="Times New Roman"/>
          <w:sz w:val="24"/>
          <w:szCs w:val="24"/>
        </w:rPr>
        <w:t>D</w:t>
      </w:r>
      <w:r>
        <w:rPr>
          <w:rFonts w:cs="Times New Roman"/>
          <w:sz w:val="24"/>
          <w:szCs w:val="24"/>
        </w:rPr>
        <w:t>)</w:t>
      </w:r>
      <w:r w:rsidRPr="00841F7B">
        <w:rPr>
          <w:rFonts w:cs="Times New Roman"/>
          <w:sz w:val="24"/>
          <w:szCs w:val="24"/>
        </w:rPr>
        <w:t xml:space="preserve"> (the remaining 75% of shares). The companies manufactured medicine, the formulae that were known only by P. P entered into an agreement with D wherein P agreed to disclose the formulae to the son of D in return for a promise that D would keep P as a director and would be entitled to 25% of all net income providing that P was competent in his position. Afterwards, D did not vote P in as director, stopped delivering 25% of the income to P. P sought reinstatement and money owed from the stopping of payments and money wasted by D. Defendant countered, citing </w:t>
      </w:r>
      <w:proofErr w:type="spellStart"/>
      <w:r w:rsidRPr="00841F7B">
        <w:rPr>
          <w:rFonts w:cs="Times New Roman"/>
          <w:i/>
          <w:sz w:val="24"/>
          <w:szCs w:val="24"/>
        </w:rPr>
        <w:t>McQuade</w:t>
      </w:r>
      <w:proofErr w:type="spellEnd"/>
      <w:r w:rsidRPr="00841F7B">
        <w:rPr>
          <w:rFonts w:cs="Times New Roman"/>
          <w:sz w:val="24"/>
          <w:szCs w:val="24"/>
        </w:rPr>
        <w:t>, that the agreement was invalid because it required D as a shareholder to usurp the directors’ judgment.</w:t>
      </w:r>
      <w:r>
        <w:rPr>
          <w:rFonts w:cs="Times New Roman"/>
          <w:sz w:val="24"/>
          <w:szCs w:val="24"/>
        </w:rPr>
        <w:t xml:space="preserve"> The Court </w:t>
      </w:r>
      <w:r w:rsidRPr="00841F7B">
        <w:rPr>
          <w:rFonts w:cs="Times New Roman"/>
          <w:sz w:val="24"/>
          <w:szCs w:val="24"/>
        </w:rPr>
        <w:t xml:space="preserve">held that the agreement was not invalid. The </w:t>
      </w:r>
      <w:proofErr w:type="spellStart"/>
      <w:r w:rsidRPr="00841F7B">
        <w:rPr>
          <w:rFonts w:cs="Times New Roman"/>
          <w:i/>
          <w:sz w:val="24"/>
          <w:szCs w:val="24"/>
        </w:rPr>
        <w:t>McQuade</w:t>
      </w:r>
      <w:proofErr w:type="spellEnd"/>
      <w:r w:rsidRPr="00841F7B">
        <w:rPr>
          <w:rFonts w:cs="Times New Roman"/>
          <w:sz w:val="24"/>
          <w:szCs w:val="24"/>
        </w:rPr>
        <w:t xml:space="preserve"> court invalidated a similar agreement because it affected the rights of others that were not part of the agreement, and therefore it fell under the public policy argument. In this case, the only shareholders were D and P, and therefore the agreement between the two did not have any, or at least negligible, consequences on the public.</w:t>
      </w:r>
    </w:p>
    <w:p w14:paraId="08F0056D" w14:textId="39736A44" w:rsidR="00841F7B" w:rsidRDefault="00841F7B" w:rsidP="007267BF">
      <w:pPr>
        <w:pStyle w:val="ListParagraph"/>
        <w:numPr>
          <w:ilvl w:val="3"/>
          <w:numId w:val="21"/>
        </w:numPr>
        <w:rPr>
          <w:rFonts w:cs="Times New Roman"/>
          <w:sz w:val="24"/>
          <w:szCs w:val="24"/>
        </w:rPr>
      </w:pPr>
      <w:r>
        <w:rPr>
          <w:rFonts w:cs="Times New Roman"/>
          <w:sz w:val="24"/>
          <w:szCs w:val="24"/>
        </w:rPr>
        <w:t xml:space="preserve">Tool: </w:t>
      </w:r>
      <w:r w:rsidRPr="00841F7B">
        <w:rPr>
          <w:rFonts w:cs="Times New Roman"/>
          <w:sz w:val="24"/>
          <w:szCs w:val="24"/>
        </w:rPr>
        <w:t>An agreement between shareholders, wherein the shareholders entering the agreement are the only shareholders of the company, is valid even if the agreement contemplates co</w:t>
      </w:r>
      <w:r>
        <w:rPr>
          <w:rFonts w:cs="Times New Roman"/>
          <w:sz w:val="24"/>
          <w:szCs w:val="24"/>
        </w:rPr>
        <w:t xml:space="preserve">ntrolling management decisions. – </w:t>
      </w:r>
      <w:r w:rsidRPr="00841F7B">
        <w:rPr>
          <w:rFonts w:cs="Times New Roman"/>
          <w:sz w:val="24"/>
          <w:szCs w:val="24"/>
        </w:rPr>
        <w:t>“If the enforcement of a particular contract damages nobody – not even, in any perceptible degree, the public – one sees no reason for holding it illegal, even though it impinges slightly upon the broad provision of section 27 [“The business of a corporation shall be managed by its board of directors.”]…Where the directors are the sole stockholders, there seems to be no objection to enforcing an agreement among them to vote for certain people as officers.”</w:t>
      </w:r>
    </w:p>
    <w:p w14:paraId="77CE8337" w14:textId="488CD1E3" w:rsidR="00916D22" w:rsidRDefault="00916D22" w:rsidP="007267BF">
      <w:pPr>
        <w:pStyle w:val="Heading3"/>
        <w:numPr>
          <w:ilvl w:val="1"/>
          <w:numId w:val="21"/>
        </w:numPr>
      </w:pPr>
      <w:r>
        <w:t>California</w:t>
      </w:r>
    </w:p>
    <w:p w14:paraId="3AA079EC" w14:textId="30726944" w:rsidR="00916D22" w:rsidRPr="00916D22" w:rsidRDefault="00916D22" w:rsidP="007267BF">
      <w:pPr>
        <w:pStyle w:val="ListParagraph"/>
        <w:numPr>
          <w:ilvl w:val="2"/>
          <w:numId w:val="21"/>
        </w:numPr>
        <w:rPr>
          <w:rFonts w:cs="Times New Roman"/>
          <w:sz w:val="24"/>
          <w:szCs w:val="24"/>
        </w:rPr>
      </w:pPr>
      <w:r w:rsidRPr="00916D22">
        <w:rPr>
          <w:rFonts w:cs="Times New Roman"/>
          <w:sz w:val="24"/>
          <w:szCs w:val="24"/>
        </w:rPr>
        <w:t xml:space="preserve">Shareholders </w:t>
      </w:r>
      <w:r>
        <w:rPr>
          <w:rFonts w:cs="Times New Roman"/>
          <w:sz w:val="24"/>
          <w:szCs w:val="24"/>
        </w:rPr>
        <w:t>can</w:t>
      </w:r>
      <w:r w:rsidRPr="00916D22">
        <w:rPr>
          <w:rFonts w:cs="Times New Roman"/>
          <w:sz w:val="24"/>
          <w:szCs w:val="24"/>
        </w:rPr>
        <w:t xml:space="preserve"> enter agreements about who they will elect to a board </w:t>
      </w:r>
      <w:r>
        <w:rPr>
          <w:rFonts w:cs="Times New Roman"/>
          <w:sz w:val="24"/>
          <w:szCs w:val="24"/>
        </w:rPr>
        <w:t>as long as there is no complaint from the minority (</w:t>
      </w:r>
      <w:proofErr w:type="spellStart"/>
      <w:r>
        <w:rPr>
          <w:rFonts w:cs="Times New Roman"/>
          <w:sz w:val="24"/>
          <w:szCs w:val="24"/>
        </w:rPr>
        <w:t>Galler</w:t>
      </w:r>
      <w:proofErr w:type="spellEnd"/>
      <w:r>
        <w:rPr>
          <w:rFonts w:cs="Times New Roman"/>
          <w:sz w:val="24"/>
          <w:szCs w:val="24"/>
        </w:rPr>
        <w:t>). Pooling agreements are legal</w:t>
      </w:r>
      <w:r w:rsidRPr="00916D22">
        <w:rPr>
          <w:rFonts w:cs="Times New Roman"/>
          <w:sz w:val="24"/>
          <w:szCs w:val="24"/>
        </w:rPr>
        <w:t xml:space="preserve"> </w:t>
      </w:r>
      <w:r w:rsidR="007267BF">
        <w:rPr>
          <w:rFonts w:cs="Times New Roman"/>
          <w:sz w:val="24"/>
          <w:szCs w:val="24"/>
        </w:rPr>
        <w:t xml:space="preserve">in close and non-close corporations </w:t>
      </w:r>
      <w:r>
        <w:rPr>
          <w:rFonts w:cs="Times New Roman"/>
          <w:sz w:val="24"/>
          <w:szCs w:val="24"/>
        </w:rPr>
        <w:t xml:space="preserve">as long as they don’t </w:t>
      </w:r>
      <w:r w:rsidRPr="007267BF">
        <w:rPr>
          <w:rFonts w:cs="Times New Roman"/>
          <w:sz w:val="24"/>
          <w:szCs w:val="24"/>
          <w:u w:val="single"/>
        </w:rPr>
        <w:t>directly</w:t>
      </w:r>
      <w:r>
        <w:rPr>
          <w:rFonts w:cs="Times New Roman"/>
          <w:sz w:val="24"/>
          <w:szCs w:val="24"/>
        </w:rPr>
        <w:t xml:space="preserve"> allow for non-unanimous agreements about who will be elected to board</w:t>
      </w:r>
      <w:r w:rsidR="007267BF">
        <w:rPr>
          <w:rFonts w:cs="Times New Roman"/>
          <w:sz w:val="24"/>
          <w:szCs w:val="24"/>
        </w:rPr>
        <w:t>; indirectly leading to such a result is legal (</w:t>
      </w:r>
      <w:r w:rsidR="007267BF" w:rsidRPr="007267BF">
        <w:rPr>
          <w:rFonts w:cs="Times New Roman"/>
          <w:sz w:val="24"/>
          <w:szCs w:val="24"/>
          <w:u w:val="single"/>
        </w:rPr>
        <w:t>Ramos</w:t>
      </w:r>
      <w:r w:rsidR="007267BF">
        <w:rPr>
          <w:rFonts w:cs="Times New Roman"/>
          <w:sz w:val="24"/>
          <w:szCs w:val="24"/>
        </w:rPr>
        <w:t>).</w:t>
      </w:r>
    </w:p>
    <w:p w14:paraId="1729B05C" w14:textId="77777777" w:rsidR="00916D22" w:rsidRPr="00916D22" w:rsidRDefault="00916D22" w:rsidP="007267BF">
      <w:pPr>
        <w:pStyle w:val="ListParagraph"/>
        <w:numPr>
          <w:ilvl w:val="2"/>
          <w:numId w:val="21"/>
        </w:numPr>
        <w:rPr>
          <w:rFonts w:cs="Times New Roman"/>
          <w:b/>
          <w:i/>
          <w:sz w:val="24"/>
          <w:szCs w:val="24"/>
        </w:rPr>
      </w:pPr>
      <w:proofErr w:type="spellStart"/>
      <w:r w:rsidRPr="00916D22">
        <w:rPr>
          <w:rFonts w:cs="Times New Roman"/>
          <w:b/>
          <w:i/>
          <w:sz w:val="24"/>
          <w:szCs w:val="24"/>
        </w:rPr>
        <w:t>Galler</w:t>
      </w:r>
      <w:proofErr w:type="spellEnd"/>
      <w:r w:rsidRPr="00916D22">
        <w:rPr>
          <w:rFonts w:cs="Times New Roman"/>
          <w:b/>
          <w:i/>
          <w:sz w:val="24"/>
          <w:szCs w:val="24"/>
        </w:rPr>
        <w:t xml:space="preserve"> v. </w:t>
      </w:r>
      <w:proofErr w:type="spellStart"/>
      <w:r w:rsidRPr="00916D22">
        <w:rPr>
          <w:rFonts w:cs="Times New Roman"/>
          <w:b/>
          <w:i/>
          <w:sz w:val="24"/>
          <w:szCs w:val="24"/>
        </w:rPr>
        <w:t>Galler</w:t>
      </w:r>
      <w:proofErr w:type="spellEnd"/>
      <w:r w:rsidRPr="00916D22">
        <w:rPr>
          <w:rFonts w:cs="Times New Roman"/>
          <w:b/>
          <w:i/>
          <w:sz w:val="24"/>
          <w:szCs w:val="24"/>
        </w:rPr>
        <w:t xml:space="preserve"> (Ill. 1964)</w:t>
      </w:r>
    </w:p>
    <w:p w14:paraId="5A798AE5" w14:textId="355F6F25" w:rsidR="008A0CCA" w:rsidRDefault="008A0CCA" w:rsidP="007267BF">
      <w:pPr>
        <w:pStyle w:val="ListParagraph"/>
        <w:numPr>
          <w:ilvl w:val="3"/>
          <w:numId w:val="21"/>
        </w:numPr>
        <w:rPr>
          <w:rFonts w:cs="Times New Roman"/>
          <w:sz w:val="24"/>
          <w:szCs w:val="24"/>
        </w:rPr>
      </w:pPr>
      <w:r>
        <w:rPr>
          <w:rFonts w:cs="Times New Roman"/>
          <w:sz w:val="24"/>
          <w:szCs w:val="24"/>
        </w:rPr>
        <w:t xml:space="preserve">Synopsis: </w:t>
      </w:r>
      <w:r w:rsidRPr="008A0CCA">
        <w:rPr>
          <w:rFonts w:cs="Times New Roman"/>
          <w:sz w:val="24"/>
          <w:szCs w:val="24"/>
        </w:rPr>
        <w:t xml:space="preserve">Emma’s (P) late husband, Benjamin </w:t>
      </w:r>
      <w:proofErr w:type="spellStart"/>
      <w:r w:rsidRPr="008A0CCA">
        <w:rPr>
          <w:rFonts w:cs="Times New Roman"/>
          <w:sz w:val="24"/>
          <w:szCs w:val="24"/>
        </w:rPr>
        <w:t>Galler</w:t>
      </w:r>
      <w:proofErr w:type="spellEnd"/>
      <w:r w:rsidRPr="008A0CCA">
        <w:rPr>
          <w:rFonts w:cs="Times New Roman"/>
          <w:sz w:val="24"/>
          <w:szCs w:val="24"/>
        </w:rPr>
        <w:t xml:space="preserve"> and his brother, Isadore </w:t>
      </w:r>
      <w:proofErr w:type="spellStart"/>
      <w:r w:rsidRPr="008A0CCA">
        <w:rPr>
          <w:rFonts w:cs="Times New Roman"/>
          <w:sz w:val="24"/>
          <w:szCs w:val="24"/>
        </w:rPr>
        <w:t>Galler</w:t>
      </w:r>
      <w:proofErr w:type="spellEnd"/>
      <w:r w:rsidRPr="008A0CCA">
        <w:rPr>
          <w:rFonts w:cs="Times New Roman"/>
          <w:sz w:val="24"/>
          <w:szCs w:val="24"/>
        </w:rPr>
        <w:t xml:space="preserve">, owned all but 12 shares of a </w:t>
      </w:r>
      <w:r w:rsidRPr="00B9085E">
        <w:rPr>
          <w:rFonts w:cs="Times New Roman"/>
          <w:sz w:val="24"/>
          <w:szCs w:val="24"/>
          <w:u w:val="single"/>
        </w:rPr>
        <w:t>close corporation</w:t>
      </w:r>
      <w:r w:rsidRPr="008A0CCA">
        <w:rPr>
          <w:rFonts w:cs="Times New Roman"/>
          <w:sz w:val="24"/>
          <w:szCs w:val="24"/>
        </w:rPr>
        <w:t xml:space="preserve">, </w:t>
      </w:r>
      <w:proofErr w:type="spellStart"/>
      <w:r w:rsidRPr="008A0CCA">
        <w:rPr>
          <w:rFonts w:cs="Times New Roman"/>
          <w:sz w:val="24"/>
          <w:szCs w:val="24"/>
        </w:rPr>
        <w:t>Galler</w:t>
      </w:r>
      <w:proofErr w:type="spellEnd"/>
      <w:r w:rsidRPr="008A0CCA">
        <w:rPr>
          <w:rFonts w:cs="Times New Roman"/>
          <w:sz w:val="24"/>
          <w:szCs w:val="24"/>
        </w:rPr>
        <w:t xml:space="preserve"> Drug (each of the brothers sold six shares to a third party</w:t>
      </w:r>
      <w:r w:rsidR="00A135CE">
        <w:rPr>
          <w:rFonts w:cs="Times New Roman"/>
          <w:sz w:val="24"/>
          <w:szCs w:val="24"/>
        </w:rPr>
        <w:t xml:space="preserve"> – employee Rosenberg – </w:t>
      </w:r>
      <w:r w:rsidRPr="008A0CCA">
        <w:rPr>
          <w:rFonts w:cs="Times New Roman"/>
          <w:sz w:val="24"/>
          <w:szCs w:val="24"/>
        </w:rPr>
        <w:t xml:space="preserve">that was subject to a buyback provision allowing each brother to reclaim their six shares). The brothers, in an effort to provide for their families if something were to happen to either brother, entered a shareholder agreement that would guarantee that their spouses would be elected to the board and also provided an annual payout to the spouses. After Benjamin’s death, Isadore and his son (D) </w:t>
      </w:r>
      <w:r w:rsidR="00B9085E">
        <w:rPr>
          <w:rFonts w:cs="Times New Roman"/>
          <w:sz w:val="24"/>
          <w:szCs w:val="24"/>
        </w:rPr>
        <w:t>refused to honor the agreement.</w:t>
      </w:r>
      <w:r w:rsidRPr="008A0CCA">
        <w:rPr>
          <w:rFonts w:cs="Times New Roman"/>
          <w:sz w:val="24"/>
          <w:szCs w:val="24"/>
        </w:rPr>
        <w:t xml:space="preserve"> P sued to review the agreement in order to enforce the provisions therein. D argued that the shareholder agreement was unenforceable because it violated state statutes that render invalid shareholder agreements that seek to control management decisions.</w:t>
      </w:r>
      <w:r w:rsidR="00B9085E">
        <w:rPr>
          <w:rFonts w:cs="Times New Roman"/>
          <w:sz w:val="24"/>
          <w:szCs w:val="24"/>
        </w:rPr>
        <w:t xml:space="preserve"> Court held agreement valid citing</w:t>
      </w:r>
      <w:r w:rsidR="00B9085E" w:rsidRPr="00B9085E">
        <w:rPr>
          <w:rFonts w:cs="Times New Roman"/>
          <w:sz w:val="24"/>
          <w:szCs w:val="24"/>
        </w:rPr>
        <w:t xml:space="preserve"> a number of prior cases, including </w:t>
      </w:r>
      <w:r w:rsidR="00B9085E" w:rsidRPr="00B9085E">
        <w:rPr>
          <w:rFonts w:cs="Times New Roman"/>
          <w:i/>
          <w:sz w:val="24"/>
          <w:szCs w:val="24"/>
        </w:rPr>
        <w:t>Dodge v. Clark</w:t>
      </w:r>
      <w:r w:rsidR="00B9085E" w:rsidRPr="00B9085E">
        <w:rPr>
          <w:rFonts w:cs="Times New Roman"/>
          <w:sz w:val="24"/>
          <w:szCs w:val="24"/>
        </w:rPr>
        <w:t>, to support the premise that because this agreement did not harm the public and was fair to the parties of the agreement, there is no offense to any public policy concerns.</w:t>
      </w:r>
    </w:p>
    <w:p w14:paraId="4E3A8A67" w14:textId="7434CAA8" w:rsidR="00060D45" w:rsidRDefault="008A0CCA" w:rsidP="007267BF">
      <w:pPr>
        <w:pStyle w:val="ListParagraph"/>
        <w:numPr>
          <w:ilvl w:val="3"/>
          <w:numId w:val="21"/>
        </w:numPr>
        <w:rPr>
          <w:rFonts w:cs="Times New Roman"/>
          <w:sz w:val="24"/>
          <w:szCs w:val="24"/>
        </w:rPr>
      </w:pPr>
      <w:r>
        <w:rPr>
          <w:rFonts w:cs="Times New Roman"/>
          <w:sz w:val="24"/>
          <w:szCs w:val="24"/>
        </w:rPr>
        <w:t>Tool:</w:t>
      </w:r>
      <w:r w:rsidR="00BE6AD3">
        <w:rPr>
          <w:rFonts w:cs="Times New Roman"/>
          <w:sz w:val="24"/>
          <w:szCs w:val="24"/>
        </w:rPr>
        <w:t xml:space="preserve"> </w:t>
      </w:r>
    </w:p>
    <w:p w14:paraId="44307070" w14:textId="3505E7D4" w:rsidR="00060D45" w:rsidRDefault="00060D45" w:rsidP="007267BF">
      <w:pPr>
        <w:pStyle w:val="ListParagraph"/>
        <w:numPr>
          <w:ilvl w:val="4"/>
          <w:numId w:val="21"/>
        </w:numPr>
        <w:rPr>
          <w:rFonts w:cs="Times New Roman"/>
          <w:sz w:val="24"/>
          <w:szCs w:val="24"/>
        </w:rPr>
      </w:pPr>
      <w:r>
        <w:rPr>
          <w:rFonts w:cs="Times New Roman"/>
          <w:sz w:val="24"/>
          <w:szCs w:val="24"/>
        </w:rPr>
        <w:t>“Where, as…here, no injury to a minority interest appears, no fraud or apparent injury to the public or creditors is present, and no clearly prohibitory statutory language is violated, we can see no valid reason for precluding the parties from reaching any arrangements concerning the management of the corporation which are agreeable to all.”</w:t>
      </w:r>
    </w:p>
    <w:p w14:paraId="4C64F5CD" w14:textId="74AC6124" w:rsidR="00B9085E" w:rsidRPr="00060D45" w:rsidRDefault="00B9085E" w:rsidP="007267BF">
      <w:pPr>
        <w:pStyle w:val="ListParagraph"/>
        <w:numPr>
          <w:ilvl w:val="4"/>
          <w:numId w:val="21"/>
        </w:numPr>
        <w:rPr>
          <w:rFonts w:cs="Times New Roman"/>
          <w:sz w:val="24"/>
          <w:szCs w:val="24"/>
        </w:rPr>
      </w:pPr>
      <w:r w:rsidRPr="00060D45">
        <w:rPr>
          <w:rFonts w:cs="Times New Roman"/>
          <w:sz w:val="24"/>
          <w:szCs w:val="24"/>
        </w:rPr>
        <w:lastRenderedPageBreak/>
        <w:t xml:space="preserve">By the logic of </w:t>
      </w:r>
      <w:proofErr w:type="spellStart"/>
      <w:r w:rsidRPr="00916D22">
        <w:rPr>
          <w:rFonts w:cs="Times New Roman"/>
          <w:i/>
          <w:sz w:val="24"/>
          <w:szCs w:val="24"/>
        </w:rPr>
        <w:t>McQuade</w:t>
      </w:r>
      <w:proofErr w:type="spellEnd"/>
      <w:r w:rsidRPr="00060D45">
        <w:rPr>
          <w:rFonts w:cs="Times New Roman"/>
          <w:sz w:val="24"/>
          <w:szCs w:val="24"/>
        </w:rPr>
        <w:t>, the agreement was void. It was a non</w:t>
      </w:r>
      <w:r w:rsidR="00060D45">
        <w:rPr>
          <w:rFonts w:cs="Times New Roman"/>
          <w:sz w:val="24"/>
          <w:szCs w:val="24"/>
        </w:rPr>
        <w:t>-</w:t>
      </w:r>
      <w:r w:rsidRPr="00060D45">
        <w:rPr>
          <w:rFonts w:cs="Times New Roman"/>
          <w:sz w:val="24"/>
          <w:szCs w:val="24"/>
        </w:rPr>
        <w:t xml:space="preserve">unanimous agreement </w:t>
      </w:r>
      <w:r w:rsidR="00A135CE">
        <w:rPr>
          <w:rFonts w:cs="Times New Roman"/>
          <w:sz w:val="24"/>
          <w:szCs w:val="24"/>
        </w:rPr>
        <w:t xml:space="preserve">(there was a minority shareholder) </w:t>
      </w:r>
      <w:r w:rsidRPr="00060D45">
        <w:rPr>
          <w:rFonts w:cs="Times New Roman"/>
          <w:sz w:val="24"/>
          <w:szCs w:val="24"/>
        </w:rPr>
        <w:t>among shareholders that bound what they cou</w:t>
      </w:r>
      <w:r w:rsidR="00060D45" w:rsidRPr="00060D45">
        <w:rPr>
          <w:rFonts w:cs="Times New Roman"/>
          <w:sz w:val="24"/>
          <w:szCs w:val="24"/>
        </w:rPr>
        <w:t>l</w:t>
      </w:r>
      <w:r w:rsidRPr="00060D45">
        <w:rPr>
          <w:rFonts w:cs="Times New Roman"/>
          <w:sz w:val="24"/>
          <w:szCs w:val="24"/>
        </w:rPr>
        <w:t xml:space="preserve">d do as directors. By the logic of </w:t>
      </w:r>
      <w:r w:rsidRPr="00916D22">
        <w:rPr>
          <w:rFonts w:cs="Times New Roman"/>
          <w:i/>
          <w:sz w:val="24"/>
          <w:szCs w:val="24"/>
        </w:rPr>
        <w:t>Clark</w:t>
      </w:r>
      <w:r w:rsidRPr="00060D45">
        <w:rPr>
          <w:rFonts w:cs="Times New Roman"/>
          <w:sz w:val="24"/>
          <w:szCs w:val="24"/>
        </w:rPr>
        <w:t>, the agreements would have been valid if the two brothers had held a</w:t>
      </w:r>
      <w:r w:rsidR="00060D45" w:rsidRPr="00060D45">
        <w:rPr>
          <w:rFonts w:cs="Times New Roman"/>
          <w:sz w:val="24"/>
          <w:szCs w:val="24"/>
        </w:rPr>
        <w:t>l</w:t>
      </w:r>
      <w:r w:rsidRPr="00060D45">
        <w:rPr>
          <w:rFonts w:cs="Times New Roman"/>
          <w:sz w:val="24"/>
          <w:szCs w:val="24"/>
        </w:rPr>
        <w:t xml:space="preserve">l the stock. The question was whether Rosenberg’s 12 shares moved the case from Clark to </w:t>
      </w:r>
      <w:proofErr w:type="spellStart"/>
      <w:r w:rsidRPr="00060D45">
        <w:rPr>
          <w:rFonts w:cs="Times New Roman"/>
          <w:sz w:val="24"/>
          <w:szCs w:val="24"/>
        </w:rPr>
        <w:t>McQuade</w:t>
      </w:r>
      <w:proofErr w:type="spellEnd"/>
      <w:r w:rsidRPr="00060D45">
        <w:rPr>
          <w:rFonts w:cs="Times New Roman"/>
          <w:sz w:val="24"/>
          <w:szCs w:val="24"/>
        </w:rPr>
        <w:t>. On the ground that Rosenberg did not complain about the agreement, the court applied Clark and enforced the promise.</w:t>
      </w:r>
    </w:p>
    <w:p w14:paraId="527AFD4C" w14:textId="77777777" w:rsidR="00916D22" w:rsidRPr="00916D22" w:rsidRDefault="00916D22" w:rsidP="007267BF">
      <w:pPr>
        <w:pStyle w:val="ListParagraph"/>
        <w:numPr>
          <w:ilvl w:val="2"/>
          <w:numId w:val="21"/>
        </w:numPr>
        <w:rPr>
          <w:rFonts w:cs="Times New Roman"/>
          <w:b/>
          <w:i/>
          <w:sz w:val="24"/>
          <w:szCs w:val="24"/>
        </w:rPr>
      </w:pPr>
      <w:r w:rsidRPr="00916D22">
        <w:rPr>
          <w:rFonts w:cs="Times New Roman"/>
          <w:b/>
          <w:i/>
          <w:sz w:val="24"/>
          <w:szCs w:val="24"/>
        </w:rPr>
        <w:t>Ramos v. Estrada (Cal. App. 1992)</w:t>
      </w:r>
    </w:p>
    <w:p w14:paraId="7806D801" w14:textId="5AD52941" w:rsidR="00344D14" w:rsidRPr="00916D22" w:rsidRDefault="00344D14" w:rsidP="007267BF">
      <w:pPr>
        <w:pStyle w:val="ListParagraph"/>
        <w:numPr>
          <w:ilvl w:val="3"/>
          <w:numId w:val="21"/>
        </w:numPr>
        <w:rPr>
          <w:rFonts w:cs="Times New Roman"/>
          <w:sz w:val="24"/>
          <w:szCs w:val="24"/>
        </w:rPr>
      </w:pPr>
      <w:r w:rsidRPr="00916D22">
        <w:rPr>
          <w:rFonts w:cs="Times New Roman"/>
          <w:sz w:val="24"/>
          <w:szCs w:val="24"/>
        </w:rPr>
        <w:t>Synopsis:</w:t>
      </w:r>
      <w:r w:rsidR="00307E8F" w:rsidRPr="00916D22">
        <w:rPr>
          <w:rFonts w:cs="Times New Roman"/>
          <w:sz w:val="24"/>
          <w:szCs w:val="24"/>
        </w:rPr>
        <w:t xml:space="preserve"> Ramos (P) owned 50% of the shares of Broadcast Corporation, a company formed by Ramos to start a Spanish-speaking television station in Ventura, CA. The other shares were distributed to five other couples. Broadcast Corp. merged with another company, Ventura 41 Television Associates, to form </w:t>
      </w:r>
      <w:proofErr w:type="spellStart"/>
      <w:r w:rsidR="00307E8F" w:rsidRPr="00916D22">
        <w:rPr>
          <w:rFonts w:cs="Times New Roman"/>
          <w:sz w:val="24"/>
          <w:szCs w:val="24"/>
        </w:rPr>
        <w:t>Coasta</w:t>
      </w:r>
      <w:proofErr w:type="spellEnd"/>
      <w:r w:rsidR="00307E8F" w:rsidRPr="00916D22">
        <w:rPr>
          <w:rFonts w:cs="Times New Roman"/>
          <w:sz w:val="24"/>
          <w:szCs w:val="24"/>
        </w:rPr>
        <w:t xml:space="preserve"> </w:t>
      </w:r>
      <w:proofErr w:type="gramStart"/>
      <w:r w:rsidR="00307E8F" w:rsidRPr="00916D22">
        <w:rPr>
          <w:rFonts w:cs="Times New Roman"/>
          <w:sz w:val="24"/>
          <w:szCs w:val="24"/>
        </w:rPr>
        <w:t>del Oro Television, Inc.</w:t>
      </w:r>
      <w:proofErr w:type="gramEnd"/>
      <w:r w:rsidR="00307E8F" w:rsidRPr="00916D22">
        <w:rPr>
          <w:rFonts w:cs="Times New Roman"/>
          <w:sz w:val="24"/>
          <w:szCs w:val="24"/>
        </w:rPr>
        <w:t xml:space="preserve"> The Ventura 41 group would receive 5,000 shares, and the Broadcast Corp. group would initially receive 5,000 shares with another two shares after six months of operation. This allowed for each side to pick four directors and for Broadcast Corp. to elect a fifth director once the board expanded to nine directors</w:t>
      </w:r>
      <w:r w:rsidR="00307E8F" w:rsidRPr="007267BF">
        <w:rPr>
          <w:rFonts w:cs="Times New Roman"/>
          <w:sz w:val="24"/>
          <w:szCs w:val="24"/>
          <w:u w:val="single"/>
        </w:rPr>
        <w:t>. Each member of the Broadcast group entered into a shareholder agreement that required everyone to vote according to the will of the majority, thereby assuring that the group would maintain a director majority. If a member of the group did not vote according to the majority, then they were required to offer their shares for sale to the other members.</w:t>
      </w:r>
      <w:r w:rsidR="00307E8F" w:rsidRPr="00916D22">
        <w:rPr>
          <w:rFonts w:cs="Times New Roman"/>
          <w:sz w:val="24"/>
          <w:szCs w:val="24"/>
        </w:rPr>
        <w:t xml:space="preserve"> After the merger, Angel Estrada et al. (D) chose to vote with the Ventura 41 group and against the will of the majority of the Broadcast Corp. group, declaring that the agreement was invalid. Ps then attempted to enforce the share buyback clause. The trial court upheld the agreement and ordered the sale of Ds’ shares back to the members of the Broadcast Corp. group. The Cal. App. Court held the agreement was valid despite the fact that the corporation at issue was not a close corporation. California close corporation laws allow for such a shareholder’s voting agreement.</w:t>
      </w:r>
    </w:p>
    <w:p w14:paraId="299542B5" w14:textId="6084A026" w:rsidR="000F5468" w:rsidRDefault="00344D14" w:rsidP="007267BF">
      <w:pPr>
        <w:pStyle w:val="ListParagraph"/>
        <w:numPr>
          <w:ilvl w:val="3"/>
          <w:numId w:val="21"/>
        </w:numPr>
        <w:rPr>
          <w:rFonts w:cs="Times New Roman"/>
          <w:sz w:val="24"/>
          <w:szCs w:val="24"/>
        </w:rPr>
      </w:pPr>
      <w:r>
        <w:rPr>
          <w:rFonts w:cs="Times New Roman"/>
          <w:sz w:val="24"/>
          <w:szCs w:val="24"/>
        </w:rPr>
        <w:t>Tool:</w:t>
      </w:r>
      <w:r w:rsidR="00307E8F">
        <w:rPr>
          <w:rFonts w:cs="Times New Roman"/>
          <w:sz w:val="24"/>
          <w:szCs w:val="24"/>
        </w:rPr>
        <w:t xml:space="preserve"> </w:t>
      </w:r>
      <w:r w:rsidR="000F5468" w:rsidRPr="000F5468">
        <w:rPr>
          <w:rFonts w:cs="Times New Roman"/>
          <w:sz w:val="24"/>
          <w:szCs w:val="24"/>
        </w:rPr>
        <w:t xml:space="preserve">Shareholder agreements, whether or not it is a close corporation, that require shareholders to vote according to the will of the majority </w:t>
      </w:r>
      <w:r w:rsidR="000F5468">
        <w:rPr>
          <w:rFonts w:cs="Times New Roman"/>
          <w:sz w:val="24"/>
          <w:szCs w:val="24"/>
        </w:rPr>
        <w:t xml:space="preserve">(“pooling agreements”) </w:t>
      </w:r>
      <w:r w:rsidR="000F5468" w:rsidRPr="000F5468">
        <w:rPr>
          <w:rFonts w:cs="Times New Roman"/>
          <w:sz w:val="24"/>
          <w:szCs w:val="24"/>
        </w:rPr>
        <w:t>are valid.</w:t>
      </w:r>
      <w:r w:rsidR="000F5468">
        <w:rPr>
          <w:rFonts w:cs="Times New Roman"/>
          <w:sz w:val="24"/>
          <w:szCs w:val="24"/>
        </w:rPr>
        <w:t xml:space="preserve"> </w:t>
      </w:r>
      <w:r w:rsidR="000F5468" w:rsidRPr="000F5468">
        <w:rPr>
          <w:rFonts w:cs="Times New Roman"/>
          <w:sz w:val="24"/>
          <w:szCs w:val="24"/>
        </w:rPr>
        <w:t xml:space="preserve">California close corporation laws </w:t>
      </w:r>
      <w:r w:rsidR="0070652C">
        <w:rPr>
          <w:rFonts w:cs="Times New Roman"/>
          <w:sz w:val="24"/>
          <w:szCs w:val="24"/>
        </w:rPr>
        <w:t xml:space="preserve">(Section 706) </w:t>
      </w:r>
      <w:r w:rsidR="000F5468" w:rsidRPr="000F5468">
        <w:rPr>
          <w:rFonts w:cs="Times New Roman"/>
          <w:sz w:val="24"/>
          <w:szCs w:val="24"/>
        </w:rPr>
        <w:t>allow for such a shareholder’s voting agreement</w:t>
      </w:r>
      <w:r w:rsidR="00C63035">
        <w:rPr>
          <w:rFonts w:cs="Times New Roman"/>
          <w:sz w:val="24"/>
          <w:szCs w:val="24"/>
        </w:rPr>
        <w:t xml:space="preserve"> (use 706 even though at the time it didn’t apply since corporation was not a close corporation)</w:t>
      </w:r>
      <w:r w:rsidR="000F5468" w:rsidRPr="000F5468">
        <w:rPr>
          <w:rFonts w:cs="Times New Roman"/>
          <w:sz w:val="24"/>
          <w:szCs w:val="24"/>
        </w:rPr>
        <w:t>. The legislative comments concerning the California statute governing close corporations, Section 706, indicate that legislators did not intend the law to invalidate pooling agreements in instances where they were not close corporations.</w:t>
      </w:r>
    </w:p>
    <w:p w14:paraId="3CCBD924" w14:textId="01A3297C" w:rsidR="000F5468" w:rsidRDefault="000F5468" w:rsidP="007267BF">
      <w:pPr>
        <w:pStyle w:val="ListParagraph"/>
        <w:numPr>
          <w:ilvl w:val="3"/>
          <w:numId w:val="21"/>
        </w:numPr>
        <w:rPr>
          <w:rFonts w:cs="Times New Roman"/>
          <w:sz w:val="24"/>
          <w:szCs w:val="24"/>
        </w:rPr>
      </w:pPr>
      <w:r>
        <w:rPr>
          <w:rFonts w:cs="Times New Roman"/>
          <w:sz w:val="24"/>
          <w:szCs w:val="24"/>
        </w:rPr>
        <w:t>Discussion: The Broadcast members made no agreement about whom they would elect president</w:t>
      </w:r>
      <w:r w:rsidR="00EB6D34">
        <w:rPr>
          <w:rFonts w:cs="Times New Roman"/>
          <w:sz w:val="24"/>
          <w:szCs w:val="24"/>
        </w:rPr>
        <w:t xml:space="preserve"> or as other officers</w:t>
      </w:r>
      <w:r w:rsidR="00C63035">
        <w:rPr>
          <w:rFonts w:cs="Times New Roman"/>
          <w:sz w:val="24"/>
          <w:szCs w:val="24"/>
        </w:rPr>
        <w:t xml:space="preserve"> (generally did not touch what you would do once you become member of the board, director)</w:t>
      </w:r>
      <w:r>
        <w:rPr>
          <w:rFonts w:cs="Times New Roman"/>
          <w:sz w:val="24"/>
          <w:szCs w:val="24"/>
        </w:rPr>
        <w:t xml:space="preserve">. Neither could they legally have done so. To include such an agreement would have been to constrain what they each could do as director, and by </w:t>
      </w:r>
      <w:proofErr w:type="spellStart"/>
      <w:r>
        <w:rPr>
          <w:rFonts w:cs="Times New Roman"/>
          <w:sz w:val="24"/>
          <w:szCs w:val="24"/>
        </w:rPr>
        <w:t>McQuade</w:t>
      </w:r>
      <w:proofErr w:type="spellEnd"/>
      <w:r>
        <w:rPr>
          <w:rFonts w:cs="Times New Roman"/>
          <w:sz w:val="24"/>
          <w:szCs w:val="24"/>
        </w:rPr>
        <w:t xml:space="preserve">, Clark, </w:t>
      </w:r>
      <w:proofErr w:type="spellStart"/>
      <w:r>
        <w:rPr>
          <w:rFonts w:cs="Times New Roman"/>
          <w:sz w:val="24"/>
          <w:szCs w:val="24"/>
        </w:rPr>
        <w:t>Galler</w:t>
      </w:r>
      <w:proofErr w:type="spellEnd"/>
      <w:r>
        <w:rPr>
          <w:rFonts w:cs="Times New Roman"/>
          <w:sz w:val="24"/>
          <w:szCs w:val="24"/>
        </w:rPr>
        <w:t xml:space="preserve">, such an agreement was valid only if </w:t>
      </w:r>
      <w:r w:rsidR="00916D22">
        <w:rPr>
          <w:rFonts w:cs="Times New Roman"/>
          <w:sz w:val="24"/>
          <w:szCs w:val="24"/>
        </w:rPr>
        <w:t xml:space="preserve">practically </w:t>
      </w:r>
      <w:r>
        <w:rPr>
          <w:rFonts w:cs="Times New Roman"/>
          <w:sz w:val="24"/>
          <w:szCs w:val="24"/>
        </w:rPr>
        <w:t xml:space="preserve">unanimous. The Broadcast members owned only half of the Television shares. Instead, Estrada violated the stockholders’ agreement when she repudiated it. She had repudiated it because the others had dropped her from their slate. And they had dropped her from the slate because she had voted to fire Ramos. By so doing, she </w:t>
      </w:r>
      <w:r w:rsidR="00EB6D34">
        <w:rPr>
          <w:rFonts w:cs="Times New Roman"/>
          <w:sz w:val="24"/>
          <w:szCs w:val="24"/>
        </w:rPr>
        <w:t>forfeited</w:t>
      </w:r>
      <w:r>
        <w:rPr>
          <w:rFonts w:cs="Times New Roman"/>
          <w:sz w:val="24"/>
          <w:szCs w:val="24"/>
        </w:rPr>
        <w:t xml:space="preserve"> her stock. In short, the Ramos block used a formally valid shareholder agreement </w:t>
      </w:r>
      <w:r w:rsidR="00C63035">
        <w:rPr>
          <w:rFonts w:cs="Times New Roman"/>
          <w:sz w:val="24"/>
          <w:szCs w:val="24"/>
        </w:rPr>
        <w:t xml:space="preserve">(penalty clause in pooling agreement) </w:t>
      </w:r>
      <w:r>
        <w:rPr>
          <w:rFonts w:cs="Times New Roman"/>
          <w:sz w:val="24"/>
          <w:szCs w:val="24"/>
        </w:rPr>
        <w:t xml:space="preserve">to accomplish indirectly something it could not legally do directly. </w:t>
      </w:r>
    </w:p>
    <w:p w14:paraId="57814371" w14:textId="08521778" w:rsidR="00585C8E" w:rsidRDefault="00585C8E" w:rsidP="007267BF">
      <w:pPr>
        <w:pStyle w:val="Heading3"/>
        <w:numPr>
          <w:ilvl w:val="1"/>
          <w:numId w:val="21"/>
        </w:numPr>
      </w:pPr>
      <w:r w:rsidRPr="000F5468">
        <w:t>Close Corporation Statutes</w:t>
      </w:r>
    </w:p>
    <w:p w14:paraId="654B3FD3" w14:textId="4AC6E870" w:rsidR="0070652C" w:rsidRDefault="0070652C" w:rsidP="007267BF">
      <w:pPr>
        <w:pStyle w:val="ListParagraph"/>
        <w:numPr>
          <w:ilvl w:val="2"/>
          <w:numId w:val="21"/>
        </w:numPr>
        <w:rPr>
          <w:rFonts w:cs="Times New Roman"/>
          <w:sz w:val="24"/>
          <w:szCs w:val="24"/>
        </w:rPr>
      </w:pPr>
      <w:r>
        <w:rPr>
          <w:rFonts w:cs="Times New Roman"/>
          <w:sz w:val="24"/>
          <w:szCs w:val="24"/>
        </w:rPr>
        <w:t>In the real world, people wi</w:t>
      </w:r>
      <w:r w:rsidR="00C63035">
        <w:rPr>
          <w:rFonts w:cs="Times New Roman"/>
          <w:sz w:val="24"/>
          <w:szCs w:val="24"/>
        </w:rPr>
        <w:t>ll not buy stock in a new corpo</w:t>
      </w:r>
      <w:r>
        <w:rPr>
          <w:rFonts w:cs="Times New Roman"/>
          <w:sz w:val="24"/>
          <w:szCs w:val="24"/>
        </w:rPr>
        <w:t xml:space="preserve">ration unless they know who will run it and what they will make. </w:t>
      </w:r>
    </w:p>
    <w:p w14:paraId="12DC73EC" w14:textId="188C7878" w:rsidR="0070652C" w:rsidRDefault="00C63035" w:rsidP="007267BF">
      <w:pPr>
        <w:pStyle w:val="ListParagraph"/>
        <w:numPr>
          <w:ilvl w:val="2"/>
          <w:numId w:val="21"/>
        </w:numPr>
        <w:rPr>
          <w:rFonts w:cs="Times New Roman"/>
          <w:sz w:val="24"/>
          <w:szCs w:val="24"/>
        </w:rPr>
      </w:pPr>
      <w:r>
        <w:rPr>
          <w:rFonts w:cs="Times New Roman"/>
          <w:sz w:val="24"/>
          <w:szCs w:val="24"/>
        </w:rPr>
        <w:t>For the most part, s</w:t>
      </w:r>
      <w:r w:rsidR="0070652C">
        <w:rPr>
          <w:rFonts w:cs="Times New Roman"/>
          <w:sz w:val="24"/>
          <w:szCs w:val="24"/>
        </w:rPr>
        <w:t>t</w:t>
      </w:r>
      <w:r>
        <w:rPr>
          <w:rFonts w:cs="Times New Roman"/>
          <w:sz w:val="24"/>
          <w:szCs w:val="24"/>
        </w:rPr>
        <w:t>at</w:t>
      </w:r>
      <w:r w:rsidR="0070652C">
        <w:rPr>
          <w:rFonts w:cs="Times New Roman"/>
          <w:sz w:val="24"/>
          <w:szCs w:val="24"/>
        </w:rPr>
        <w:t xml:space="preserve">es provide statutes that codify the outcome of </w:t>
      </w:r>
      <w:proofErr w:type="spellStart"/>
      <w:r w:rsidR="0070652C" w:rsidRPr="007267BF">
        <w:rPr>
          <w:rFonts w:cs="Times New Roman"/>
          <w:i/>
          <w:sz w:val="24"/>
          <w:szCs w:val="24"/>
        </w:rPr>
        <w:t>McQuade</w:t>
      </w:r>
      <w:proofErr w:type="spellEnd"/>
      <w:r w:rsidR="0070652C">
        <w:rPr>
          <w:rFonts w:cs="Times New Roman"/>
          <w:sz w:val="24"/>
          <w:szCs w:val="24"/>
        </w:rPr>
        <w:t xml:space="preserve"> and </w:t>
      </w:r>
      <w:r w:rsidR="0070652C" w:rsidRPr="007267BF">
        <w:rPr>
          <w:rFonts w:cs="Times New Roman"/>
          <w:i/>
          <w:sz w:val="24"/>
          <w:szCs w:val="24"/>
        </w:rPr>
        <w:t>Clark</w:t>
      </w:r>
      <w:r w:rsidR="0070652C">
        <w:rPr>
          <w:rFonts w:cs="Times New Roman"/>
          <w:sz w:val="24"/>
          <w:szCs w:val="24"/>
        </w:rPr>
        <w:t>.</w:t>
      </w:r>
    </w:p>
    <w:p w14:paraId="1321232F" w14:textId="595A98D1" w:rsidR="0070652C" w:rsidRDefault="0070652C" w:rsidP="007267BF">
      <w:pPr>
        <w:pStyle w:val="ListParagraph"/>
        <w:numPr>
          <w:ilvl w:val="2"/>
          <w:numId w:val="21"/>
        </w:numPr>
        <w:rPr>
          <w:rFonts w:cs="Times New Roman"/>
          <w:sz w:val="24"/>
          <w:szCs w:val="24"/>
        </w:rPr>
      </w:pPr>
      <w:r>
        <w:rPr>
          <w:rFonts w:cs="Times New Roman"/>
          <w:sz w:val="24"/>
          <w:szCs w:val="24"/>
        </w:rPr>
        <w:t>California Example</w:t>
      </w:r>
    </w:p>
    <w:p w14:paraId="5E395ABB" w14:textId="357FE1E3" w:rsidR="0070652C" w:rsidRDefault="0070652C" w:rsidP="007267BF">
      <w:pPr>
        <w:pStyle w:val="ListParagraph"/>
        <w:numPr>
          <w:ilvl w:val="3"/>
          <w:numId w:val="21"/>
        </w:numPr>
        <w:rPr>
          <w:rFonts w:cs="Times New Roman"/>
          <w:sz w:val="24"/>
          <w:szCs w:val="24"/>
        </w:rPr>
      </w:pPr>
      <w:r>
        <w:rPr>
          <w:rFonts w:cs="Times New Roman"/>
          <w:sz w:val="24"/>
          <w:szCs w:val="24"/>
        </w:rPr>
        <w:t>Cal. Corp. Code 300(a) – entrusts management to the board</w:t>
      </w:r>
    </w:p>
    <w:p w14:paraId="3EFAC5B7" w14:textId="3D436F7F" w:rsidR="0070652C" w:rsidRDefault="0070652C" w:rsidP="007267BF">
      <w:pPr>
        <w:pStyle w:val="ListParagraph"/>
        <w:numPr>
          <w:ilvl w:val="3"/>
          <w:numId w:val="21"/>
        </w:numPr>
        <w:rPr>
          <w:rFonts w:cs="Times New Roman"/>
          <w:sz w:val="24"/>
          <w:szCs w:val="24"/>
        </w:rPr>
      </w:pPr>
      <w:r>
        <w:rPr>
          <w:rFonts w:cs="Times New Roman"/>
          <w:sz w:val="24"/>
          <w:szCs w:val="24"/>
        </w:rPr>
        <w:t xml:space="preserve">Cal. Corp. Code 706(a) – lets shareholders agree among themselves about how they will vote their shares. At the time of </w:t>
      </w:r>
      <w:r w:rsidRPr="007267BF">
        <w:rPr>
          <w:rFonts w:cs="Times New Roman"/>
          <w:i/>
          <w:sz w:val="24"/>
          <w:szCs w:val="24"/>
        </w:rPr>
        <w:t>Ramos</w:t>
      </w:r>
      <w:r>
        <w:rPr>
          <w:rFonts w:cs="Times New Roman"/>
          <w:sz w:val="24"/>
          <w:szCs w:val="24"/>
        </w:rPr>
        <w:t>, this section applied only to statutory close corporations, but today it applies to any firm.</w:t>
      </w:r>
    </w:p>
    <w:p w14:paraId="0129D7AB" w14:textId="4C82BC97" w:rsidR="0070652C" w:rsidRDefault="0070652C" w:rsidP="007267BF">
      <w:pPr>
        <w:pStyle w:val="ListParagraph"/>
        <w:numPr>
          <w:ilvl w:val="3"/>
          <w:numId w:val="21"/>
        </w:numPr>
        <w:rPr>
          <w:rFonts w:cs="Times New Roman"/>
          <w:sz w:val="24"/>
          <w:szCs w:val="24"/>
        </w:rPr>
      </w:pPr>
      <w:r>
        <w:rPr>
          <w:rFonts w:cs="Times New Roman"/>
          <w:sz w:val="24"/>
          <w:szCs w:val="24"/>
        </w:rPr>
        <w:lastRenderedPageBreak/>
        <w:t xml:space="preserve">Cal. Corp. Code 300(b) – “[N]o </w:t>
      </w:r>
      <w:r w:rsidRPr="0070652C">
        <w:rPr>
          <w:rFonts w:cs="Times New Roman"/>
          <w:sz w:val="24"/>
          <w:szCs w:val="24"/>
          <w:u w:val="single"/>
        </w:rPr>
        <w:t>shareholders’ agreement</w:t>
      </w:r>
      <w:r>
        <w:rPr>
          <w:rFonts w:cs="Times New Roman"/>
          <w:sz w:val="24"/>
          <w:szCs w:val="24"/>
        </w:rPr>
        <w:t xml:space="preserve">, which relates to any phase of the affairs of a </w:t>
      </w:r>
      <w:r w:rsidRPr="0070652C">
        <w:rPr>
          <w:rFonts w:cs="Times New Roman"/>
          <w:sz w:val="24"/>
          <w:szCs w:val="24"/>
          <w:u w:val="single"/>
        </w:rPr>
        <w:t>close corporation</w:t>
      </w:r>
      <w:r>
        <w:rPr>
          <w:rFonts w:cs="Times New Roman"/>
          <w:sz w:val="24"/>
          <w:szCs w:val="24"/>
        </w:rPr>
        <w:t xml:space="preserve">…shall be invalid as between the parties thereto on the ground that it so relates to the conduct of the affairs of the corporation as to interfere with the discretion of the board…” </w:t>
      </w:r>
    </w:p>
    <w:p w14:paraId="63B4BAD7" w14:textId="690CC435" w:rsidR="0070652C" w:rsidRDefault="0070652C" w:rsidP="007267BF">
      <w:pPr>
        <w:pStyle w:val="ListParagraph"/>
        <w:numPr>
          <w:ilvl w:val="4"/>
          <w:numId w:val="21"/>
        </w:numPr>
        <w:rPr>
          <w:rFonts w:cs="Times New Roman"/>
          <w:sz w:val="24"/>
          <w:szCs w:val="24"/>
        </w:rPr>
      </w:pPr>
      <w:r>
        <w:rPr>
          <w:rFonts w:cs="Times New Roman"/>
          <w:sz w:val="24"/>
          <w:szCs w:val="24"/>
        </w:rPr>
        <w:t xml:space="preserve">Cal. Corp. Code 158 – close corporation must have no more than 35 shareholders and must elect to be treated as a statutory close corporation. </w:t>
      </w:r>
    </w:p>
    <w:p w14:paraId="4E89BD07" w14:textId="4461C023" w:rsidR="0070652C" w:rsidRDefault="0070652C" w:rsidP="007267BF">
      <w:pPr>
        <w:pStyle w:val="ListParagraph"/>
        <w:numPr>
          <w:ilvl w:val="4"/>
          <w:numId w:val="21"/>
        </w:numPr>
        <w:rPr>
          <w:rFonts w:cs="Times New Roman"/>
          <w:sz w:val="24"/>
          <w:szCs w:val="24"/>
        </w:rPr>
      </w:pPr>
      <w:r>
        <w:rPr>
          <w:rFonts w:cs="Times New Roman"/>
          <w:sz w:val="24"/>
          <w:szCs w:val="24"/>
        </w:rPr>
        <w:t xml:space="preserve">Cal. Corp. Code 186 – defines a shareholders’ agreement to include only </w:t>
      </w:r>
      <w:r w:rsidRPr="007267BF">
        <w:rPr>
          <w:rFonts w:cs="Times New Roman"/>
          <w:sz w:val="24"/>
          <w:szCs w:val="24"/>
          <w:u w:val="single"/>
        </w:rPr>
        <w:t>unanimous</w:t>
      </w:r>
      <w:r>
        <w:rPr>
          <w:rFonts w:cs="Times New Roman"/>
          <w:sz w:val="24"/>
          <w:szCs w:val="24"/>
        </w:rPr>
        <w:t xml:space="preserve"> deals among all shareholders of a close corporation. </w:t>
      </w:r>
    </w:p>
    <w:p w14:paraId="440D1169" w14:textId="7FE88FCF" w:rsidR="0070652C" w:rsidRPr="0070652C" w:rsidRDefault="0070652C" w:rsidP="007267BF">
      <w:pPr>
        <w:pStyle w:val="ListParagraph"/>
        <w:numPr>
          <w:ilvl w:val="4"/>
          <w:numId w:val="21"/>
        </w:numPr>
        <w:rPr>
          <w:rFonts w:cs="Times New Roman"/>
          <w:sz w:val="24"/>
          <w:szCs w:val="24"/>
        </w:rPr>
      </w:pPr>
      <w:r>
        <w:rPr>
          <w:rFonts w:cs="Times New Roman"/>
          <w:sz w:val="24"/>
          <w:szCs w:val="24"/>
        </w:rPr>
        <w:t xml:space="preserve">Cal. Corp. Code 301(d) – shareholders must take responsibility for the fiduciary duties that directors would otherwise owe. </w:t>
      </w:r>
    </w:p>
    <w:p w14:paraId="02010FDB" w14:textId="7F3791FD" w:rsidR="00585C8E" w:rsidRDefault="00BE6AD3" w:rsidP="007267BF">
      <w:pPr>
        <w:pStyle w:val="Heading2"/>
        <w:numPr>
          <w:ilvl w:val="0"/>
          <w:numId w:val="21"/>
        </w:numPr>
      </w:pPr>
      <w:r>
        <w:t>The Freeze Out</w:t>
      </w:r>
    </w:p>
    <w:p w14:paraId="0CB5BF50" w14:textId="21A114CE" w:rsidR="00BE6AD3" w:rsidRDefault="00BE6AD3" w:rsidP="007267BF">
      <w:pPr>
        <w:pStyle w:val="Heading3"/>
        <w:numPr>
          <w:ilvl w:val="1"/>
          <w:numId w:val="21"/>
        </w:numPr>
      </w:pPr>
      <w:r>
        <w:t>The Problem</w:t>
      </w:r>
    </w:p>
    <w:p w14:paraId="21E7576B" w14:textId="2E24B623" w:rsidR="00BE6AD3" w:rsidRDefault="00BE6AD3" w:rsidP="007267BF">
      <w:pPr>
        <w:pStyle w:val="ListParagraph"/>
        <w:numPr>
          <w:ilvl w:val="2"/>
          <w:numId w:val="21"/>
        </w:numPr>
        <w:rPr>
          <w:rFonts w:cs="Times New Roman"/>
          <w:sz w:val="24"/>
          <w:szCs w:val="24"/>
        </w:rPr>
      </w:pPr>
      <w:r>
        <w:rPr>
          <w:rFonts w:cs="Times New Roman"/>
          <w:sz w:val="24"/>
          <w:szCs w:val="24"/>
        </w:rPr>
        <w:t>Dividends and the Publicly Traded Firm</w:t>
      </w:r>
    </w:p>
    <w:p w14:paraId="46F53729" w14:textId="14A00B86" w:rsidR="00A970F5" w:rsidRDefault="00CE2A4A" w:rsidP="007267BF">
      <w:pPr>
        <w:pStyle w:val="ListParagraph"/>
        <w:numPr>
          <w:ilvl w:val="3"/>
          <w:numId w:val="21"/>
        </w:numPr>
        <w:rPr>
          <w:rFonts w:cs="Times New Roman"/>
          <w:sz w:val="24"/>
          <w:szCs w:val="24"/>
        </w:rPr>
      </w:pPr>
      <w:r>
        <w:rPr>
          <w:rFonts w:cs="Times New Roman"/>
          <w:sz w:val="24"/>
          <w:szCs w:val="24"/>
        </w:rPr>
        <w:t>Dividends</w:t>
      </w:r>
      <w:r w:rsidR="00A970F5">
        <w:rPr>
          <w:rFonts w:cs="Times New Roman"/>
          <w:sz w:val="24"/>
          <w:szCs w:val="24"/>
        </w:rPr>
        <w:t xml:space="preserve"> are taxed as firm income and then as dividends when paid out to shareholders. If retained at the firm, only taxed once as firm income.</w:t>
      </w:r>
    </w:p>
    <w:p w14:paraId="11A5E5A4" w14:textId="148CFC9D" w:rsidR="00A970F5" w:rsidRDefault="00A970F5" w:rsidP="007267BF">
      <w:pPr>
        <w:pStyle w:val="ListParagraph"/>
        <w:numPr>
          <w:ilvl w:val="3"/>
          <w:numId w:val="21"/>
        </w:numPr>
        <w:rPr>
          <w:rFonts w:cs="Times New Roman"/>
          <w:sz w:val="24"/>
          <w:szCs w:val="24"/>
        </w:rPr>
      </w:pPr>
      <w:r>
        <w:rPr>
          <w:rFonts w:cs="Times New Roman"/>
          <w:sz w:val="24"/>
          <w:szCs w:val="24"/>
        </w:rPr>
        <w:t>Investors will need eventually to cash out their investment, but eventually does not need to be soon. When it does come, they can sell their stock for the cash they want – and recover their earnings at the often-lower capital gains tax rate.</w:t>
      </w:r>
    </w:p>
    <w:p w14:paraId="0D05AF5A" w14:textId="3AC14D72" w:rsidR="00BE6AD3" w:rsidRDefault="00BE6AD3" w:rsidP="007267BF">
      <w:pPr>
        <w:pStyle w:val="ListParagraph"/>
        <w:numPr>
          <w:ilvl w:val="2"/>
          <w:numId w:val="21"/>
        </w:numPr>
        <w:rPr>
          <w:rFonts w:cs="Times New Roman"/>
          <w:sz w:val="24"/>
          <w:szCs w:val="24"/>
        </w:rPr>
      </w:pPr>
      <w:r>
        <w:rPr>
          <w:rFonts w:cs="Times New Roman"/>
          <w:sz w:val="24"/>
          <w:szCs w:val="24"/>
        </w:rPr>
        <w:t>Dividends and the Closely Held Firm</w:t>
      </w:r>
    </w:p>
    <w:p w14:paraId="7FC3C05D" w14:textId="50A82E51" w:rsidR="00A970F5" w:rsidRDefault="00A970F5" w:rsidP="007267BF">
      <w:pPr>
        <w:pStyle w:val="ListParagraph"/>
        <w:numPr>
          <w:ilvl w:val="3"/>
          <w:numId w:val="21"/>
        </w:numPr>
        <w:rPr>
          <w:rFonts w:cs="Times New Roman"/>
          <w:sz w:val="24"/>
          <w:szCs w:val="24"/>
        </w:rPr>
      </w:pPr>
      <w:r>
        <w:rPr>
          <w:rFonts w:cs="Times New Roman"/>
          <w:sz w:val="24"/>
          <w:szCs w:val="24"/>
        </w:rPr>
        <w:t xml:space="preserve">In a </w:t>
      </w:r>
      <w:r w:rsidRPr="00C77051">
        <w:rPr>
          <w:rFonts w:cs="Times New Roman"/>
          <w:sz w:val="24"/>
          <w:szCs w:val="24"/>
          <w:u w:val="single"/>
        </w:rPr>
        <w:t>closely held firm</w:t>
      </w:r>
      <w:r>
        <w:rPr>
          <w:rFonts w:cs="Times New Roman"/>
          <w:sz w:val="24"/>
          <w:szCs w:val="24"/>
        </w:rPr>
        <w:t xml:space="preserve">, it may be more difficult to find a willing buyer of stock, so shareholders may be more likely to want dividends. </w:t>
      </w:r>
    </w:p>
    <w:p w14:paraId="6AAB8207" w14:textId="7C05437B" w:rsidR="00A970F5" w:rsidRDefault="00A970F5" w:rsidP="007267BF">
      <w:pPr>
        <w:pStyle w:val="ListParagraph"/>
        <w:numPr>
          <w:ilvl w:val="3"/>
          <w:numId w:val="21"/>
        </w:numPr>
        <w:rPr>
          <w:rFonts w:cs="Times New Roman"/>
          <w:sz w:val="24"/>
          <w:szCs w:val="24"/>
        </w:rPr>
      </w:pPr>
      <w:r>
        <w:rPr>
          <w:rFonts w:cs="Times New Roman"/>
          <w:sz w:val="24"/>
          <w:szCs w:val="24"/>
        </w:rPr>
        <w:t xml:space="preserve">Shareholders that work for the firm as employees can regularly liquidate parts of their investment without declaring dividends. Instead, they can simply pay themselves salaries and can pay themselves more than their services are worth. In essence they are paying themselves a market salary plus a dividend (disguised as a salary). Firms can properly deduct salaries as corporate income. They cannot deduct dividends. Thus, by disguising dividends as salary, firms can obtain a tax deduction to which they would not otherwise be entitled. </w:t>
      </w:r>
    </w:p>
    <w:p w14:paraId="516C1728" w14:textId="2C0E4FDF" w:rsidR="00BE6AD3" w:rsidRDefault="00BE6AD3" w:rsidP="007267BF">
      <w:pPr>
        <w:pStyle w:val="Heading3"/>
        <w:numPr>
          <w:ilvl w:val="1"/>
          <w:numId w:val="21"/>
        </w:numPr>
      </w:pPr>
      <w:r>
        <w:t xml:space="preserve">Massachusetts </w:t>
      </w:r>
    </w:p>
    <w:p w14:paraId="4AC4FE8C" w14:textId="77777777" w:rsidR="002A60DF" w:rsidRPr="00CE2A4A" w:rsidRDefault="00BE6AD3" w:rsidP="007267BF">
      <w:pPr>
        <w:pStyle w:val="ListParagraph"/>
        <w:numPr>
          <w:ilvl w:val="2"/>
          <w:numId w:val="21"/>
        </w:numPr>
        <w:rPr>
          <w:rFonts w:cs="Times New Roman"/>
          <w:i/>
          <w:sz w:val="24"/>
          <w:szCs w:val="24"/>
        </w:rPr>
      </w:pPr>
      <w:r w:rsidRPr="00CE2A4A">
        <w:rPr>
          <w:rFonts w:cs="Times New Roman"/>
          <w:i/>
          <w:sz w:val="24"/>
          <w:szCs w:val="24"/>
        </w:rPr>
        <w:t>Donahue</w:t>
      </w:r>
    </w:p>
    <w:p w14:paraId="256DF06C" w14:textId="77777777" w:rsidR="002A60DF" w:rsidRDefault="002A60DF" w:rsidP="007267BF">
      <w:pPr>
        <w:pStyle w:val="ListParagraph"/>
        <w:numPr>
          <w:ilvl w:val="3"/>
          <w:numId w:val="21"/>
        </w:numPr>
        <w:rPr>
          <w:rFonts w:cs="Times New Roman"/>
          <w:sz w:val="24"/>
          <w:szCs w:val="24"/>
        </w:rPr>
      </w:pPr>
      <w:r>
        <w:rPr>
          <w:rFonts w:cs="Times New Roman"/>
          <w:sz w:val="24"/>
          <w:szCs w:val="24"/>
        </w:rPr>
        <w:t xml:space="preserve">Court observed that minority shareholders run a risk that the majority can refuse to pay them dividends, pay them a salary, or repurchase their shares – and effectively freeze them out. </w:t>
      </w:r>
    </w:p>
    <w:p w14:paraId="24C4E82E" w14:textId="05AD1A0F" w:rsidR="00BE6AD3" w:rsidRPr="007F12D4" w:rsidRDefault="002A60DF" w:rsidP="007267BF">
      <w:pPr>
        <w:pStyle w:val="ListParagraph"/>
        <w:numPr>
          <w:ilvl w:val="3"/>
          <w:numId w:val="21"/>
        </w:numPr>
        <w:rPr>
          <w:rFonts w:cs="Times New Roman"/>
          <w:sz w:val="24"/>
          <w:szCs w:val="24"/>
          <w:u w:val="single"/>
        </w:rPr>
      </w:pPr>
      <w:r>
        <w:rPr>
          <w:rFonts w:cs="Times New Roman"/>
          <w:sz w:val="24"/>
          <w:szCs w:val="24"/>
        </w:rPr>
        <w:t>Court held that “</w:t>
      </w:r>
      <w:r w:rsidRPr="007F12D4">
        <w:rPr>
          <w:rFonts w:cs="Times New Roman"/>
          <w:sz w:val="24"/>
          <w:szCs w:val="24"/>
          <w:u w:val="single"/>
        </w:rPr>
        <w:t>stockholders in the close corporation owe one another substantially the same fiduciary duty in the operation of the enterprise that partners owe to one another.</w:t>
      </w:r>
    </w:p>
    <w:p w14:paraId="5CCD6C1E" w14:textId="22FDD128" w:rsidR="002A60DF" w:rsidRDefault="002A60DF" w:rsidP="007267BF">
      <w:pPr>
        <w:pStyle w:val="ListParagraph"/>
        <w:numPr>
          <w:ilvl w:val="3"/>
          <w:numId w:val="21"/>
        </w:numPr>
        <w:rPr>
          <w:rFonts w:cs="Times New Roman"/>
          <w:sz w:val="24"/>
          <w:szCs w:val="24"/>
        </w:rPr>
      </w:pPr>
      <w:r>
        <w:rPr>
          <w:rFonts w:cs="Times New Roman"/>
          <w:sz w:val="24"/>
          <w:szCs w:val="24"/>
        </w:rPr>
        <w:t>“If the stockholder whose shares were purchased was a member of the controlling group, the controlling stockholders must cause the corporation to offer each stockholder an equal opportunity to see a ratable number of his shares to the corporation at an identical price.”</w:t>
      </w:r>
    </w:p>
    <w:p w14:paraId="7E4DA4EC" w14:textId="03BCF730" w:rsidR="002A60DF" w:rsidRDefault="002A60DF" w:rsidP="007267BF">
      <w:pPr>
        <w:pStyle w:val="ListParagraph"/>
        <w:numPr>
          <w:ilvl w:val="3"/>
          <w:numId w:val="21"/>
        </w:numPr>
        <w:rPr>
          <w:rFonts w:cs="Times New Roman"/>
          <w:sz w:val="24"/>
          <w:szCs w:val="24"/>
        </w:rPr>
      </w:pPr>
      <w:r>
        <w:rPr>
          <w:rFonts w:cs="Times New Roman"/>
          <w:sz w:val="24"/>
          <w:szCs w:val="24"/>
        </w:rPr>
        <w:t>Note: odd decision because could have been decided in favor of plaintiff on many other legal grounds as opposed to making up new law. Also, the partnership fiduciary duty is not higher than that owed by corporate directors or controlling shareholders.</w:t>
      </w:r>
    </w:p>
    <w:p w14:paraId="331F7B05" w14:textId="510DB17D" w:rsidR="00BE6AD3" w:rsidRPr="001A67EE" w:rsidRDefault="00BE6AD3" w:rsidP="007267BF">
      <w:pPr>
        <w:pStyle w:val="ListParagraph"/>
        <w:numPr>
          <w:ilvl w:val="2"/>
          <w:numId w:val="21"/>
        </w:numPr>
        <w:rPr>
          <w:rFonts w:cs="Times New Roman"/>
          <w:b/>
          <w:i/>
          <w:sz w:val="24"/>
          <w:szCs w:val="24"/>
        </w:rPr>
      </w:pPr>
      <w:r w:rsidRPr="001A67EE">
        <w:rPr>
          <w:rFonts w:cs="Times New Roman"/>
          <w:b/>
          <w:i/>
          <w:sz w:val="24"/>
          <w:szCs w:val="24"/>
        </w:rPr>
        <w:t>Wilkes</w:t>
      </w:r>
      <w:r w:rsidR="001A67EE" w:rsidRPr="001A67EE">
        <w:rPr>
          <w:rFonts w:cs="Times New Roman"/>
          <w:b/>
          <w:i/>
          <w:sz w:val="24"/>
          <w:szCs w:val="24"/>
        </w:rPr>
        <w:t xml:space="preserve"> v. Springside Nursing Home, Inc. (Mass. 1976)</w:t>
      </w:r>
    </w:p>
    <w:p w14:paraId="6B72B771" w14:textId="35C57302" w:rsidR="001A67EE" w:rsidRDefault="00F50836" w:rsidP="007267BF">
      <w:pPr>
        <w:pStyle w:val="ListParagraph"/>
        <w:numPr>
          <w:ilvl w:val="3"/>
          <w:numId w:val="21"/>
        </w:numPr>
        <w:rPr>
          <w:rFonts w:cs="Times New Roman"/>
          <w:sz w:val="24"/>
          <w:szCs w:val="24"/>
        </w:rPr>
      </w:pPr>
      <w:r>
        <w:rPr>
          <w:rFonts w:cs="Times New Roman"/>
          <w:sz w:val="24"/>
          <w:szCs w:val="24"/>
        </w:rPr>
        <w:t xml:space="preserve">Synopsis: </w:t>
      </w:r>
      <w:r w:rsidR="001A67EE">
        <w:rPr>
          <w:rFonts w:cs="Times New Roman"/>
          <w:sz w:val="24"/>
          <w:szCs w:val="24"/>
        </w:rPr>
        <w:t xml:space="preserve">Wilkes, Riche, Quinn and </w:t>
      </w:r>
      <w:proofErr w:type="spellStart"/>
      <w:r w:rsidR="001A67EE">
        <w:rPr>
          <w:rFonts w:cs="Times New Roman"/>
          <w:sz w:val="24"/>
          <w:szCs w:val="24"/>
        </w:rPr>
        <w:t>Pipkin</w:t>
      </w:r>
      <w:proofErr w:type="spellEnd"/>
      <w:r w:rsidR="001A67EE">
        <w:rPr>
          <w:rFonts w:cs="Times New Roman"/>
          <w:sz w:val="24"/>
          <w:szCs w:val="24"/>
        </w:rPr>
        <w:t xml:space="preserve"> bought a piece of property together. The four incorporated their operation as the Springside Nursing Home. Each man took a quarter stake in the firm and served on the corporate board. Each worked for the firm and received a salary. Wilkes served as janitor. Quinn wanted to buy some of Springside’s real estate. Wilkes demanded a hirer price. Quinn resented this and induced other</w:t>
      </w:r>
      <w:r w:rsidR="002B16E0">
        <w:rPr>
          <w:rFonts w:cs="Times New Roman"/>
          <w:sz w:val="24"/>
          <w:szCs w:val="24"/>
        </w:rPr>
        <w:t>s to</w:t>
      </w:r>
      <w:r w:rsidR="001A67EE">
        <w:rPr>
          <w:rFonts w:cs="Times New Roman"/>
          <w:sz w:val="24"/>
          <w:szCs w:val="24"/>
        </w:rPr>
        <w:t xml:space="preserve"> drop Wilkes from the corporate board and fire him as a janitor. Springside did not pay dividends and did not pay market wages. Instead, it avoided the double tax on distributed earnings by disguising its nondeductible dividends and deductible wages. When Wilkes was fired, he did not just lose his janitorial wage, he lost his share of the profits – the dividend distribution that the four had been </w:t>
      </w:r>
      <w:r w:rsidR="001A67EE">
        <w:rPr>
          <w:rFonts w:cs="Times New Roman"/>
          <w:sz w:val="24"/>
          <w:szCs w:val="24"/>
        </w:rPr>
        <w:lastRenderedPageBreak/>
        <w:t>hiding in their salaries. Wilkes sued</w:t>
      </w:r>
      <w:r w:rsidR="00A24956">
        <w:rPr>
          <w:rFonts w:cs="Times New Roman"/>
          <w:sz w:val="24"/>
          <w:szCs w:val="24"/>
        </w:rPr>
        <w:t xml:space="preserve"> for violation of </w:t>
      </w:r>
      <w:r w:rsidR="00A24956" w:rsidRPr="00A24956">
        <w:rPr>
          <w:rFonts w:cs="Times New Roman"/>
          <w:i/>
          <w:sz w:val="24"/>
          <w:szCs w:val="24"/>
        </w:rPr>
        <w:t>Donahue</w:t>
      </w:r>
      <w:r w:rsidR="00A24956">
        <w:rPr>
          <w:rFonts w:cs="Times New Roman"/>
          <w:sz w:val="24"/>
          <w:szCs w:val="24"/>
        </w:rPr>
        <w:t xml:space="preserve"> fiduciary duties. Court ruled in favor of Wilkes finding that defendants did not establish legitimate business purpose for firing Wilkes. </w:t>
      </w:r>
    </w:p>
    <w:p w14:paraId="4C2B1AFC" w14:textId="77777777" w:rsidR="001A67EE" w:rsidRDefault="00F50836" w:rsidP="007267BF">
      <w:pPr>
        <w:pStyle w:val="ListParagraph"/>
        <w:numPr>
          <w:ilvl w:val="3"/>
          <w:numId w:val="21"/>
        </w:numPr>
        <w:rPr>
          <w:rFonts w:cs="Times New Roman"/>
          <w:sz w:val="24"/>
          <w:szCs w:val="24"/>
        </w:rPr>
      </w:pPr>
      <w:r>
        <w:rPr>
          <w:rFonts w:cs="Times New Roman"/>
          <w:sz w:val="24"/>
          <w:szCs w:val="24"/>
        </w:rPr>
        <w:t xml:space="preserve">Tool: </w:t>
      </w:r>
    </w:p>
    <w:p w14:paraId="75504868" w14:textId="1BA064E5" w:rsidR="001A67EE" w:rsidRDefault="001A67EE" w:rsidP="007267BF">
      <w:pPr>
        <w:pStyle w:val="ListParagraph"/>
        <w:numPr>
          <w:ilvl w:val="4"/>
          <w:numId w:val="21"/>
        </w:numPr>
        <w:rPr>
          <w:rFonts w:cs="Times New Roman"/>
          <w:sz w:val="24"/>
          <w:szCs w:val="24"/>
        </w:rPr>
      </w:pPr>
      <w:r w:rsidRPr="001A67EE">
        <w:rPr>
          <w:rFonts w:cs="Times New Roman"/>
          <w:i/>
          <w:sz w:val="24"/>
          <w:szCs w:val="24"/>
        </w:rPr>
        <w:t>Donahue</w:t>
      </w:r>
      <w:r>
        <w:rPr>
          <w:rFonts w:cs="Times New Roman"/>
          <w:sz w:val="24"/>
          <w:szCs w:val="24"/>
        </w:rPr>
        <w:t xml:space="preserve"> said that closely held shareholders have same fiduciary duties as partners, but Court here finds they didn’t mean this </w:t>
      </w:r>
      <w:r w:rsidR="007F12D4">
        <w:rPr>
          <w:rFonts w:cs="Times New Roman"/>
          <w:sz w:val="24"/>
          <w:szCs w:val="24"/>
        </w:rPr>
        <w:t xml:space="preserve">entirely </w:t>
      </w:r>
      <w:r>
        <w:rPr>
          <w:rFonts w:cs="Times New Roman"/>
          <w:sz w:val="24"/>
          <w:szCs w:val="24"/>
        </w:rPr>
        <w:t xml:space="preserve">because need to give shareholders some flexibility. </w:t>
      </w:r>
    </w:p>
    <w:p w14:paraId="6E81E3AF" w14:textId="5DD3A651" w:rsidR="00A24956" w:rsidRPr="00A24956" w:rsidRDefault="00A24956" w:rsidP="007267BF">
      <w:pPr>
        <w:pStyle w:val="ListParagraph"/>
        <w:numPr>
          <w:ilvl w:val="4"/>
          <w:numId w:val="21"/>
        </w:numPr>
        <w:rPr>
          <w:rFonts w:cs="Times New Roman"/>
          <w:sz w:val="24"/>
          <w:szCs w:val="24"/>
        </w:rPr>
      </w:pPr>
      <w:r w:rsidRPr="00A24956">
        <w:rPr>
          <w:rFonts w:cs="Times New Roman"/>
          <w:sz w:val="24"/>
          <w:szCs w:val="24"/>
        </w:rPr>
        <w:t xml:space="preserve">Three part test: </w:t>
      </w:r>
      <w:r w:rsidR="007F12D4">
        <w:rPr>
          <w:rFonts w:cs="Times New Roman"/>
          <w:sz w:val="24"/>
          <w:szCs w:val="24"/>
        </w:rPr>
        <w:t xml:space="preserve">(1) </w:t>
      </w:r>
      <w:r w:rsidRPr="00A24956">
        <w:rPr>
          <w:rFonts w:cs="Times New Roman"/>
          <w:sz w:val="24"/>
          <w:szCs w:val="24"/>
        </w:rPr>
        <w:t>high fiduciary duty</w:t>
      </w:r>
      <w:r>
        <w:rPr>
          <w:rFonts w:cs="Times New Roman"/>
          <w:sz w:val="24"/>
          <w:szCs w:val="24"/>
        </w:rPr>
        <w:t xml:space="preserve"> as established in </w:t>
      </w:r>
      <w:r w:rsidRPr="00A24956">
        <w:rPr>
          <w:rFonts w:cs="Times New Roman"/>
          <w:i/>
          <w:sz w:val="24"/>
          <w:szCs w:val="24"/>
        </w:rPr>
        <w:t>Donahue</w:t>
      </w:r>
      <w:r w:rsidRPr="00A24956">
        <w:rPr>
          <w:rFonts w:cs="Times New Roman"/>
          <w:sz w:val="24"/>
          <w:szCs w:val="24"/>
        </w:rPr>
        <w:t xml:space="preserve">, but </w:t>
      </w:r>
      <w:r w:rsidR="007F12D4">
        <w:rPr>
          <w:rFonts w:cs="Times New Roman"/>
          <w:sz w:val="24"/>
          <w:szCs w:val="24"/>
        </w:rPr>
        <w:t xml:space="preserve">(2) </w:t>
      </w:r>
      <w:r w:rsidRPr="00A24956">
        <w:rPr>
          <w:rFonts w:cs="Times New Roman"/>
          <w:sz w:val="24"/>
          <w:szCs w:val="24"/>
        </w:rPr>
        <w:t xml:space="preserve">if challenged need to come up with legitimate business purpose, and </w:t>
      </w:r>
      <w:r w:rsidR="007F12D4">
        <w:rPr>
          <w:rFonts w:cs="Times New Roman"/>
          <w:sz w:val="24"/>
          <w:szCs w:val="24"/>
        </w:rPr>
        <w:t xml:space="preserve">(3) </w:t>
      </w:r>
      <w:r w:rsidRPr="00A24956">
        <w:rPr>
          <w:rFonts w:cs="Times New Roman"/>
          <w:sz w:val="24"/>
          <w:szCs w:val="24"/>
        </w:rPr>
        <w:t>if you do</w:t>
      </w:r>
      <w:r w:rsidR="007F12D4">
        <w:rPr>
          <w:rFonts w:cs="Times New Roman"/>
          <w:sz w:val="24"/>
          <w:szCs w:val="24"/>
        </w:rPr>
        <w:t>,</w:t>
      </w:r>
      <w:r w:rsidRPr="00A24956">
        <w:rPr>
          <w:rFonts w:cs="Times New Roman"/>
          <w:sz w:val="24"/>
          <w:szCs w:val="24"/>
        </w:rPr>
        <w:t xml:space="preserve"> plaintiff can </w:t>
      </w:r>
      <w:r w:rsidR="007F12D4">
        <w:rPr>
          <w:rFonts w:cs="Times New Roman"/>
          <w:sz w:val="24"/>
          <w:szCs w:val="24"/>
        </w:rPr>
        <w:t xml:space="preserve">still </w:t>
      </w:r>
      <w:r w:rsidRPr="00A24956">
        <w:rPr>
          <w:rFonts w:cs="Times New Roman"/>
          <w:sz w:val="24"/>
          <w:szCs w:val="24"/>
        </w:rPr>
        <w:t xml:space="preserve">win if it can show there was less harmful way </w:t>
      </w:r>
      <w:r w:rsidR="007F12D4">
        <w:rPr>
          <w:rFonts w:cs="Times New Roman"/>
          <w:sz w:val="24"/>
          <w:szCs w:val="24"/>
        </w:rPr>
        <w:t xml:space="preserve">to minority interest </w:t>
      </w:r>
      <w:r w:rsidRPr="00A24956">
        <w:rPr>
          <w:rFonts w:cs="Times New Roman"/>
          <w:sz w:val="24"/>
          <w:szCs w:val="24"/>
        </w:rPr>
        <w:t xml:space="preserve">to accomplish business purpose. </w:t>
      </w:r>
    </w:p>
    <w:p w14:paraId="66634545" w14:textId="1BC22BEB" w:rsidR="00A24956" w:rsidRDefault="00A24956" w:rsidP="007267BF">
      <w:pPr>
        <w:pStyle w:val="ListParagraph"/>
        <w:numPr>
          <w:ilvl w:val="3"/>
          <w:numId w:val="21"/>
        </w:numPr>
        <w:rPr>
          <w:rFonts w:cs="Times New Roman"/>
          <w:sz w:val="24"/>
          <w:szCs w:val="24"/>
        </w:rPr>
      </w:pPr>
      <w:r>
        <w:rPr>
          <w:rFonts w:cs="Times New Roman"/>
          <w:sz w:val="24"/>
          <w:szCs w:val="24"/>
        </w:rPr>
        <w:t xml:space="preserve">Note: Court’s rule was superfluous. The majority trio were directors and owed the firm a fiduciary duty as directors. They were controlling shareholders – and owed Wilkes a fiduciary duty under the logic in </w:t>
      </w:r>
      <w:r w:rsidRPr="00EE19A4">
        <w:rPr>
          <w:rFonts w:cs="Times New Roman"/>
          <w:b/>
          <w:i/>
          <w:sz w:val="24"/>
          <w:szCs w:val="24"/>
        </w:rPr>
        <w:t>Sinclair</w:t>
      </w:r>
      <w:r>
        <w:rPr>
          <w:rFonts w:cs="Times New Roman"/>
          <w:sz w:val="24"/>
          <w:szCs w:val="24"/>
        </w:rPr>
        <w:t>. When the three paid one another more than the market value of their services but excluded Wilkes from the tax scam, they faced a straightforward conflict of interest. The business judgment rule did not protect them. Instead, both as directors and as controlling shareholders they b</w:t>
      </w:r>
      <w:r w:rsidR="00EF30C0">
        <w:rPr>
          <w:rFonts w:cs="Times New Roman"/>
          <w:sz w:val="24"/>
          <w:szCs w:val="24"/>
        </w:rPr>
        <w:t xml:space="preserve">reached their fiduciary duties (note: tax considerations do not give rise to duty of loyalty problems or there would always be issues). </w:t>
      </w:r>
    </w:p>
    <w:p w14:paraId="2267AA6D" w14:textId="0A5C22D4" w:rsidR="00E50EDE" w:rsidRPr="007F12D4" w:rsidRDefault="00E50EDE" w:rsidP="007267BF">
      <w:pPr>
        <w:pStyle w:val="ListParagraph"/>
        <w:numPr>
          <w:ilvl w:val="3"/>
          <w:numId w:val="21"/>
        </w:numPr>
        <w:rPr>
          <w:rFonts w:cs="Times New Roman"/>
          <w:b/>
          <w:sz w:val="24"/>
          <w:szCs w:val="24"/>
        </w:rPr>
      </w:pPr>
      <w:r>
        <w:rPr>
          <w:rFonts w:cs="Times New Roman"/>
          <w:sz w:val="24"/>
          <w:szCs w:val="24"/>
        </w:rPr>
        <w:t xml:space="preserve">Note: </w:t>
      </w:r>
      <w:r w:rsidRPr="007F12D4">
        <w:rPr>
          <w:rFonts w:cs="Times New Roman"/>
          <w:b/>
          <w:sz w:val="24"/>
          <w:szCs w:val="24"/>
        </w:rPr>
        <w:t xml:space="preserve">not followed by Delaware </w:t>
      </w:r>
    </w:p>
    <w:p w14:paraId="2713F14F" w14:textId="09456593" w:rsidR="00C61144" w:rsidRPr="00C61144" w:rsidRDefault="00C61144" w:rsidP="007267BF">
      <w:pPr>
        <w:pStyle w:val="ListParagraph"/>
        <w:numPr>
          <w:ilvl w:val="2"/>
          <w:numId w:val="21"/>
        </w:numPr>
        <w:rPr>
          <w:rFonts w:cs="Times New Roman"/>
          <w:b/>
          <w:i/>
          <w:sz w:val="24"/>
          <w:szCs w:val="24"/>
        </w:rPr>
      </w:pPr>
      <w:r w:rsidRPr="00C61144">
        <w:rPr>
          <w:rFonts w:cs="Times New Roman"/>
          <w:b/>
          <w:i/>
          <w:sz w:val="24"/>
          <w:szCs w:val="24"/>
        </w:rPr>
        <w:t>Smith v. Atlantic Properties, Inc. (Mass. App. Ct. 1981)</w:t>
      </w:r>
    </w:p>
    <w:p w14:paraId="1BD9D86A" w14:textId="3CDCE4E1" w:rsidR="002B1F40" w:rsidRDefault="0062583D" w:rsidP="007267BF">
      <w:pPr>
        <w:pStyle w:val="ListParagraph"/>
        <w:numPr>
          <w:ilvl w:val="3"/>
          <w:numId w:val="21"/>
        </w:numPr>
        <w:rPr>
          <w:rFonts w:cs="Times New Roman"/>
          <w:sz w:val="24"/>
          <w:szCs w:val="24"/>
        </w:rPr>
      </w:pPr>
      <w:r>
        <w:rPr>
          <w:rFonts w:cs="Times New Roman"/>
          <w:sz w:val="24"/>
          <w:szCs w:val="24"/>
        </w:rPr>
        <w:t>Synopsis: Wolfson (D) and three other investors (Ps)</w:t>
      </w:r>
      <w:r w:rsidR="002B1F40">
        <w:rPr>
          <w:rFonts w:cs="Times New Roman"/>
          <w:sz w:val="24"/>
          <w:szCs w:val="24"/>
        </w:rPr>
        <w:t xml:space="preserve"> formed Atlantic Properties and each bought a quarter of the firm’s stock. Firm’s charter and bylaws provided that any proposal had to be approved by at least 80% of directors so each investor essentially had a veto. D wanted to reinvest the firm’s earning in renovating buildings while the other three wanted to distribute earnings as dividends. In the 1960’s the top marginal personal income tax rate was 91% so shareholders in close corporations had an incentive to keep their profits in corporate solution. In response, Congress imposed an accumulated earnings tax (AET), which did not apply to firms that distributed their earnings. Thus, if the firm had paid dividends or used earning to make improvements, it could have avoided the AET. However, the investors could not get a unanimous vote so it had to pay the AET. Note that D was high earner so had interest in not paying out dividends and others were not as wealthy. Court found that minority sharehold</w:t>
      </w:r>
      <w:r w:rsidR="002B1F40" w:rsidRPr="005F3048">
        <w:rPr>
          <w:rFonts w:cs="Times New Roman"/>
          <w:sz w:val="24"/>
          <w:szCs w:val="24"/>
        </w:rPr>
        <w:t>ers</w:t>
      </w:r>
      <w:r w:rsidR="00411394" w:rsidRPr="005F3048">
        <w:rPr>
          <w:rFonts w:cs="Times New Roman"/>
          <w:sz w:val="24"/>
          <w:szCs w:val="24"/>
        </w:rPr>
        <w:t>, if have a controlling interest,</w:t>
      </w:r>
      <w:r w:rsidR="002B1F40">
        <w:rPr>
          <w:rFonts w:cs="Times New Roman"/>
          <w:sz w:val="24"/>
          <w:szCs w:val="24"/>
        </w:rPr>
        <w:t xml:space="preserve"> (in addition to controlling shareholders) owe other shareholders fiduciary duties. Since D violated these duties</w:t>
      </w:r>
      <w:r w:rsidR="00411394">
        <w:rPr>
          <w:rFonts w:cs="Times New Roman"/>
          <w:sz w:val="24"/>
          <w:szCs w:val="24"/>
        </w:rPr>
        <w:t xml:space="preserve"> by unreasonably exercising veto</w:t>
      </w:r>
      <w:r w:rsidR="002B1F40">
        <w:rPr>
          <w:rFonts w:cs="Times New Roman"/>
          <w:sz w:val="24"/>
          <w:szCs w:val="24"/>
        </w:rPr>
        <w:t xml:space="preserve">, court found he owed damages to other investors. </w:t>
      </w:r>
    </w:p>
    <w:p w14:paraId="42C86C8C" w14:textId="22BD5143" w:rsidR="0062583D" w:rsidRDefault="002B1F40" w:rsidP="007267BF">
      <w:pPr>
        <w:pStyle w:val="ListParagraph"/>
        <w:numPr>
          <w:ilvl w:val="3"/>
          <w:numId w:val="21"/>
        </w:numPr>
        <w:rPr>
          <w:rFonts w:cs="Times New Roman"/>
          <w:sz w:val="24"/>
          <w:szCs w:val="24"/>
        </w:rPr>
      </w:pPr>
      <w:r>
        <w:rPr>
          <w:rFonts w:cs="Times New Roman"/>
          <w:sz w:val="24"/>
          <w:szCs w:val="24"/>
        </w:rPr>
        <w:t xml:space="preserve"> Tool:</w:t>
      </w:r>
      <w:r w:rsidR="00411394">
        <w:rPr>
          <w:rFonts w:cs="Times New Roman"/>
          <w:sz w:val="24"/>
          <w:szCs w:val="24"/>
        </w:rPr>
        <w:t xml:space="preserve"> A minority shareholder owes fiduciary duti</w:t>
      </w:r>
      <w:r w:rsidR="001E1082">
        <w:rPr>
          <w:rFonts w:cs="Times New Roman"/>
          <w:sz w:val="24"/>
          <w:szCs w:val="24"/>
        </w:rPr>
        <w:t>es to other shareholders if it ha</w:t>
      </w:r>
      <w:r w:rsidR="00411394">
        <w:rPr>
          <w:rFonts w:cs="Times New Roman"/>
          <w:sz w:val="24"/>
          <w:szCs w:val="24"/>
        </w:rPr>
        <w:t>s a controlling interest.</w:t>
      </w:r>
    </w:p>
    <w:p w14:paraId="194518AB" w14:textId="2DB87FD9" w:rsidR="002B1F40" w:rsidRPr="002B1F40" w:rsidRDefault="002B1F40" w:rsidP="007267BF">
      <w:pPr>
        <w:pStyle w:val="ListParagraph"/>
        <w:numPr>
          <w:ilvl w:val="3"/>
          <w:numId w:val="21"/>
        </w:numPr>
        <w:rPr>
          <w:rFonts w:cs="Times New Roman"/>
          <w:sz w:val="24"/>
          <w:szCs w:val="24"/>
        </w:rPr>
      </w:pPr>
      <w:r>
        <w:rPr>
          <w:rFonts w:cs="Times New Roman"/>
          <w:sz w:val="24"/>
          <w:szCs w:val="24"/>
        </w:rPr>
        <w:t xml:space="preserve">Note: Silly decision because either all four violated duties to each other or none of the four did. Court cites Wilkes, but Wilkes adds nothing of value. Under the traditional approach that Delaware would soon articulate in Sinclair, all four were controlling shareholders. As such, all four owed each </w:t>
      </w:r>
      <w:r w:rsidR="005C36B1">
        <w:rPr>
          <w:rFonts w:cs="Times New Roman"/>
          <w:sz w:val="24"/>
          <w:szCs w:val="24"/>
        </w:rPr>
        <w:t>other a duty of loyalty. But be</w:t>
      </w:r>
      <w:r>
        <w:rPr>
          <w:rFonts w:cs="Times New Roman"/>
          <w:sz w:val="24"/>
          <w:szCs w:val="24"/>
        </w:rPr>
        <w:t>c</w:t>
      </w:r>
      <w:r w:rsidR="005C36B1">
        <w:rPr>
          <w:rFonts w:cs="Times New Roman"/>
          <w:sz w:val="24"/>
          <w:szCs w:val="24"/>
        </w:rPr>
        <w:t>a</w:t>
      </w:r>
      <w:r>
        <w:rPr>
          <w:rFonts w:cs="Times New Roman"/>
          <w:sz w:val="24"/>
          <w:szCs w:val="24"/>
        </w:rPr>
        <w:t>u</w:t>
      </w:r>
      <w:r w:rsidR="005C36B1">
        <w:rPr>
          <w:rFonts w:cs="Times New Roman"/>
          <w:sz w:val="24"/>
          <w:szCs w:val="24"/>
        </w:rPr>
        <w:t>s</w:t>
      </w:r>
      <w:r>
        <w:rPr>
          <w:rFonts w:cs="Times New Roman"/>
          <w:sz w:val="24"/>
          <w:szCs w:val="24"/>
        </w:rPr>
        <w:t xml:space="preserve">e all four took equal shares of any dividend, profit, or AET, the situation presented no self-dealing. None of them violated his Sinclair duty, so no one owed money to the others. Instead, they should each pay a quarter of the AET. </w:t>
      </w:r>
      <w:r w:rsidR="00E050BC">
        <w:rPr>
          <w:rFonts w:cs="Times New Roman"/>
          <w:sz w:val="24"/>
          <w:szCs w:val="24"/>
        </w:rPr>
        <w:t xml:space="preserve">Each of the four was also presumably on the board. In that capacity, each owed the others a duty of care and loyalty. The case involved no self-dealing, but the brinksmanship may have violated a duty of care. Because they each plated the same brinkmanship, either all of them violated the duty of care or none of them did. Either way, the results are the same. </w:t>
      </w:r>
    </w:p>
    <w:p w14:paraId="7DD69FF7" w14:textId="0F5F3C7B" w:rsidR="005B06B1" w:rsidRPr="005B06B1" w:rsidRDefault="005B06B1" w:rsidP="007267BF">
      <w:pPr>
        <w:pStyle w:val="Heading3"/>
        <w:numPr>
          <w:ilvl w:val="1"/>
          <w:numId w:val="21"/>
        </w:numPr>
      </w:pPr>
      <w:r w:rsidRPr="005B06B1">
        <w:t>Jordan v. Duff and Phelps, Inc. (7th Cir. 1987)</w:t>
      </w:r>
    </w:p>
    <w:p w14:paraId="5D4F2283" w14:textId="512C8FE7" w:rsidR="00BE6AD3" w:rsidRDefault="00DA6EDA" w:rsidP="007267BF">
      <w:pPr>
        <w:pStyle w:val="ListParagraph"/>
        <w:numPr>
          <w:ilvl w:val="2"/>
          <w:numId w:val="21"/>
        </w:numPr>
        <w:rPr>
          <w:rFonts w:cs="Times New Roman"/>
          <w:sz w:val="24"/>
          <w:szCs w:val="24"/>
        </w:rPr>
      </w:pPr>
      <w:r>
        <w:rPr>
          <w:rFonts w:cs="Times New Roman"/>
          <w:sz w:val="24"/>
          <w:szCs w:val="24"/>
        </w:rPr>
        <w:t>Synopsis: James Jordan (P) was a securities analyst at Duff &amp; Phelps (D). P owned 1% of firm’s stock</w:t>
      </w:r>
      <w:r w:rsidR="000D0EDE">
        <w:rPr>
          <w:rFonts w:cs="Times New Roman"/>
          <w:sz w:val="24"/>
          <w:szCs w:val="24"/>
        </w:rPr>
        <w:t xml:space="preserve"> (privately held)</w:t>
      </w:r>
      <w:r>
        <w:rPr>
          <w:rFonts w:cs="Times New Roman"/>
          <w:sz w:val="24"/>
          <w:szCs w:val="24"/>
        </w:rPr>
        <w:t>. In buying the stock, P signed a shareholders agreement and a stock purchase agreement. The stock purchase agreement provided that if P left the firm, he agreed to resell the stock to the firm for its book value at the end of the previous calendar year</w:t>
      </w:r>
      <w:r w:rsidR="004B7A88">
        <w:rPr>
          <w:rFonts w:cs="Times New Roman"/>
          <w:sz w:val="24"/>
          <w:szCs w:val="24"/>
        </w:rPr>
        <w:t xml:space="preserve"> and that </w:t>
      </w:r>
      <w:r w:rsidR="004B7A88" w:rsidRPr="004B7A88">
        <w:rPr>
          <w:rFonts w:cs="Times New Roman"/>
          <w:sz w:val="24"/>
          <w:szCs w:val="24"/>
          <w:u w:val="single"/>
        </w:rPr>
        <w:t xml:space="preserve">nothing in the </w:t>
      </w:r>
      <w:r w:rsidR="004B7A88">
        <w:rPr>
          <w:rFonts w:cs="Times New Roman"/>
          <w:sz w:val="24"/>
          <w:szCs w:val="24"/>
          <w:u w:val="single"/>
        </w:rPr>
        <w:t>agreement conferred on him any r</w:t>
      </w:r>
      <w:r w:rsidR="004B7A88" w:rsidRPr="004B7A88">
        <w:rPr>
          <w:rFonts w:cs="Times New Roman"/>
          <w:sz w:val="24"/>
          <w:szCs w:val="24"/>
          <w:u w:val="single"/>
        </w:rPr>
        <w:t>ight to be continued in employment</w:t>
      </w:r>
      <w:r>
        <w:rPr>
          <w:rFonts w:cs="Times New Roman"/>
          <w:sz w:val="24"/>
          <w:szCs w:val="24"/>
        </w:rPr>
        <w:t xml:space="preserve">. P decided to move, got </w:t>
      </w:r>
      <w:r>
        <w:rPr>
          <w:rFonts w:cs="Times New Roman"/>
          <w:sz w:val="24"/>
          <w:szCs w:val="24"/>
        </w:rPr>
        <w:lastRenderedPageBreak/>
        <w:t>another job, and resigned from Duff &amp; Phelps. P obtained a book value for his stock of $23K. Later P heard that D was in merger talks and had been in merger talks while P was still at the firm that would</w:t>
      </w:r>
      <w:r w:rsidRPr="00DA6EDA">
        <w:t xml:space="preserve"> </w:t>
      </w:r>
      <w:r w:rsidRPr="00DA6EDA">
        <w:rPr>
          <w:rFonts w:cs="Times New Roman"/>
          <w:sz w:val="24"/>
          <w:szCs w:val="24"/>
        </w:rPr>
        <w:t>have put the shares he was eligible for at a value of $452,000, plus be entitled to another $194,000 in “earn-out” money. P wanted his stock back, but D refused.</w:t>
      </w:r>
      <w:r>
        <w:rPr>
          <w:rFonts w:cs="Times New Roman"/>
          <w:sz w:val="24"/>
          <w:szCs w:val="24"/>
        </w:rPr>
        <w:t xml:space="preserve"> P sued D for violating 10b-5 by not abstaining or disclosing </w:t>
      </w:r>
      <w:r w:rsidR="00D9445A">
        <w:rPr>
          <w:rFonts w:cs="Times New Roman"/>
          <w:sz w:val="24"/>
          <w:szCs w:val="24"/>
        </w:rPr>
        <w:t>(</w:t>
      </w:r>
      <w:r w:rsidR="00D9445A" w:rsidRPr="00D9445A">
        <w:rPr>
          <w:rFonts w:cs="Times New Roman"/>
          <w:i/>
          <w:sz w:val="24"/>
          <w:szCs w:val="24"/>
        </w:rPr>
        <w:t>Texas Gulf</w:t>
      </w:r>
      <w:r w:rsidR="00D9445A">
        <w:rPr>
          <w:rFonts w:cs="Times New Roman"/>
          <w:sz w:val="24"/>
          <w:szCs w:val="24"/>
        </w:rPr>
        <w:t xml:space="preserve">) </w:t>
      </w:r>
      <w:r>
        <w:rPr>
          <w:rFonts w:cs="Times New Roman"/>
          <w:sz w:val="24"/>
          <w:szCs w:val="24"/>
        </w:rPr>
        <w:t xml:space="preserve">the merger talks to P saying he would have never resigned if knew about the merger talks.  </w:t>
      </w:r>
      <w:r w:rsidR="009C6979">
        <w:rPr>
          <w:rFonts w:cs="Times New Roman"/>
          <w:sz w:val="24"/>
          <w:szCs w:val="24"/>
        </w:rPr>
        <w:t>Merger talks failed but later there was a leveraged buy-out.</w:t>
      </w:r>
    </w:p>
    <w:p w14:paraId="4C62DDD8" w14:textId="2235A833" w:rsidR="009C6979" w:rsidRDefault="009C6979" w:rsidP="007267BF">
      <w:pPr>
        <w:pStyle w:val="ListParagraph"/>
        <w:numPr>
          <w:ilvl w:val="2"/>
          <w:numId w:val="21"/>
        </w:numPr>
        <w:rPr>
          <w:rFonts w:cs="Times New Roman"/>
          <w:sz w:val="24"/>
          <w:szCs w:val="24"/>
        </w:rPr>
      </w:pPr>
      <w:r>
        <w:rPr>
          <w:rFonts w:cs="Times New Roman"/>
          <w:sz w:val="24"/>
          <w:szCs w:val="24"/>
        </w:rPr>
        <w:t>Tools:</w:t>
      </w:r>
    </w:p>
    <w:p w14:paraId="436AE285" w14:textId="77777777" w:rsidR="004B7A88" w:rsidRDefault="004B7A88" w:rsidP="007267BF">
      <w:pPr>
        <w:pStyle w:val="ListParagraph"/>
        <w:numPr>
          <w:ilvl w:val="3"/>
          <w:numId w:val="21"/>
        </w:numPr>
        <w:rPr>
          <w:rFonts w:cs="Times New Roman"/>
          <w:sz w:val="24"/>
          <w:szCs w:val="24"/>
        </w:rPr>
      </w:pPr>
      <w:r>
        <w:rPr>
          <w:rFonts w:cs="Times New Roman"/>
          <w:sz w:val="24"/>
          <w:szCs w:val="24"/>
        </w:rPr>
        <w:t>Shareholder relationship &gt; at-will employment relationship</w:t>
      </w:r>
    </w:p>
    <w:p w14:paraId="49B0275C" w14:textId="47A5EEFF" w:rsidR="004B7A88" w:rsidRDefault="004B7A88" w:rsidP="007267BF">
      <w:pPr>
        <w:pStyle w:val="ListParagraph"/>
        <w:numPr>
          <w:ilvl w:val="3"/>
          <w:numId w:val="21"/>
        </w:numPr>
        <w:rPr>
          <w:rFonts w:cs="Times New Roman"/>
          <w:sz w:val="24"/>
          <w:szCs w:val="24"/>
        </w:rPr>
      </w:pPr>
      <w:r>
        <w:rPr>
          <w:rFonts w:cs="Times New Roman"/>
          <w:sz w:val="24"/>
          <w:szCs w:val="24"/>
        </w:rPr>
        <w:t>Seems to suggest that shareholder cannot contract away fiduciary duties at least as it relates to agreement that is not shareholders agreement.</w:t>
      </w:r>
    </w:p>
    <w:p w14:paraId="4E33544B" w14:textId="7680E3CD" w:rsidR="009C6979" w:rsidRPr="007F12D4" w:rsidRDefault="009C6979" w:rsidP="007267BF">
      <w:pPr>
        <w:pStyle w:val="ListParagraph"/>
        <w:numPr>
          <w:ilvl w:val="3"/>
          <w:numId w:val="21"/>
        </w:numPr>
        <w:rPr>
          <w:rFonts w:cs="Times New Roman"/>
          <w:sz w:val="24"/>
          <w:szCs w:val="24"/>
          <w:u w:val="single"/>
        </w:rPr>
      </w:pPr>
      <w:r w:rsidRPr="007F12D4">
        <w:rPr>
          <w:rFonts w:cs="Times New Roman"/>
          <w:sz w:val="24"/>
          <w:szCs w:val="24"/>
          <w:u w:val="single"/>
        </w:rPr>
        <w:t>“Close corporations buying their own stock, like knowledgeable insiders of closely held firms buying from outsiders, have a fiduciary duty to disclose material facts.”</w:t>
      </w:r>
    </w:p>
    <w:p w14:paraId="45FF5DA9" w14:textId="00D9E3D9" w:rsidR="009C6979" w:rsidRDefault="009C6979" w:rsidP="007267BF">
      <w:pPr>
        <w:pStyle w:val="ListParagraph"/>
        <w:numPr>
          <w:ilvl w:val="3"/>
          <w:numId w:val="21"/>
        </w:numPr>
        <w:rPr>
          <w:rFonts w:cs="Times New Roman"/>
          <w:sz w:val="24"/>
          <w:szCs w:val="24"/>
        </w:rPr>
      </w:pPr>
      <w:r>
        <w:rPr>
          <w:rFonts w:cs="Times New Roman"/>
          <w:sz w:val="24"/>
          <w:szCs w:val="24"/>
        </w:rPr>
        <w:t>At-will employee does not mean he can be fired for any reason.</w:t>
      </w:r>
    </w:p>
    <w:p w14:paraId="70B8E945" w14:textId="5A351E93" w:rsidR="009C6979" w:rsidRPr="009C6979" w:rsidRDefault="009C6979" w:rsidP="007267BF">
      <w:pPr>
        <w:pStyle w:val="ListParagraph"/>
        <w:numPr>
          <w:ilvl w:val="3"/>
          <w:numId w:val="21"/>
        </w:numPr>
        <w:rPr>
          <w:rFonts w:cs="Times New Roman"/>
          <w:sz w:val="24"/>
          <w:szCs w:val="24"/>
        </w:rPr>
      </w:pPr>
      <w:r>
        <w:rPr>
          <w:rFonts w:cs="Times New Roman"/>
          <w:sz w:val="24"/>
          <w:szCs w:val="24"/>
        </w:rPr>
        <w:t>“The relevance of the fact does not depend on how things turn out…a failure to disclose an important beneficent event is a violation even if things later go sour.”</w:t>
      </w:r>
    </w:p>
    <w:p w14:paraId="55FD27E8" w14:textId="7AB53A9C" w:rsidR="00BE6AD3" w:rsidRDefault="00BE6AD3" w:rsidP="007267BF">
      <w:pPr>
        <w:pStyle w:val="ListParagraph"/>
        <w:numPr>
          <w:ilvl w:val="2"/>
          <w:numId w:val="21"/>
        </w:numPr>
        <w:rPr>
          <w:rFonts w:cs="Times New Roman"/>
          <w:sz w:val="24"/>
          <w:szCs w:val="24"/>
        </w:rPr>
      </w:pPr>
      <w:r>
        <w:rPr>
          <w:rFonts w:cs="Times New Roman"/>
          <w:sz w:val="24"/>
          <w:szCs w:val="24"/>
        </w:rPr>
        <w:t>Easterbrook</w:t>
      </w:r>
      <w:r w:rsidR="00DA6EDA">
        <w:rPr>
          <w:rFonts w:cs="Times New Roman"/>
          <w:sz w:val="24"/>
          <w:szCs w:val="24"/>
        </w:rPr>
        <w:t xml:space="preserve"> (majority): </w:t>
      </w:r>
      <w:r w:rsidR="00545342">
        <w:rPr>
          <w:rFonts w:cs="Times New Roman"/>
          <w:sz w:val="24"/>
          <w:szCs w:val="24"/>
        </w:rPr>
        <w:t>P could have chosen to stay and keep his stock; to decide whether to stay he need</w:t>
      </w:r>
      <w:r w:rsidR="00E46FA9">
        <w:rPr>
          <w:rFonts w:cs="Times New Roman"/>
          <w:sz w:val="24"/>
          <w:szCs w:val="24"/>
        </w:rPr>
        <w:t>ed</w:t>
      </w:r>
      <w:r w:rsidR="00545342">
        <w:rPr>
          <w:rFonts w:cs="Times New Roman"/>
          <w:sz w:val="24"/>
          <w:szCs w:val="24"/>
        </w:rPr>
        <w:t xml:space="preserve"> information D had but did not disclose (information was material); D had a fiduciary relation to P as shareholder; and in repurchasing P’s stock without disclosing the information P needed to decide whether to keep his stock (and stay) or sell it (and go), D violated 10b-5. </w:t>
      </w:r>
    </w:p>
    <w:p w14:paraId="11B0A14C" w14:textId="4412F78A" w:rsidR="00BE6AD3" w:rsidRDefault="00BE6AD3" w:rsidP="007267BF">
      <w:pPr>
        <w:pStyle w:val="ListParagraph"/>
        <w:numPr>
          <w:ilvl w:val="2"/>
          <w:numId w:val="21"/>
        </w:numPr>
        <w:rPr>
          <w:rFonts w:cs="Times New Roman"/>
          <w:sz w:val="24"/>
          <w:szCs w:val="24"/>
        </w:rPr>
      </w:pPr>
      <w:r>
        <w:rPr>
          <w:rFonts w:cs="Times New Roman"/>
          <w:sz w:val="24"/>
          <w:szCs w:val="24"/>
        </w:rPr>
        <w:t>Posner</w:t>
      </w:r>
      <w:r w:rsidR="00545342">
        <w:rPr>
          <w:rFonts w:cs="Times New Roman"/>
          <w:sz w:val="24"/>
          <w:szCs w:val="24"/>
        </w:rPr>
        <w:t xml:space="preserve"> (dissent): P had a right to the information only if he had a right to stay at Duff &amp; Phelps; as an </w:t>
      </w:r>
      <w:r w:rsidR="00E46FA9">
        <w:rPr>
          <w:rFonts w:cs="Times New Roman"/>
          <w:sz w:val="24"/>
          <w:szCs w:val="24"/>
        </w:rPr>
        <w:t>at-will employee, he had such a</w:t>
      </w:r>
      <w:r w:rsidR="00545342">
        <w:rPr>
          <w:rFonts w:cs="Times New Roman"/>
          <w:sz w:val="24"/>
          <w:szCs w:val="24"/>
        </w:rPr>
        <w:t xml:space="preserve"> right only if he obtained it as an adjunct to any right he might acquire as a minority shareholder; and through the shareholders’ agreement he waived any such right.  </w:t>
      </w:r>
    </w:p>
    <w:p w14:paraId="677E02EA" w14:textId="37FDAC01" w:rsidR="00BE6AD3" w:rsidRDefault="00BE6AD3" w:rsidP="007267BF">
      <w:pPr>
        <w:pStyle w:val="Heading2"/>
        <w:numPr>
          <w:ilvl w:val="0"/>
          <w:numId w:val="21"/>
        </w:numPr>
      </w:pPr>
      <w:r>
        <w:t>Control Block Sales</w:t>
      </w:r>
    </w:p>
    <w:p w14:paraId="6FD5DE79" w14:textId="4823D856" w:rsidR="00E5052D" w:rsidRDefault="00630515" w:rsidP="007267BF">
      <w:pPr>
        <w:pStyle w:val="Heading3"/>
        <w:numPr>
          <w:ilvl w:val="1"/>
          <w:numId w:val="21"/>
        </w:numPr>
      </w:pPr>
      <w:r>
        <w:t>Overview</w:t>
      </w:r>
    </w:p>
    <w:p w14:paraId="646F5450" w14:textId="25E91629" w:rsidR="00BE6AD3" w:rsidRDefault="00E5052D" w:rsidP="007267BF">
      <w:pPr>
        <w:pStyle w:val="ListParagraph"/>
        <w:numPr>
          <w:ilvl w:val="2"/>
          <w:numId w:val="21"/>
        </w:numPr>
        <w:rPr>
          <w:rFonts w:cs="Times New Roman"/>
          <w:sz w:val="24"/>
          <w:szCs w:val="24"/>
        </w:rPr>
      </w:pPr>
      <w:r>
        <w:rPr>
          <w:rFonts w:cs="Times New Roman"/>
          <w:sz w:val="24"/>
          <w:szCs w:val="24"/>
        </w:rPr>
        <w:t>W</w:t>
      </w:r>
      <w:r w:rsidR="008F0173">
        <w:rPr>
          <w:rFonts w:cs="Times New Roman"/>
          <w:sz w:val="24"/>
          <w:szCs w:val="24"/>
        </w:rPr>
        <w:t>hen an investor holds enough stock to control a firm, his shares will often sell for more (on a per-shar</w:t>
      </w:r>
      <w:r w:rsidR="00CE2A4A">
        <w:rPr>
          <w:rFonts w:cs="Times New Roman"/>
          <w:sz w:val="24"/>
          <w:szCs w:val="24"/>
        </w:rPr>
        <w:t xml:space="preserve">e basis) than the other shares, </w:t>
      </w:r>
      <w:r w:rsidR="008F0173">
        <w:rPr>
          <w:rFonts w:cs="Times New Roman"/>
          <w:sz w:val="24"/>
          <w:szCs w:val="24"/>
        </w:rPr>
        <w:t xml:space="preserve">because they give the buyer control. Should the buyer know of a way to increase profitability, the control block will give him the power to accomplish that transformation. And yet, when controlling shareholders did sell their blocks at a premium, some courts blanched. Eventually they came to allow the control premiums – and do today. </w:t>
      </w:r>
      <w:r w:rsidR="008F0173" w:rsidRPr="00630515">
        <w:rPr>
          <w:rFonts w:cs="Times New Roman"/>
          <w:b/>
          <w:i/>
          <w:sz w:val="24"/>
          <w:szCs w:val="24"/>
        </w:rPr>
        <w:t>Perlman</w:t>
      </w:r>
      <w:r w:rsidR="008F0173">
        <w:rPr>
          <w:rFonts w:cs="Times New Roman"/>
          <w:sz w:val="24"/>
          <w:szCs w:val="24"/>
        </w:rPr>
        <w:t xml:space="preserve"> exemplifies the early skepticism. </w:t>
      </w:r>
      <w:proofErr w:type="spellStart"/>
      <w:r w:rsidR="008F0173" w:rsidRPr="00630515">
        <w:rPr>
          <w:rFonts w:cs="Times New Roman"/>
          <w:b/>
          <w:i/>
          <w:sz w:val="24"/>
          <w:szCs w:val="24"/>
        </w:rPr>
        <w:t>Zetlin</w:t>
      </w:r>
      <w:proofErr w:type="spellEnd"/>
      <w:r w:rsidR="008F0173">
        <w:rPr>
          <w:rFonts w:cs="Times New Roman"/>
          <w:sz w:val="24"/>
          <w:szCs w:val="24"/>
        </w:rPr>
        <w:t xml:space="preserve"> and </w:t>
      </w:r>
      <w:proofErr w:type="spellStart"/>
      <w:r w:rsidR="008F0173" w:rsidRPr="00630515">
        <w:rPr>
          <w:rFonts w:cs="Times New Roman"/>
          <w:b/>
          <w:i/>
          <w:sz w:val="24"/>
          <w:szCs w:val="24"/>
        </w:rPr>
        <w:t>Frandsen</w:t>
      </w:r>
      <w:proofErr w:type="spellEnd"/>
      <w:r w:rsidR="008F0173">
        <w:rPr>
          <w:rFonts w:cs="Times New Roman"/>
          <w:sz w:val="24"/>
          <w:szCs w:val="24"/>
        </w:rPr>
        <w:t xml:space="preserve"> show the modern approach.</w:t>
      </w:r>
    </w:p>
    <w:p w14:paraId="610640CC" w14:textId="3C06795B" w:rsidR="00BE6AD3" w:rsidRPr="008256C6" w:rsidRDefault="00630515" w:rsidP="007267BF">
      <w:pPr>
        <w:pStyle w:val="Heading3"/>
        <w:numPr>
          <w:ilvl w:val="1"/>
          <w:numId w:val="21"/>
        </w:numPr>
      </w:pPr>
      <w:r>
        <w:t xml:space="preserve">No Control Block Premiums – </w:t>
      </w:r>
      <w:r w:rsidR="00BE6AD3" w:rsidRPr="008256C6">
        <w:t>Perlman v. Feldman</w:t>
      </w:r>
      <w:r w:rsidR="008256C6" w:rsidRPr="008256C6">
        <w:t xml:space="preserve"> (2d Cir. 1955)</w:t>
      </w:r>
    </w:p>
    <w:p w14:paraId="03F8F229" w14:textId="5F8031E9" w:rsidR="00BE6AD3" w:rsidRDefault="008E013E" w:rsidP="007267BF">
      <w:pPr>
        <w:pStyle w:val="ListParagraph"/>
        <w:numPr>
          <w:ilvl w:val="2"/>
          <w:numId w:val="21"/>
        </w:numPr>
        <w:rPr>
          <w:rFonts w:cs="Times New Roman"/>
          <w:sz w:val="24"/>
          <w:szCs w:val="24"/>
        </w:rPr>
      </w:pPr>
      <w:r>
        <w:rPr>
          <w:rFonts w:cs="Times New Roman"/>
          <w:sz w:val="24"/>
          <w:szCs w:val="24"/>
        </w:rPr>
        <w:t xml:space="preserve">Synopsis: Feldman owned 37% of Newport Steel. </w:t>
      </w:r>
      <w:r w:rsidRPr="008E013E">
        <w:rPr>
          <w:rFonts w:cs="Times New Roman"/>
          <w:sz w:val="24"/>
          <w:szCs w:val="24"/>
        </w:rPr>
        <w:t>Due to the Korean War, steel was at a premium and it turned Newport Steel into a more profitable venture.</w:t>
      </w:r>
      <w:r>
        <w:rPr>
          <w:rFonts w:cs="Times New Roman"/>
          <w:sz w:val="24"/>
          <w:szCs w:val="24"/>
        </w:rPr>
        <w:t xml:space="preserve"> In this market, several of Newport’s customers organized the </w:t>
      </w:r>
      <w:proofErr w:type="spellStart"/>
      <w:r>
        <w:rPr>
          <w:rFonts w:cs="Times New Roman"/>
          <w:sz w:val="24"/>
          <w:szCs w:val="24"/>
        </w:rPr>
        <w:t>Wilport</w:t>
      </w:r>
      <w:proofErr w:type="spellEnd"/>
      <w:r>
        <w:rPr>
          <w:rFonts w:cs="Times New Roman"/>
          <w:sz w:val="24"/>
          <w:szCs w:val="24"/>
        </w:rPr>
        <w:t xml:space="preserve"> Company. Through it, they bought the </w:t>
      </w:r>
      <w:proofErr w:type="spellStart"/>
      <w:r>
        <w:rPr>
          <w:rFonts w:cs="Times New Roman"/>
          <w:sz w:val="24"/>
          <w:szCs w:val="24"/>
        </w:rPr>
        <w:t>Feldmann</w:t>
      </w:r>
      <w:proofErr w:type="spellEnd"/>
      <w:r>
        <w:rPr>
          <w:rFonts w:cs="Times New Roman"/>
          <w:sz w:val="24"/>
          <w:szCs w:val="24"/>
        </w:rPr>
        <w:t xml:space="preserve"> family’s 37% at $20 per share when the market price of the stock stood at $12. For selling their control block at a premium, the family found themselves sued by other Newport shareholders on a breach of fiduciary duty claim. Although the court found no fraud, no misuse of confidential information, no outright looting of a helpless corporation, it held the </w:t>
      </w:r>
      <w:proofErr w:type="spellStart"/>
      <w:r>
        <w:rPr>
          <w:rFonts w:cs="Times New Roman"/>
          <w:sz w:val="24"/>
          <w:szCs w:val="24"/>
        </w:rPr>
        <w:t>Feldmanns</w:t>
      </w:r>
      <w:proofErr w:type="spellEnd"/>
      <w:r>
        <w:rPr>
          <w:rFonts w:cs="Times New Roman"/>
          <w:sz w:val="24"/>
          <w:szCs w:val="24"/>
        </w:rPr>
        <w:t xml:space="preserve"> liable anyway, because they were “siphoning off for personal gain corporate advantages to be derived fr</w:t>
      </w:r>
      <w:r w:rsidR="00A014CE">
        <w:rPr>
          <w:rFonts w:cs="Times New Roman"/>
          <w:sz w:val="24"/>
          <w:szCs w:val="24"/>
        </w:rPr>
        <w:t>om a favorable market situation</w:t>
      </w:r>
      <w:r>
        <w:rPr>
          <w:rFonts w:cs="Times New Roman"/>
          <w:sz w:val="24"/>
          <w:szCs w:val="24"/>
        </w:rPr>
        <w:t>”</w:t>
      </w:r>
      <w:r w:rsidR="00A014CE">
        <w:rPr>
          <w:rFonts w:cs="Times New Roman"/>
          <w:sz w:val="24"/>
          <w:szCs w:val="24"/>
        </w:rPr>
        <w:t xml:space="preserve"> (find this to be case of misappropriating corporate opportunities leading to breach of duty of loyalty). </w:t>
      </w:r>
      <w:r>
        <w:rPr>
          <w:rFonts w:cs="Times New Roman"/>
          <w:sz w:val="24"/>
          <w:szCs w:val="24"/>
        </w:rPr>
        <w:t xml:space="preserve"> </w:t>
      </w:r>
    </w:p>
    <w:p w14:paraId="51AA4C8C" w14:textId="7E88C1D0" w:rsidR="00A014CE" w:rsidRDefault="00A014CE" w:rsidP="007267BF">
      <w:pPr>
        <w:pStyle w:val="ListParagraph"/>
        <w:numPr>
          <w:ilvl w:val="2"/>
          <w:numId w:val="21"/>
        </w:numPr>
        <w:rPr>
          <w:rFonts w:cs="Times New Roman"/>
          <w:sz w:val="24"/>
          <w:szCs w:val="24"/>
        </w:rPr>
      </w:pPr>
      <w:r w:rsidRPr="00A014CE">
        <w:rPr>
          <w:rFonts w:cs="Times New Roman"/>
          <w:sz w:val="24"/>
          <w:szCs w:val="24"/>
        </w:rPr>
        <w:t>Tool: A majority shareholder, who sells his shares to a third party who then obtains a controlling interest, owes the minority shareholder their share of the premium paid by the third party for the controlling interest.</w:t>
      </w:r>
    </w:p>
    <w:p w14:paraId="3188A630" w14:textId="6C9A59D4" w:rsidR="00BE6AD3" w:rsidRDefault="008E013E" w:rsidP="007267BF">
      <w:pPr>
        <w:pStyle w:val="ListParagraph"/>
        <w:numPr>
          <w:ilvl w:val="2"/>
          <w:numId w:val="21"/>
        </w:numPr>
        <w:rPr>
          <w:rFonts w:cs="Times New Roman"/>
          <w:sz w:val="24"/>
          <w:szCs w:val="24"/>
        </w:rPr>
      </w:pPr>
      <w:r>
        <w:rPr>
          <w:rFonts w:cs="Times New Roman"/>
          <w:sz w:val="24"/>
          <w:szCs w:val="24"/>
        </w:rPr>
        <w:t xml:space="preserve">Note: When a court bans control-block premiums, it simply increases the cost of these value-enhancing transactions. When it requires control-block sellers to negotiate higher prices for all the other shareholders (the “take me along provisions”), it increases the cost of executing value-enhancing deals. Minority shareholders may receive higher prices in those value-enhancing </w:t>
      </w:r>
      <w:r>
        <w:rPr>
          <w:rFonts w:cs="Times New Roman"/>
          <w:sz w:val="24"/>
          <w:szCs w:val="24"/>
        </w:rPr>
        <w:lastRenderedPageBreak/>
        <w:t>transactions that still occur. But they will experience fewer such transactions on which to capture the higher prices.</w:t>
      </w:r>
    </w:p>
    <w:p w14:paraId="0B559BEB" w14:textId="6660DDE8" w:rsidR="00BE6AD3" w:rsidRDefault="008E013E" w:rsidP="007267BF">
      <w:pPr>
        <w:pStyle w:val="ListParagraph"/>
        <w:numPr>
          <w:ilvl w:val="2"/>
          <w:numId w:val="21"/>
        </w:numPr>
        <w:rPr>
          <w:rFonts w:cs="Times New Roman"/>
          <w:sz w:val="24"/>
          <w:szCs w:val="24"/>
        </w:rPr>
      </w:pPr>
      <w:r>
        <w:rPr>
          <w:rFonts w:cs="Times New Roman"/>
          <w:sz w:val="24"/>
          <w:szCs w:val="24"/>
        </w:rPr>
        <w:t xml:space="preserve">Nefarious Reasons: In a sense could see this as </w:t>
      </w:r>
      <w:proofErr w:type="spellStart"/>
      <w:r>
        <w:rPr>
          <w:rFonts w:cs="Times New Roman"/>
          <w:sz w:val="24"/>
          <w:szCs w:val="24"/>
        </w:rPr>
        <w:t>Wilport</w:t>
      </w:r>
      <w:proofErr w:type="spellEnd"/>
      <w:r>
        <w:rPr>
          <w:rFonts w:cs="Times New Roman"/>
          <w:sz w:val="24"/>
          <w:szCs w:val="24"/>
        </w:rPr>
        <w:t xml:space="preserve"> looting firm, because </w:t>
      </w:r>
      <w:proofErr w:type="spellStart"/>
      <w:r>
        <w:rPr>
          <w:rFonts w:cs="Times New Roman"/>
          <w:sz w:val="24"/>
          <w:szCs w:val="24"/>
        </w:rPr>
        <w:t>Wilport</w:t>
      </w:r>
      <w:proofErr w:type="spellEnd"/>
      <w:r>
        <w:rPr>
          <w:rFonts w:cs="Times New Roman"/>
          <w:sz w:val="24"/>
          <w:szCs w:val="24"/>
        </w:rPr>
        <w:t xml:space="preserve"> could </w:t>
      </w:r>
      <w:r w:rsidR="00FA67E8">
        <w:rPr>
          <w:rFonts w:cs="Times New Roman"/>
          <w:sz w:val="24"/>
          <w:szCs w:val="24"/>
        </w:rPr>
        <w:t>buy</w:t>
      </w:r>
      <w:r>
        <w:rPr>
          <w:rFonts w:cs="Times New Roman"/>
          <w:sz w:val="24"/>
          <w:szCs w:val="24"/>
        </w:rPr>
        <w:t xml:space="preserve"> steal at the flat formal price (submarket price) while everyone else still had to buy it at the formal-price-plus interest-free-loan.</w:t>
      </w:r>
    </w:p>
    <w:p w14:paraId="58C016F1" w14:textId="51228FBB" w:rsidR="00BE6AD3" w:rsidRDefault="00BE6AD3" w:rsidP="007267BF">
      <w:pPr>
        <w:pStyle w:val="ListParagraph"/>
        <w:numPr>
          <w:ilvl w:val="2"/>
          <w:numId w:val="21"/>
        </w:numPr>
        <w:rPr>
          <w:rFonts w:cs="Times New Roman"/>
          <w:sz w:val="24"/>
          <w:szCs w:val="24"/>
        </w:rPr>
      </w:pPr>
      <w:r>
        <w:rPr>
          <w:rFonts w:cs="Times New Roman"/>
          <w:sz w:val="24"/>
          <w:szCs w:val="24"/>
        </w:rPr>
        <w:t>A Test</w:t>
      </w:r>
      <w:r w:rsidR="008E013E">
        <w:rPr>
          <w:rFonts w:cs="Times New Roman"/>
          <w:sz w:val="24"/>
          <w:szCs w:val="24"/>
        </w:rPr>
        <w:t xml:space="preserve">: The value of Newport’s shares appreciated. The data refutes the court’s proposition that </w:t>
      </w:r>
      <w:proofErr w:type="spellStart"/>
      <w:r w:rsidR="008E013E">
        <w:rPr>
          <w:rFonts w:cs="Times New Roman"/>
          <w:sz w:val="24"/>
          <w:szCs w:val="24"/>
        </w:rPr>
        <w:t>Wilport</w:t>
      </w:r>
      <w:proofErr w:type="spellEnd"/>
      <w:r w:rsidR="008E013E">
        <w:rPr>
          <w:rFonts w:cs="Times New Roman"/>
          <w:sz w:val="24"/>
          <w:szCs w:val="24"/>
        </w:rPr>
        <w:t xml:space="preserve"> appropriated a corporate opportunity of Newport. If </w:t>
      </w:r>
      <w:proofErr w:type="spellStart"/>
      <w:r w:rsidR="008E013E">
        <w:rPr>
          <w:rFonts w:cs="Times New Roman"/>
          <w:sz w:val="24"/>
          <w:szCs w:val="24"/>
        </w:rPr>
        <w:t>Wilport</w:t>
      </w:r>
      <w:proofErr w:type="spellEnd"/>
      <w:r w:rsidR="008E013E">
        <w:rPr>
          <w:rFonts w:cs="Times New Roman"/>
          <w:sz w:val="24"/>
          <w:szCs w:val="24"/>
        </w:rPr>
        <w:t xml:space="preserve"> stole, Newport stock would have fallen. If </w:t>
      </w:r>
      <w:proofErr w:type="spellStart"/>
      <w:r w:rsidR="008E013E">
        <w:rPr>
          <w:rFonts w:cs="Times New Roman"/>
          <w:sz w:val="24"/>
          <w:szCs w:val="24"/>
        </w:rPr>
        <w:t>Wilport</w:t>
      </w:r>
      <w:proofErr w:type="spellEnd"/>
      <w:r w:rsidR="008E013E">
        <w:rPr>
          <w:rFonts w:cs="Times New Roman"/>
          <w:sz w:val="24"/>
          <w:szCs w:val="24"/>
        </w:rPr>
        <w:t xml:space="preserve"> improved firm efficiency, it would have risen.</w:t>
      </w:r>
    </w:p>
    <w:p w14:paraId="291A94F3" w14:textId="10B6F1BB" w:rsidR="00BE6AD3" w:rsidRPr="00CF5C39" w:rsidRDefault="00630515" w:rsidP="007267BF">
      <w:pPr>
        <w:pStyle w:val="Heading3"/>
        <w:numPr>
          <w:ilvl w:val="1"/>
          <w:numId w:val="21"/>
        </w:numPr>
      </w:pPr>
      <w:r>
        <w:t xml:space="preserve">Control Block Premiums Allowed – </w:t>
      </w:r>
      <w:proofErr w:type="spellStart"/>
      <w:r w:rsidR="008F0173" w:rsidRPr="00CF5C39">
        <w:t>Zetlin</w:t>
      </w:r>
      <w:proofErr w:type="spellEnd"/>
      <w:r w:rsidR="008F0173" w:rsidRPr="00CF5C39">
        <w:t xml:space="preserve"> v. H</w:t>
      </w:r>
      <w:r w:rsidR="00BE6AD3" w:rsidRPr="00CF5C39">
        <w:t>anson Holdings</w:t>
      </w:r>
      <w:r w:rsidR="00CF5C39" w:rsidRPr="00CF5C39">
        <w:t xml:space="preserve"> (NY 1979)</w:t>
      </w:r>
    </w:p>
    <w:p w14:paraId="4D85A511" w14:textId="2AE7879E" w:rsidR="00CF5C39" w:rsidRDefault="00CF5C39" w:rsidP="007267BF">
      <w:pPr>
        <w:pStyle w:val="ListParagraph"/>
        <w:numPr>
          <w:ilvl w:val="2"/>
          <w:numId w:val="21"/>
        </w:numPr>
        <w:rPr>
          <w:rFonts w:cs="Times New Roman"/>
          <w:sz w:val="24"/>
          <w:szCs w:val="24"/>
        </w:rPr>
      </w:pPr>
      <w:r>
        <w:rPr>
          <w:rFonts w:cs="Times New Roman"/>
          <w:sz w:val="24"/>
          <w:szCs w:val="24"/>
        </w:rPr>
        <w:t xml:space="preserve">Synopsis: </w:t>
      </w:r>
      <w:proofErr w:type="spellStart"/>
      <w:r>
        <w:rPr>
          <w:rFonts w:cs="Times New Roman"/>
          <w:sz w:val="24"/>
          <w:szCs w:val="24"/>
        </w:rPr>
        <w:t>Zetlin</w:t>
      </w:r>
      <w:proofErr w:type="spellEnd"/>
      <w:r w:rsidRPr="00CF5C39">
        <w:rPr>
          <w:rFonts w:cs="Times New Roman"/>
          <w:sz w:val="24"/>
          <w:szCs w:val="24"/>
        </w:rPr>
        <w:t xml:space="preserve"> owned 2% of Gable Industries, Inc. </w:t>
      </w:r>
      <w:r>
        <w:rPr>
          <w:rFonts w:cs="Times New Roman"/>
          <w:sz w:val="24"/>
          <w:szCs w:val="24"/>
        </w:rPr>
        <w:t>Hanson Holdings</w:t>
      </w:r>
      <w:r w:rsidRPr="00CF5C39">
        <w:rPr>
          <w:rFonts w:cs="Times New Roman"/>
          <w:sz w:val="24"/>
          <w:szCs w:val="24"/>
        </w:rPr>
        <w:t xml:space="preserve"> owned 44.4% of the outstanding shares which they sold to </w:t>
      </w:r>
      <w:proofErr w:type="spellStart"/>
      <w:r w:rsidRPr="00CF5C39">
        <w:rPr>
          <w:rFonts w:cs="Times New Roman"/>
          <w:sz w:val="24"/>
          <w:szCs w:val="24"/>
        </w:rPr>
        <w:t>Flintkote</w:t>
      </w:r>
      <w:proofErr w:type="spellEnd"/>
      <w:r w:rsidRPr="00CF5C39">
        <w:rPr>
          <w:rFonts w:cs="Times New Roman"/>
          <w:sz w:val="24"/>
          <w:szCs w:val="24"/>
        </w:rPr>
        <w:t xml:space="preserve"> Co. for $15, giving </w:t>
      </w:r>
      <w:proofErr w:type="spellStart"/>
      <w:r w:rsidRPr="00CF5C39">
        <w:rPr>
          <w:rFonts w:cs="Times New Roman"/>
          <w:sz w:val="24"/>
          <w:szCs w:val="24"/>
        </w:rPr>
        <w:t>Flintkote</w:t>
      </w:r>
      <w:proofErr w:type="spellEnd"/>
      <w:r w:rsidRPr="00CF5C39">
        <w:rPr>
          <w:rFonts w:cs="Times New Roman"/>
          <w:sz w:val="24"/>
          <w:szCs w:val="24"/>
        </w:rPr>
        <w:t xml:space="preserve"> the controlling majority. The open market value of the shares was $7.38 per share. </w:t>
      </w:r>
      <w:proofErr w:type="spellStart"/>
      <w:r>
        <w:rPr>
          <w:rFonts w:cs="Times New Roman"/>
          <w:sz w:val="24"/>
          <w:szCs w:val="24"/>
        </w:rPr>
        <w:t>Zetlin</w:t>
      </w:r>
      <w:proofErr w:type="spellEnd"/>
      <w:r>
        <w:rPr>
          <w:rFonts w:cs="Times New Roman"/>
          <w:sz w:val="24"/>
          <w:szCs w:val="24"/>
        </w:rPr>
        <w:t xml:space="preserve"> sued Hanson arguing that he should be able to share in the premium that Hanson negotiated, because controlling shareholders owe a duty to the minority to negotiate take-me-along provisions on their behalf. NY Court of Appeals rejected this.</w:t>
      </w:r>
    </w:p>
    <w:p w14:paraId="5DCAF7A4" w14:textId="1FB36982" w:rsidR="00CF5C39" w:rsidRDefault="00CF5C39" w:rsidP="007267BF">
      <w:pPr>
        <w:pStyle w:val="ListParagraph"/>
        <w:numPr>
          <w:ilvl w:val="2"/>
          <w:numId w:val="21"/>
        </w:numPr>
        <w:rPr>
          <w:rFonts w:cs="Times New Roman"/>
          <w:sz w:val="24"/>
          <w:szCs w:val="24"/>
        </w:rPr>
      </w:pPr>
      <w:r>
        <w:rPr>
          <w:rFonts w:cs="Times New Roman"/>
          <w:sz w:val="24"/>
          <w:szCs w:val="24"/>
        </w:rPr>
        <w:t>Tool: “[A]</w:t>
      </w:r>
      <w:proofErr w:type="spellStart"/>
      <w:r>
        <w:rPr>
          <w:rFonts w:cs="Times New Roman"/>
          <w:sz w:val="24"/>
          <w:szCs w:val="24"/>
        </w:rPr>
        <w:t>bsent</w:t>
      </w:r>
      <w:proofErr w:type="spellEnd"/>
      <w:r>
        <w:rPr>
          <w:rFonts w:cs="Times New Roman"/>
          <w:sz w:val="24"/>
          <w:szCs w:val="24"/>
        </w:rPr>
        <w:t xml:space="preserve"> looting of corporate assets, conversion of a corporate opportunity, fraud or other acts of bad faith, a controlling stockholder is free to sell, and a purchaser is free to buy, that controlling interest at a premium price…”</w:t>
      </w:r>
    </w:p>
    <w:p w14:paraId="1CC9BD3A" w14:textId="75677855" w:rsidR="00BE6AD3" w:rsidRPr="005E49CF" w:rsidRDefault="00630515" w:rsidP="007267BF">
      <w:pPr>
        <w:pStyle w:val="Heading3"/>
        <w:numPr>
          <w:ilvl w:val="1"/>
          <w:numId w:val="21"/>
        </w:numPr>
      </w:pPr>
      <w:r>
        <w:t xml:space="preserve">Right of First Refusal – </w:t>
      </w:r>
      <w:proofErr w:type="spellStart"/>
      <w:r w:rsidR="00BE6AD3" w:rsidRPr="005E49CF">
        <w:t>Frandsen</w:t>
      </w:r>
      <w:proofErr w:type="spellEnd"/>
      <w:r w:rsidR="00BE6AD3" w:rsidRPr="005E49CF">
        <w:t xml:space="preserve"> v. Jensen-</w:t>
      </w:r>
      <w:proofErr w:type="spellStart"/>
      <w:r w:rsidR="00BE6AD3" w:rsidRPr="005E49CF">
        <w:t>Sundquist</w:t>
      </w:r>
      <w:proofErr w:type="spellEnd"/>
      <w:r w:rsidR="005E49CF" w:rsidRPr="005E49CF">
        <w:t xml:space="preserve"> (7</w:t>
      </w:r>
      <w:r w:rsidR="005E49CF" w:rsidRPr="005E49CF">
        <w:rPr>
          <w:vertAlign w:val="superscript"/>
        </w:rPr>
        <w:t>th</w:t>
      </w:r>
      <w:r w:rsidR="005E49CF" w:rsidRPr="005E49CF">
        <w:t xml:space="preserve"> Cir. 1986)</w:t>
      </w:r>
    </w:p>
    <w:p w14:paraId="087E027A" w14:textId="3C3BF38F" w:rsidR="005E49CF" w:rsidRDefault="005E49CF" w:rsidP="007267BF">
      <w:pPr>
        <w:pStyle w:val="ListParagraph"/>
        <w:numPr>
          <w:ilvl w:val="2"/>
          <w:numId w:val="21"/>
        </w:numPr>
        <w:rPr>
          <w:rFonts w:cs="Times New Roman"/>
          <w:sz w:val="24"/>
          <w:szCs w:val="24"/>
        </w:rPr>
      </w:pPr>
      <w:r>
        <w:rPr>
          <w:rFonts w:cs="Times New Roman"/>
          <w:sz w:val="24"/>
          <w:szCs w:val="24"/>
        </w:rPr>
        <w:t>Synopsis: The Jensen family owned 52% of the Jensen-</w:t>
      </w:r>
      <w:proofErr w:type="spellStart"/>
      <w:r>
        <w:rPr>
          <w:rFonts w:cs="Times New Roman"/>
          <w:sz w:val="24"/>
          <w:szCs w:val="24"/>
        </w:rPr>
        <w:t>Sundquist</w:t>
      </w:r>
      <w:proofErr w:type="spellEnd"/>
      <w:r>
        <w:rPr>
          <w:rFonts w:cs="Times New Roman"/>
          <w:sz w:val="24"/>
          <w:szCs w:val="24"/>
        </w:rPr>
        <w:t xml:space="preserve"> insurance agency, and Jensen-</w:t>
      </w:r>
      <w:proofErr w:type="spellStart"/>
      <w:r>
        <w:rPr>
          <w:rFonts w:cs="Times New Roman"/>
          <w:sz w:val="24"/>
          <w:szCs w:val="24"/>
        </w:rPr>
        <w:t>Sundquist</w:t>
      </w:r>
      <w:proofErr w:type="spellEnd"/>
      <w:r>
        <w:rPr>
          <w:rFonts w:cs="Times New Roman"/>
          <w:sz w:val="24"/>
          <w:szCs w:val="24"/>
        </w:rPr>
        <w:t xml:space="preserve"> owned a majority interest in the First Bank of Grantsburg</w:t>
      </w:r>
      <w:r w:rsidR="002B381C">
        <w:rPr>
          <w:rFonts w:cs="Times New Roman"/>
          <w:sz w:val="24"/>
          <w:szCs w:val="24"/>
        </w:rPr>
        <w:t xml:space="preserve"> (FBG)</w:t>
      </w:r>
      <w:r>
        <w:rPr>
          <w:rFonts w:cs="Times New Roman"/>
          <w:sz w:val="24"/>
          <w:szCs w:val="24"/>
        </w:rPr>
        <w:t xml:space="preserve">. Dennis </w:t>
      </w:r>
      <w:proofErr w:type="spellStart"/>
      <w:r>
        <w:rPr>
          <w:rFonts w:cs="Times New Roman"/>
          <w:sz w:val="24"/>
          <w:szCs w:val="24"/>
        </w:rPr>
        <w:t>Frandsen</w:t>
      </w:r>
      <w:proofErr w:type="spellEnd"/>
      <w:r>
        <w:rPr>
          <w:rFonts w:cs="Times New Roman"/>
          <w:sz w:val="24"/>
          <w:szCs w:val="24"/>
        </w:rPr>
        <w:t xml:space="preserve"> held an 8% interest in Jensen-</w:t>
      </w:r>
      <w:proofErr w:type="spellStart"/>
      <w:r>
        <w:rPr>
          <w:rFonts w:cs="Times New Roman"/>
          <w:sz w:val="24"/>
          <w:szCs w:val="24"/>
        </w:rPr>
        <w:t>Sundquist</w:t>
      </w:r>
      <w:proofErr w:type="spellEnd"/>
      <w:r>
        <w:rPr>
          <w:rFonts w:cs="Times New Roman"/>
          <w:sz w:val="24"/>
          <w:szCs w:val="24"/>
        </w:rPr>
        <w:t>.</w:t>
      </w:r>
      <w:r w:rsidR="002B381C">
        <w:rPr>
          <w:rFonts w:cs="Times New Roman"/>
          <w:sz w:val="24"/>
          <w:szCs w:val="24"/>
        </w:rPr>
        <w:t xml:space="preserve"> </w:t>
      </w:r>
      <w:proofErr w:type="spellStart"/>
      <w:r w:rsidR="002B381C">
        <w:rPr>
          <w:rFonts w:cs="Times New Roman"/>
          <w:sz w:val="24"/>
          <w:szCs w:val="24"/>
        </w:rPr>
        <w:t>Frandsen</w:t>
      </w:r>
      <w:proofErr w:type="spellEnd"/>
      <w:r w:rsidR="002B381C">
        <w:rPr>
          <w:rFonts w:cs="Times New Roman"/>
          <w:sz w:val="24"/>
          <w:szCs w:val="24"/>
        </w:rPr>
        <w:t xml:space="preserve"> had an agreement with the Jensen family that: (1) Should the Jensen family offer to sell their stock to anyone, they will first offer it to </w:t>
      </w:r>
      <w:proofErr w:type="spellStart"/>
      <w:r w:rsidR="002B381C">
        <w:rPr>
          <w:rFonts w:cs="Times New Roman"/>
          <w:sz w:val="24"/>
          <w:szCs w:val="24"/>
        </w:rPr>
        <w:t>Frandsen</w:t>
      </w:r>
      <w:proofErr w:type="spellEnd"/>
      <w:r w:rsidR="002B381C">
        <w:rPr>
          <w:rFonts w:cs="Times New Roman"/>
          <w:sz w:val="24"/>
          <w:szCs w:val="24"/>
        </w:rPr>
        <w:t xml:space="preserve"> at the same price (right of first refusal); and (2) Should </w:t>
      </w:r>
      <w:proofErr w:type="spellStart"/>
      <w:r w:rsidR="002B381C">
        <w:rPr>
          <w:rFonts w:cs="Times New Roman"/>
          <w:sz w:val="24"/>
          <w:szCs w:val="24"/>
        </w:rPr>
        <w:t>Frandsen</w:t>
      </w:r>
      <w:proofErr w:type="spellEnd"/>
      <w:r w:rsidR="002B381C">
        <w:rPr>
          <w:rFonts w:cs="Times New Roman"/>
          <w:sz w:val="24"/>
          <w:szCs w:val="24"/>
        </w:rPr>
        <w:t xml:space="preserve"> not wish to buy the stock offered to him under (1), the Jensen family will offer to but </w:t>
      </w:r>
      <w:proofErr w:type="spellStart"/>
      <w:r w:rsidR="002B381C">
        <w:rPr>
          <w:rFonts w:cs="Times New Roman"/>
          <w:sz w:val="24"/>
          <w:szCs w:val="24"/>
        </w:rPr>
        <w:t>Frandsen’s</w:t>
      </w:r>
      <w:proofErr w:type="spellEnd"/>
      <w:r w:rsidR="002B381C">
        <w:rPr>
          <w:rFonts w:cs="Times New Roman"/>
          <w:sz w:val="24"/>
          <w:szCs w:val="24"/>
        </w:rPr>
        <w:t xml:space="preserve"> stock at the same price. First Wisconsin Bank (FWC) wanted to buy FBG. FWC proposed a cash-out merger: Jensen-</w:t>
      </w:r>
      <w:proofErr w:type="spellStart"/>
      <w:r w:rsidR="002B381C">
        <w:rPr>
          <w:rFonts w:cs="Times New Roman"/>
          <w:sz w:val="24"/>
          <w:szCs w:val="24"/>
        </w:rPr>
        <w:t>Sundquist</w:t>
      </w:r>
      <w:proofErr w:type="spellEnd"/>
      <w:r w:rsidR="002B381C">
        <w:rPr>
          <w:rFonts w:cs="Times New Roman"/>
          <w:sz w:val="24"/>
          <w:szCs w:val="24"/>
        </w:rPr>
        <w:t xml:space="preserve"> would merge into FWC, former Jensen-</w:t>
      </w:r>
      <w:proofErr w:type="spellStart"/>
      <w:r w:rsidR="002B381C">
        <w:rPr>
          <w:rFonts w:cs="Times New Roman"/>
          <w:sz w:val="24"/>
          <w:szCs w:val="24"/>
        </w:rPr>
        <w:t>Sundquist</w:t>
      </w:r>
      <w:proofErr w:type="spellEnd"/>
      <w:r w:rsidR="002B381C">
        <w:rPr>
          <w:rFonts w:cs="Times New Roman"/>
          <w:sz w:val="24"/>
          <w:szCs w:val="24"/>
        </w:rPr>
        <w:t xml:space="preserve"> shareholders would receive cash, and FWC would merge the FBG into another FWC subsidiary. In turn, </w:t>
      </w:r>
      <w:proofErr w:type="spellStart"/>
      <w:r w:rsidR="002B381C">
        <w:rPr>
          <w:rFonts w:cs="Times New Roman"/>
          <w:sz w:val="24"/>
          <w:szCs w:val="24"/>
        </w:rPr>
        <w:t>Frandsen</w:t>
      </w:r>
      <w:proofErr w:type="spellEnd"/>
      <w:r w:rsidR="002B381C">
        <w:rPr>
          <w:rFonts w:cs="Times New Roman"/>
          <w:sz w:val="24"/>
          <w:szCs w:val="24"/>
        </w:rPr>
        <w:t xml:space="preserve"> responded by announcing that he would exercise his right and buy the Jensen family shares at the cash-out merger price. The Jensen family refused and restructured the transaction as a purchase of FBG stock by FWC. Under the new transaction, FWC would pay cash to Jensen-</w:t>
      </w:r>
      <w:proofErr w:type="spellStart"/>
      <w:r w:rsidR="002B381C">
        <w:rPr>
          <w:rFonts w:cs="Times New Roman"/>
          <w:sz w:val="24"/>
          <w:szCs w:val="24"/>
        </w:rPr>
        <w:t>Sundquist</w:t>
      </w:r>
      <w:proofErr w:type="spellEnd"/>
      <w:r w:rsidR="002B381C">
        <w:rPr>
          <w:rFonts w:cs="Times New Roman"/>
          <w:sz w:val="24"/>
          <w:szCs w:val="24"/>
        </w:rPr>
        <w:t>, and Jensen-</w:t>
      </w:r>
      <w:proofErr w:type="spellStart"/>
      <w:r w:rsidR="002B381C">
        <w:rPr>
          <w:rFonts w:cs="Times New Roman"/>
          <w:sz w:val="24"/>
          <w:szCs w:val="24"/>
        </w:rPr>
        <w:t>Sundquist</w:t>
      </w:r>
      <w:proofErr w:type="spellEnd"/>
      <w:r w:rsidR="002B381C">
        <w:rPr>
          <w:rFonts w:cs="Times New Roman"/>
          <w:sz w:val="24"/>
          <w:szCs w:val="24"/>
        </w:rPr>
        <w:t xml:space="preserve"> would distribute the cash in liquidation. </w:t>
      </w:r>
      <w:proofErr w:type="spellStart"/>
      <w:r w:rsidR="002B381C">
        <w:rPr>
          <w:rFonts w:cs="Times New Roman"/>
          <w:sz w:val="24"/>
          <w:szCs w:val="24"/>
        </w:rPr>
        <w:t>Frandsen</w:t>
      </w:r>
      <w:proofErr w:type="spellEnd"/>
      <w:r w:rsidR="002B381C">
        <w:rPr>
          <w:rFonts w:cs="Times New Roman"/>
          <w:sz w:val="24"/>
          <w:szCs w:val="24"/>
        </w:rPr>
        <w:t xml:space="preserve"> sued to enforce his rights. Co</w:t>
      </w:r>
      <w:r w:rsidR="00C61A23">
        <w:rPr>
          <w:rFonts w:cs="Times New Roman"/>
          <w:sz w:val="24"/>
          <w:szCs w:val="24"/>
        </w:rPr>
        <w:t>urt held that a sale of stock is</w:t>
      </w:r>
      <w:r w:rsidR="002B381C">
        <w:rPr>
          <w:rFonts w:cs="Times New Roman"/>
          <w:sz w:val="24"/>
          <w:szCs w:val="24"/>
        </w:rPr>
        <w:t xml:space="preserve"> not a merger</w:t>
      </w:r>
      <w:r w:rsidR="00515D4E">
        <w:rPr>
          <w:rFonts w:cs="Times New Roman"/>
          <w:sz w:val="24"/>
          <w:szCs w:val="24"/>
        </w:rPr>
        <w:t xml:space="preserve"> (“in a merger the shares of the acquired firm are not bought, they are extinguished”)</w:t>
      </w:r>
      <w:r w:rsidR="002B381C">
        <w:rPr>
          <w:rFonts w:cs="Times New Roman"/>
          <w:sz w:val="24"/>
          <w:szCs w:val="24"/>
        </w:rPr>
        <w:t xml:space="preserve">, even when the two accomplish the same result. </w:t>
      </w:r>
      <w:proofErr w:type="spellStart"/>
      <w:r w:rsidR="002B381C">
        <w:rPr>
          <w:rFonts w:cs="Times New Roman"/>
          <w:sz w:val="24"/>
          <w:szCs w:val="24"/>
        </w:rPr>
        <w:t>Frandsen</w:t>
      </w:r>
      <w:proofErr w:type="spellEnd"/>
      <w:r w:rsidR="002B381C">
        <w:rPr>
          <w:rFonts w:cs="Times New Roman"/>
          <w:sz w:val="24"/>
          <w:szCs w:val="24"/>
        </w:rPr>
        <w:t xml:space="preserve"> had negotiated an agreement triggered by an offer to sell, He could have negotiated an agreement trigge</w:t>
      </w:r>
      <w:r w:rsidR="00515D4E">
        <w:rPr>
          <w:rFonts w:cs="Times New Roman"/>
          <w:sz w:val="24"/>
          <w:szCs w:val="24"/>
        </w:rPr>
        <w:t xml:space="preserve">red by a merger but he did not. </w:t>
      </w:r>
      <w:r w:rsidR="00515D4E" w:rsidRPr="00515D4E">
        <w:rPr>
          <w:rFonts w:cs="Times New Roman"/>
          <w:sz w:val="24"/>
          <w:szCs w:val="24"/>
        </w:rPr>
        <w:t>The agreement was not breached because there was never a sale of the majority’s shares to First Wisconsin. The court read the terms of the agreement literally to include only what the agreement allowed for, which is the sale of the majority’s shares. And absent a breach of the agreement, or unfair competition, First Wisconsin cannot be liable for tortious interference.</w:t>
      </w:r>
    </w:p>
    <w:p w14:paraId="5E2F1049" w14:textId="1BE00902" w:rsidR="00515D4E" w:rsidRDefault="00515D4E" w:rsidP="007267BF">
      <w:pPr>
        <w:pStyle w:val="ListParagraph"/>
        <w:numPr>
          <w:ilvl w:val="2"/>
          <w:numId w:val="21"/>
        </w:numPr>
        <w:rPr>
          <w:rFonts w:cs="Times New Roman"/>
          <w:sz w:val="24"/>
          <w:szCs w:val="24"/>
        </w:rPr>
      </w:pPr>
      <w:r>
        <w:rPr>
          <w:rFonts w:cs="Times New Roman"/>
          <w:sz w:val="24"/>
          <w:szCs w:val="24"/>
        </w:rPr>
        <w:t xml:space="preserve">Tool: </w:t>
      </w:r>
      <w:r w:rsidRPr="00515D4E">
        <w:rPr>
          <w:rFonts w:cs="Times New Roman"/>
          <w:sz w:val="24"/>
          <w:szCs w:val="24"/>
        </w:rPr>
        <w:t>An agreement that gives a shareholder the right of first refusal does not convey the right to control the sale of assets or the liquidation of the company.</w:t>
      </w:r>
      <w:r w:rsidR="0073027F">
        <w:rPr>
          <w:rFonts w:cs="Times New Roman"/>
          <w:sz w:val="24"/>
          <w:szCs w:val="24"/>
        </w:rPr>
        <w:t xml:space="preserve"> The right of refusal “is enforceable but only if the contract clearly confers it…”</w:t>
      </w:r>
    </w:p>
    <w:p w14:paraId="319E4CA1" w14:textId="5C4D878D" w:rsidR="00BE6AD3" w:rsidRDefault="00BE6AD3" w:rsidP="007267BF">
      <w:pPr>
        <w:pStyle w:val="Heading2"/>
        <w:numPr>
          <w:ilvl w:val="0"/>
          <w:numId w:val="21"/>
        </w:numPr>
      </w:pPr>
      <w:r>
        <w:t>Board Seat Sales</w:t>
      </w:r>
    </w:p>
    <w:p w14:paraId="706CE2E5" w14:textId="28C6AF91" w:rsidR="00E5052D" w:rsidRDefault="00E240AE" w:rsidP="007267BF">
      <w:pPr>
        <w:pStyle w:val="Heading3"/>
        <w:numPr>
          <w:ilvl w:val="1"/>
          <w:numId w:val="21"/>
        </w:numPr>
      </w:pPr>
      <w:r>
        <w:t>Can’t Sell to Obvious Thief – Ha</w:t>
      </w:r>
      <w:r w:rsidR="00BE6AD3">
        <w:t>rris v. Carter</w:t>
      </w:r>
    </w:p>
    <w:p w14:paraId="21A04B09" w14:textId="46BE1E0B" w:rsidR="00BE6AD3" w:rsidRDefault="00E5052D" w:rsidP="007267BF">
      <w:pPr>
        <w:pStyle w:val="ListParagraph"/>
        <w:numPr>
          <w:ilvl w:val="2"/>
          <w:numId w:val="21"/>
        </w:numPr>
        <w:rPr>
          <w:rFonts w:cs="Times New Roman"/>
          <w:sz w:val="24"/>
          <w:szCs w:val="24"/>
        </w:rPr>
      </w:pPr>
      <w:r>
        <w:rPr>
          <w:rFonts w:cs="Times New Roman"/>
          <w:sz w:val="24"/>
          <w:szCs w:val="24"/>
        </w:rPr>
        <w:t>C</w:t>
      </w:r>
      <w:r w:rsidR="0005751B">
        <w:rPr>
          <w:rFonts w:cs="Times New Roman"/>
          <w:sz w:val="24"/>
          <w:szCs w:val="24"/>
        </w:rPr>
        <w:t xml:space="preserve">ontrolling shareholders owe fiduciary duties to other shareholders. Thus, a controlling shareholder breaches these fiduciary duties when he sells his stock and transfers control to an obvious thief. </w:t>
      </w:r>
    </w:p>
    <w:p w14:paraId="3873ADFD" w14:textId="694A226B" w:rsidR="00BE6AD3" w:rsidRPr="0005751B" w:rsidRDefault="00E240AE" w:rsidP="007267BF">
      <w:pPr>
        <w:pStyle w:val="Heading3"/>
        <w:numPr>
          <w:ilvl w:val="1"/>
          <w:numId w:val="21"/>
        </w:numPr>
      </w:pPr>
      <w:r>
        <w:t xml:space="preserve">Can Seller Stack the Board? </w:t>
      </w:r>
      <w:r w:rsidR="00BE6AD3" w:rsidRPr="0005751B">
        <w:t>Essex Universal Corp. v. Yates</w:t>
      </w:r>
      <w:r w:rsidR="0005751B" w:rsidRPr="0005751B">
        <w:t xml:space="preserve"> (2d Cir. 1962)</w:t>
      </w:r>
    </w:p>
    <w:p w14:paraId="6A505F1E" w14:textId="57086D1E" w:rsidR="0005751B" w:rsidRDefault="0005751B" w:rsidP="007267BF">
      <w:pPr>
        <w:pStyle w:val="ListParagraph"/>
        <w:numPr>
          <w:ilvl w:val="2"/>
          <w:numId w:val="21"/>
        </w:numPr>
        <w:rPr>
          <w:rFonts w:cs="Times New Roman"/>
          <w:sz w:val="24"/>
          <w:szCs w:val="24"/>
        </w:rPr>
      </w:pPr>
      <w:r>
        <w:rPr>
          <w:rFonts w:cs="Times New Roman"/>
          <w:sz w:val="24"/>
          <w:szCs w:val="24"/>
        </w:rPr>
        <w:t>Synopsis:</w:t>
      </w:r>
      <w:r w:rsidR="00322677">
        <w:rPr>
          <w:rFonts w:cs="Times New Roman"/>
          <w:sz w:val="24"/>
          <w:szCs w:val="24"/>
        </w:rPr>
        <w:t xml:space="preserve"> Yates (D) owned 28% of Republic Pictures. D agreed to sell Essex (P) the bulk of his stock at $2 above market. This stake would give Essex control. D and P also agreed that D would </w:t>
      </w:r>
      <w:r w:rsidR="00322677">
        <w:rPr>
          <w:rFonts w:cs="Times New Roman"/>
          <w:sz w:val="24"/>
          <w:szCs w:val="24"/>
        </w:rPr>
        <w:lastRenderedPageBreak/>
        <w:t xml:space="preserve">have a special meeting and have 8 of the 14 directors resign to be replaced with Essex nominees. Otherwise, because Republic maintained a staggered board, P would not have acquired complete control for some time. When it came time to sell, D refused (the price of the stock had risen and he wanted more money) arguing that the contract violated the fiduciary duties he owed the other Republic shareholders. </w:t>
      </w:r>
    </w:p>
    <w:p w14:paraId="35700010" w14:textId="4DC972B9" w:rsidR="0005751B" w:rsidRDefault="0005751B" w:rsidP="007267BF">
      <w:pPr>
        <w:pStyle w:val="ListParagraph"/>
        <w:numPr>
          <w:ilvl w:val="2"/>
          <w:numId w:val="21"/>
        </w:numPr>
        <w:rPr>
          <w:rFonts w:cs="Times New Roman"/>
          <w:sz w:val="24"/>
          <w:szCs w:val="24"/>
        </w:rPr>
      </w:pPr>
      <w:r>
        <w:rPr>
          <w:rFonts w:cs="Times New Roman"/>
          <w:sz w:val="24"/>
          <w:szCs w:val="24"/>
        </w:rPr>
        <w:t>Tool:</w:t>
      </w:r>
      <w:r w:rsidR="00322677">
        <w:rPr>
          <w:rFonts w:cs="Times New Roman"/>
          <w:sz w:val="24"/>
          <w:szCs w:val="24"/>
        </w:rPr>
        <w:t xml:space="preserve"> Case did not answer the question of whether the seller can stack the board with the buyer’s designees. </w:t>
      </w:r>
    </w:p>
    <w:p w14:paraId="1DD4F495" w14:textId="688A7B77" w:rsidR="00322677" w:rsidRDefault="00322677" w:rsidP="007267BF">
      <w:pPr>
        <w:pStyle w:val="ListParagraph"/>
        <w:numPr>
          <w:ilvl w:val="2"/>
          <w:numId w:val="21"/>
        </w:numPr>
        <w:rPr>
          <w:rFonts w:cs="Times New Roman"/>
          <w:sz w:val="24"/>
          <w:szCs w:val="24"/>
        </w:rPr>
      </w:pPr>
      <w:r>
        <w:rPr>
          <w:rFonts w:cs="Times New Roman"/>
          <w:sz w:val="24"/>
          <w:szCs w:val="24"/>
        </w:rPr>
        <w:t xml:space="preserve">J. </w:t>
      </w:r>
      <w:proofErr w:type="spellStart"/>
      <w:r>
        <w:rPr>
          <w:rFonts w:cs="Times New Roman"/>
          <w:sz w:val="24"/>
          <w:szCs w:val="24"/>
        </w:rPr>
        <w:t>Lumbard</w:t>
      </w:r>
      <w:proofErr w:type="spellEnd"/>
      <w:r>
        <w:rPr>
          <w:rFonts w:cs="Times New Roman"/>
          <w:sz w:val="24"/>
          <w:szCs w:val="24"/>
        </w:rPr>
        <w:t xml:space="preserve">: </w:t>
      </w:r>
      <w:r w:rsidR="008A306D">
        <w:rPr>
          <w:rFonts w:cs="Times New Roman"/>
          <w:sz w:val="24"/>
          <w:szCs w:val="24"/>
        </w:rPr>
        <w:t>“immediate transfer of management control to one who has achieved majority share control but would not otherwise be able to convert that share control into operating control for some time” is legal. “it is</w:t>
      </w:r>
      <w:r w:rsidR="00A07147">
        <w:rPr>
          <w:rFonts w:cs="Times New Roman"/>
          <w:sz w:val="24"/>
          <w:szCs w:val="24"/>
        </w:rPr>
        <w:t xml:space="preserve"> </w:t>
      </w:r>
      <w:r w:rsidR="008A306D">
        <w:rPr>
          <w:rFonts w:cs="Times New Roman"/>
          <w:sz w:val="24"/>
          <w:szCs w:val="24"/>
        </w:rPr>
        <w:t>commonly known that a person or group owning so large a percentage of the voting stock [(28.3%)] of a corporation which, like Republic, has at least the 1,500 shareholders normally requisite to listing on the New York Stock Exchange, is almost certain to have share control as a practical matter.” Remanded because whether Essex was thus to acquire the equivalent of majority stock control was factual issue to be determined by district court.</w:t>
      </w:r>
    </w:p>
    <w:p w14:paraId="5C92B715" w14:textId="641816EE" w:rsidR="00322677" w:rsidRDefault="00322677" w:rsidP="007267BF">
      <w:pPr>
        <w:pStyle w:val="ListParagraph"/>
        <w:numPr>
          <w:ilvl w:val="2"/>
          <w:numId w:val="21"/>
        </w:numPr>
        <w:rPr>
          <w:rFonts w:cs="Times New Roman"/>
          <w:sz w:val="24"/>
          <w:szCs w:val="24"/>
        </w:rPr>
      </w:pPr>
      <w:r>
        <w:rPr>
          <w:rFonts w:cs="Times New Roman"/>
          <w:sz w:val="24"/>
          <w:szCs w:val="24"/>
        </w:rPr>
        <w:t xml:space="preserve">J. Friendly: Found this </w:t>
      </w:r>
      <w:r w:rsidR="008A306D">
        <w:rPr>
          <w:rFonts w:cs="Times New Roman"/>
          <w:sz w:val="24"/>
          <w:szCs w:val="24"/>
        </w:rPr>
        <w:t xml:space="preserve">type of </w:t>
      </w:r>
      <w:r>
        <w:rPr>
          <w:rFonts w:cs="Times New Roman"/>
          <w:sz w:val="24"/>
          <w:szCs w:val="24"/>
        </w:rPr>
        <w:t xml:space="preserve">contractual provision violated public policy except when it was “entirely plain that a new election would be a mere formality – i.e., when the seller owned more than 50% of the stock…” </w:t>
      </w:r>
    </w:p>
    <w:p w14:paraId="275D848B" w14:textId="49B28650" w:rsidR="00322677" w:rsidRDefault="00322677" w:rsidP="007267BF">
      <w:pPr>
        <w:pStyle w:val="ListParagraph"/>
        <w:numPr>
          <w:ilvl w:val="2"/>
          <w:numId w:val="21"/>
        </w:numPr>
        <w:rPr>
          <w:rFonts w:cs="Times New Roman"/>
          <w:sz w:val="24"/>
          <w:szCs w:val="24"/>
        </w:rPr>
      </w:pPr>
      <w:r>
        <w:rPr>
          <w:rFonts w:cs="Times New Roman"/>
          <w:sz w:val="24"/>
          <w:szCs w:val="24"/>
        </w:rPr>
        <w:t xml:space="preserve">J. Clark: needs more facts to decide case. </w:t>
      </w:r>
    </w:p>
    <w:p w14:paraId="5E40D813" w14:textId="56ED46C4" w:rsidR="008A306D" w:rsidRDefault="008A306D" w:rsidP="007267BF">
      <w:pPr>
        <w:pStyle w:val="ListParagraph"/>
        <w:numPr>
          <w:ilvl w:val="2"/>
          <w:numId w:val="21"/>
        </w:numPr>
        <w:rPr>
          <w:rFonts w:cs="Times New Roman"/>
          <w:sz w:val="24"/>
          <w:szCs w:val="24"/>
        </w:rPr>
      </w:pPr>
      <w:r>
        <w:rPr>
          <w:rFonts w:cs="Times New Roman"/>
          <w:sz w:val="24"/>
          <w:szCs w:val="24"/>
        </w:rPr>
        <w:t>Note: Where there is an incumbent management team and board of directors that does not have a significant percentage of the voting shares, an outside</w:t>
      </w:r>
      <w:r w:rsidR="004C2265">
        <w:rPr>
          <w:rFonts w:cs="Times New Roman"/>
          <w:sz w:val="24"/>
          <w:szCs w:val="24"/>
        </w:rPr>
        <w:t>r</w:t>
      </w:r>
      <w:r>
        <w:rPr>
          <w:rFonts w:cs="Times New Roman"/>
          <w:sz w:val="24"/>
          <w:szCs w:val="24"/>
        </w:rPr>
        <w:t xml:space="preserve"> who acquires a large, but less-than-majority block of voting shares may well be unable to exert any control over the corporation. Indeed, it is not uncommon that outsiders who acquire substantial minority positions are denied any representation whatever on the board of directors, even though the incumbent directors collectively own far fewer shares than the outsider.</w:t>
      </w:r>
    </w:p>
    <w:p w14:paraId="0DCDCD76" w14:textId="2FBF5EC2" w:rsidR="00970BA9" w:rsidRDefault="00E240AE" w:rsidP="00E240AE">
      <w:pPr>
        <w:pStyle w:val="Heading3"/>
        <w:numPr>
          <w:ilvl w:val="1"/>
          <w:numId w:val="21"/>
        </w:numPr>
      </w:pPr>
      <w:r>
        <w:t>Removal of Directors</w:t>
      </w:r>
    </w:p>
    <w:p w14:paraId="0C324C69" w14:textId="35DEF037" w:rsidR="00E240AE" w:rsidRPr="00E240AE" w:rsidRDefault="00E240AE" w:rsidP="00E240AE">
      <w:pPr>
        <w:pStyle w:val="ListParagraph"/>
        <w:numPr>
          <w:ilvl w:val="2"/>
          <w:numId w:val="21"/>
        </w:numPr>
        <w:rPr>
          <w:rFonts w:cs="Times New Roman"/>
          <w:sz w:val="24"/>
          <w:szCs w:val="24"/>
        </w:rPr>
      </w:pPr>
      <w:r w:rsidRPr="00E240AE">
        <w:rPr>
          <w:rFonts w:cs="Times New Roman"/>
          <w:sz w:val="24"/>
          <w:szCs w:val="24"/>
        </w:rPr>
        <w:t>Current NY Code § 706. Removal of Directors</w:t>
      </w:r>
    </w:p>
    <w:p w14:paraId="0FBBC90E" w14:textId="00A9FCCA" w:rsidR="00970BA9" w:rsidRDefault="00970BA9" w:rsidP="00E240AE">
      <w:pPr>
        <w:pStyle w:val="ListParagraph"/>
        <w:rPr>
          <w:rFonts w:cs="Times New Roman"/>
          <w:i/>
          <w:sz w:val="24"/>
          <w:szCs w:val="24"/>
        </w:rPr>
      </w:pPr>
      <w:r w:rsidRPr="00970BA9">
        <w:rPr>
          <w:rFonts w:cs="Times New Roman"/>
          <w:i/>
          <w:sz w:val="24"/>
          <w:szCs w:val="24"/>
        </w:rPr>
        <w:t xml:space="preserve">(a) Any or all of the directors may be removed for cause by vote of the shareholders. The certificate of incorporation or the specific provisions of a by-law adopted by the shareholders may provide for such removal by action of the board, except in the case of any director elected by cumulative voting, or by the holders of the shares of any class or series, or holders of bonds, voting as a class, when so entitled by the provisions of the certificate of incorporation. </w:t>
      </w:r>
    </w:p>
    <w:p w14:paraId="19AE2FCF" w14:textId="77777777" w:rsidR="00970BA9" w:rsidRDefault="00970BA9" w:rsidP="00970BA9">
      <w:pPr>
        <w:pStyle w:val="ListParagraph"/>
        <w:rPr>
          <w:rFonts w:cs="Times New Roman"/>
          <w:i/>
          <w:sz w:val="24"/>
          <w:szCs w:val="24"/>
        </w:rPr>
      </w:pPr>
      <w:r w:rsidRPr="00970BA9">
        <w:rPr>
          <w:rFonts w:cs="Times New Roman"/>
          <w:i/>
          <w:sz w:val="24"/>
          <w:szCs w:val="24"/>
        </w:rPr>
        <w:t xml:space="preserve">(b) If the certificate of incorporation or the by-laws so provide, any or all of the directors may be removed without cause by vote of the shareholders. </w:t>
      </w:r>
    </w:p>
    <w:p w14:paraId="4F3B0A91" w14:textId="77777777" w:rsidR="00970BA9" w:rsidRDefault="00970BA9" w:rsidP="00970BA9">
      <w:pPr>
        <w:pStyle w:val="ListParagraph"/>
        <w:rPr>
          <w:rFonts w:cs="Times New Roman"/>
          <w:i/>
          <w:sz w:val="24"/>
          <w:szCs w:val="24"/>
        </w:rPr>
      </w:pPr>
      <w:r w:rsidRPr="00970BA9">
        <w:rPr>
          <w:rFonts w:cs="Times New Roman"/>
          <w:i/>
          <w:sz w:val="24"/>
          <w:szCs w:val="24"/>
        </w:rPr>
        <w:t xml:space="preserve">(c) The removal of directors, with or without cause, as provided in paragraphs (a) and (b) is subject to the following: </w:t>
      </w:r>
    </w:p>
    <w:p w14:paraId="5876CDDE" w14:textId="77777777" w:rsidR="00970BA9" w:rsidRDefault="00970BA9" w:rsidP="00970BA9">
      <w:pPr>
        <w:pStyle w:val="ListParagraph"/>
        <w:ind w:left="1440"/>
        <w:rPr>
          <w:rFonts w:cs="Times New Roman"/>
          <w:i/>
          <w:sz w:val="24"/>
          <w:szCs w:val="24"/>
        </w:rPr>
      </w:pPr>
      <w:r w:rsidRPr="00970BA9">
        <w:rPr>
          <w:rFonts w:cs="Times New Roman"/>
          <w:i/>
          <w:sz w:val="24"/>
          <w:szCs w:val="24"/>
        </w:rPr>
        <w:t xml:space="preserve">(1) In the case of a corporation having cumulative voting, no director may be removed when the votes cast against his removal would be sufficient to elect him if voted cumulatively at an election at which the same total number of votes were cast and the entire board, or the entire class of directors of which he is a member, were then being elected; and </w:t>
      </w:r>
    </w:p>
    <w:p w14:paraId="5BC71C91" w14:textId="009FD2BA" w:rsidR="00E240AE" w:rsidRPr="00970BA9" w:rsidRDefault="00970BA9" w:rsidP="00970BA9">
      <w:pPr>
        <w:pStyle w:val="ListParagraph"/>
        <w:ind w:left="1440"/>
        <w:rPr>
          <w:rFonts w:cs="Times New Roman"/>
          <w:i/>
          <w:sz w:val="24"/>
          <w:szCs w:val="24"/>
        </w:rPr>
      </w:pPr>
      <w:r w:rsidRPr="00970BA9">
        <w:rPr>
          <w:rFonts w:cs="Times New Roman"/>
          <w:i/>
          <w:sz w:val="24"/>
          <w:szCs w:val="24"/>
        </w:rPr>
        <w:t>(2) When by the provisions of the certificate of incorporation the holders of the shares of any class or series, or holders of bonds, voting as a class, are entitled to elect one or more directors, any director so elected may be removed only by the applicable vote of the holders of the shares of that class or series, or the holders of such bonds, voting as a class.</w:t>
      </w:r>
    </w:p>
    <w:p w14:paraId="629BAF60" w14:textId="04A9E574" w:rsidR="003219F9" w:rsidRPr="00E240AE" w:rsidRDefault="00E240AE" w:rsidP="00E240AE">
      <w:pPr>
        <w:pStyle w:val="ListParagraph"/>
        <w:numPr>
          <w:ilvl w:val="2"/>
          <w:numId w:val="21"/>
        </w:numPr>
        <w:rPr>
          <w:rFonts w:cs="Times New Roman"/>
          <w:sz w:val="24"/>
          <w:szCs w:val="24"/>
        </w:rPr>
      </w:pPr>
      <w:r w:rsidRPr="00E240AE">
        <w:rPr>
          <w:rFonts w:cs="Times New Roman"/>
          <w:sz w:val="24"/>
          <w:szCs w:val="24"/>
        </w:rPr>
        <w:t>Current Delaware Gen. Corp. Law § 141(k)</w:t>
      </w:r>
      <w:r>
        <w:rPr>
          <w:rFonts w:cs="Times New Roman"/>
          <w:sz w:val="24"/>
          <w:szCs w:val="24"/>
        </w:rPr>
        <w:t>:</w:t>
      </w:r>
      <w:r w:rsidRPr="00E240AE">
        <w:rPr>
          <w:rFonts w:cs="Times New Roman"/>
          <w:sz w:val="24"/>
          <w:szCs w:val="24"/>
        </w:rPr>
        <w:t xml:space="preserve"> </w:t>
      </w:r>
      <w:r w:rsidR="00970BA9" w:rsidRPr="00E240AE">
        <w:rPr>
          <w:rFonts w:cs="Times New Roman"/>
          <w:sz w:val="24"/>
          <w:szCs w:val="24"/>
        </w:rPr>
        <w:t xml:space="preserve">“any director or the entire board of directors may be removed, with or without cause, by the holders of a majority of the shares then entitled to vote at an election of directors,” with exceptions protecting cumulative voting, and with an exception that: “Unless the certificate of incorporation otherwise provides, in the case of a corporation whose board is classified as provided in subsection (d) of this section, shareholders may effect such removal only for cause.” Subsection (d) permits the certificate or the by-laws to provide that the board may be </w:t>
      </w:r>
      <w:r w:rsidR="00970BA9" w:rsidRPr="00E240AE">
        <w:rPr>
          <w:rFonts w:cs="Times New Roman"/>
          <w:sz w:val="24"/>
          <w:szCs w:val="24"/>
        </w:rPr>
        <w:lastRenderedPageBreak/>
        <w:t>“Divided into one, two, or three classes” to achieve staggered terms and for classification of shares for the purpose of electing dir</w:t>
      </w:r>
      <w:r w:rsidRPr="00E240AE">
        <w:rPr>
          <w:rFonts w:cs="Times New Roman"/>
          <w:sz w:val="24"/>
          <w:szCs w:val="24"/>
        </w:rPr>
        <w:t xml:space="preserve">ectors. </w:t>
      </w:r>
    </w:p>
    <w:p w14:paraId="55A48363" w14:textId="0108BB4C" w:rsidR="00A41C61" w:rsidRPr="00356AD7" w:rsidRDefault="00A41C61" w:rsidP="00356AD7">
      <w:pPr>
        <w:pStyle w:val="Heading1"/>
      </w:pPr>
      <w:r>
        <w:t>MERGERS and ACQUISITIONS</w:t>
      </w:r>
    </w:p>
    <w:p w14:paraId="7FAEA329" w14:textId="2347D533" w:rsidR="00A41C61" w:rsidRDefault="00AA77D3" w:rsidP="00E5052D">
      <w:pPr>
        <w:pStyle w:val="Heading2"/>
        <w:numPr>
          <w:ilvl w:val="0"/>
          <w:numId w:val="13"/>
        </w:numPr>
      </w:pPr>
      <w:r>
        <w:t>Mergers</w:t>
      </w:r>
    </w:p>
    <w:p w14:paraId="0234F7D0" w14:textId="32277672" w:rsidR="00AA77D3" w:rsidRDefault="00957772" w:rsidP="00E5052D">
      <w:pPr>
        <w:pStyle w:val="Heading3"/>
        <w:numPr>
          <w:ilvl w:val="1"/>
          <w:numId w:val="13"/>
        </w:numPr>
      </w:pPr>
      <w:r>
        <w:t>Approval Process</w:t>
      </w:r>
    </w:p>
    <w:p w14:paraId="161CB5A6" w14:textId="68069F48" w:rsidR="00903296" w:rsidRDefault="00957772" w:rsidP="00903296">
      <w:pPr>
        <w:pStyle w:val="ListParagraph"/>
        <w:numPr>
          <w:ilvl w:val="2"/>
          <w:numId w:val="13"/>
        </w:numPr>
        <w:rPr>
          <w:rFonts w:cs="Times New Roman"/>
          <w:sz w:val="24"/>
          <w:szCs w:val="24"/>
        </w:rPr>
      </w:pPr>
      <w:r>
        <w:rPr>
          <w:rFonts w:cs="Times New Roman"/>
          <w:sz w:val="24"/>
          <w:szCs w:val="24"/>
        </w:rPr>
        <w:t>Typical</w:t>
      </w:r>
    </w:p>
    <w:p w14:paraId="1624DECA" w14:textId="4F96D9CE" w:rsidR="00903296" w:rsidRDefault="00903296" w:rsidP="00903296">
      <w:pPr>
        <w:pStyle w:val="ListParagraph"/>
        <w:numPr>
          <w:ilvl w:val="3"/>
          <w:numId w:val="13"/>
        </w:numPr>
        <w:rPr>
          <w:rFonts w:cs="Times New Roman"/>
          <w:sz w:val="24"/>
          <w:szCs w:val="24"/>
        </w:rPr>
      </w:pPr>
      <w:r>
        <w:rPr>
          <w:rFonts w:cs="Times New Roman"/>
          <w:sz w:val="24"/>
          <w:szCs w:val="24"/>
        </w:rPr>
        <w:t>First, the executives of small and large would cut a deal – a merger agreement.</w:t>
      </w:r>
    </w:p>
    <w:p w14:paraId="11B45E6B" w14:textId="7A71A6BA" w:rsidR="00903296" w:rsidRDefault="00903296" w:rsidP="00903296">
      <w:pPr>
        <w:pStyle w:val="ListParagraph"/>
        <w:numPr>
          <w:ilvl w:val="3"/>
          <w:numId w:val="13"/>
        </w:numPr>
        <w:rPr>
          <w:rFonts w:cs="Times New Roman"/>
          <w:sz w:val="24"/>
          <w:szCs w:val="24"/>
        </w:rPr>
      </w:pPr>
      <w:r>
        <w:rPr>
          <w:rFonts w:cs="Times New Roman"/>
          <w:sz w:val="24"/>
          <w:szCs w:val="24"/>
        </w:rPr>
        <w:t xml:space="preserve">Second, the boards of the two companies would approve the agreement (De. Corp. </w:t>
      </w:r>
      <w:proofErr w:type="gramStart"/>
      <w:r>
        <w:rPr>
          <w:rFonts w:cs="Times New Roman"/>
          <w:sz w:val="24"/>
          <w:szCs w:val="24"/>
        </w:rPr>
        <w:t>251(b</w:t>
      </w:r>
      <w:proofErr w:type="gramEnd"/>
      <w:r>
        <w:rPr>
          <w:rFonts w:cs="Times New Roman"/>
          <w:sz w:val="24"/>
          <w:szCs w:val="24"/>
        </w:rPr>
        <w:t xml:space="preserve">)). </w:t>
      </w:r>
    </w:p>
    <w:p w14:paraId="692E90BF" w14:textId="7516229B" w:rsidR="00903296" w:rsidRDefault="00903296" w:rsidP="00903296">
      <w:pPr>
        <w:pStyle w:val="ListParagraph"/>
        <w:numPr>
          <w:ilvl w:val="3"/>
          <w:numId w:val="13"/>
        </w:numPr>
        <w:rPr>
          <w:rFonts w:cs="Times New Roman"/>
          <w:sz w:val="24"/>
          <w:szCs w:val="24"/>
        </w:rPr>
      </w:pPr>
      <w:r>
        <w:rPr>
          <w:rFonts w:cs="Times New Roman"/>
          <w:sz w:val="24"/>
          <w:szCs w:val="24"/>
        </w:rPr>
        <w:t xml:space="preserve">Third, the shareholders of the two corporations would approve the merger by (in Delaware) majority vote (Del. Corp. 251(c)). </w:t>
      </w:r>
    </w:p>
    <w:p w14:paraId="62638C2C" w14:textId="21ED3132" w:rsidR="00903296" w:rsidRDefault="00903296" w:rsidP="00903296">
      <w:pPr>
        <w:pStyle w:val="ListParagraph"/>
        <w:numPr>
          <w:ilvl w:val="2"/>
          <w:numId w:val="13"/>
        </w:numPr>
        <w:rPr>
          <w:rFonts w:cs="Times New Roman"/>
          <w:sz w:val="24"/>
          <w:szCs w:val="24"/>
        </w:rPr>
      </w:pPr>
      <w:r>
        <w:rPr>
          <w:rFonts w:cs="Times New Roman"/>
          <w:sz w:val="24"/>
          <w:szCs w:val="24"/>
        </w:rPr>
        <w:t>Other Mergers – not all mergers require shareholder approval</w:t>
      </w:r>
    </w:p>
    <w:p w14:paraId="171B0AD9" w14:textId="0B52B66D" w:rsidR="00903296" w:rsidRDefault="00903296" w:rsidP="00903296">
      <w:pPr>
        <w:pStyle w:val="ListParagraph"/>
        <w:numPr>
          <w:ilvl w:val="3"/>
          <w:numId w:val="13"/>
        </w:numPr>
        <w:rPr>
          <w:rFonts w:cs="Times New Roman"/>
          <w:sz w:val="24"/>
          <w:szCs w:val="24"/>
        </w:rPr>
      </w:pPr>
      <w:r>
        <w:rPr>
          <w:rFonts w:cs="Times New Roman"/>
          <w:sz w:val="24"/>
          <w:szCs w:val="24"/>
        </w:rPr>
        <w:t>Relatively small firm merging into large firm – under Del. Corp. 251(f), both the board and the shareholders of the small disappearing firm would vote on the merger. At the larger surviving firm, only the board would vote. A merger qualifies for this abbreviated procedure if the amount of stock issued by the surviving firm to the shareholders of the disappearing firm constitutes less than 20 percent of the surviving firm’s outstanding stock at the outset.</w:t>
      </w:r>
    </w:p>
    <w:p w14:paraId="0B089417" w14:textId="08D650C6" w:rsidR="00A923BC" w:rsidRDefault="00A923BC" w:rsidP="00903296">
      <w:pPr>
        <w:pStyle w:val="ListParagraph"/>
        <w:numPr>
          <w:ilvl w:val="3"/>
          <w:numId w:val="13"/>
        </w:numPr>
        <w:rPr>
          <w:rFonts w:cs="Times New Roman"/>
          <w:sz w:val="24"/>
          <w:szCs w:val="24"/>
        </w:rPr>
      </w:pPr>
      <w:r>
        <w:rPr>
          <w:rFonts w:cs="Times New Roman"/>
          <w:sz w:val="24"/>
          <w:szCs w:val="24"/>
        </w:rPr>
        <w:t>Parent firm merging subsidiary into itself – Under Delaware law (it defines a subsidiary as a firm owned at least 90% by another), the parent board must approve the merger agreement. The shareholders do not need to vote. Neither the subsidiary’s board not its minority shareholders have any say either.</w:t>
      </w:r>
    </w:p>
    <w:p w14:paraId="20E58357" w14:textId="346D167C" w:rsidR="00A923BC" w:rsidRDefault="00A923BC" w:rsidP="00903296">
      <w:pPr>
        <w:pStyle w:val="ListParagraph"/>
        <w:numPr>
          <w:ilvl w:val="3"/>
          <w:numId w:val="13"/>
        </w:numPr>
        <w:rPr>
          <w:rFonts w:cs="Times New Roman"/>
          <w:sz w:val="24"/>
          <w:szCs w:val="24"/>
        </w:rPr>
      </w:pPr>
      <w:r>
        <w:rPr>
          <w:rFonts w:cs="Times New Roman"/>
          <w:sz w:val="24"/>
          <w:szCs w:val="24"/>
        </w:rPr>
        <w:t>Shareholders of disappearing firm receive only cash – will not trigger the 20 percent stock threshold in 251(f) at surviving firm so will not have to vote on merger.</w:t>
      </w:r>
    </w:p>
    <w:p w14:paraId="7D59FDF0" w14:textId="762CEC40" w:rsidR="00A923BC" w:rsidRPr="0077023C" w:rsidRDefault="0077023C" w:rsidP="0077023C">
      <w:pPr>
        <w:pStyle w:val="ListParagraph"/>
        <w:numPr>
          <w:ilvl w:val="2"/>
          <w:numId w:val="13"/>
        </w:numPr>
        <w:rPr>
          <w:rFonts w:cs="Times New Roman"/>
          <w:sz w:val="24"/>
          <w:szCs w:val="24"/>
        </w:rPr>
      </w:pPr>
      <w:r>
        <w:rPr>
          <w:rFonts w:cs="Times New Roman"/>
          <w:sz w:val="24"/>
          <w:szCs w:val="24"/>
        </w:rPr>
        <w:t xml:space="preserve">Asset Sales – </w:t>
      </w:r>
      <w:r w:rsidR="00A923BC" w:rsidRPr="0077023C">
        <w:rPr>
          <w:rFonts w:cs="Times New Roman"/>
          <w:sz w:val="24"/>
          <w:szCs w:val="24"/>
        </w:rPr>
        <w:t>Can closely mimic merger if just</w:t>
      </w:r>
      <w:r w:rsidR="00BB4AF6" w:rsidRPr="0077023C">
        <w:rPr>
          <w:rFonts w:cs="Times New Roman"/>
          <w:sz w:val="24"/>
          <w:szCs w:val="24"/>
        </w:rPr>
        <w:t xml:space="preserve"> sell assets of one firm to </w:t>
      </w:r>
      <w:proofErr w:type="gramStart"/>
      <w:r w:rsidR="00BB4AF6" w:rsidRPr="0077023C">
        <w:rPr>
          <w:rFonts w:cs="Times New Roman"/>
          <w:sz w:val="24"/>
          <w:szCs w:val="24"/>
        </w:rPr>
        <w:t>an</w:t>
      </w:r>
      <w:r w:rsidR="00A923BC" w:rsidRPr="0077023C">
        <w:rPr>
          <w:rFonts w:cs="Times New Roman"/>
          <w:sz w:val="24"/>
          <w:szCs w:val="24"/>
        </w:rPr>
        <w:t>other.</w:t>
      </w:r>
      <w:proofErr w:type="gramEnd"/>
      <w:r w:rsidR="00A923BC" w:rsidRPr="0077023C">
        <w:rPr>
          <w:rFonts w:cs="Times New Roman"/>
          <w:sz w:val="24"/>
          <w:szCs w:val="24"/>
        </w:rPr>
        <w:t xml:space="preserve"> Need majority vote among the shareholders of the selling corporation but not the buying firm. </w:t>
      </w:r>
    </w:p>
    <w:p w14:paraId="2915072A" w14:textId="265D2D30" w:rsidR="00AA77D3" w:rsidRDefault="00AA77D3" w:rsidP="00E5052D">
      <w:pPr>
        <w:pStyle w:val="Heading3"/>
        <w:numPr>
          <w:ilvl w:val="1"/>
          <w:numId w:val="13"/>
        </w:numPr>
      </w:pPr>
      <w:r>
        <w:t>Appraisal and De Facto Mergers</w:t>
      </w:r>
    </w:p>
    <w:p w14:paraId="447C16F1" w14:textId="474BBE6F" w:rsidR="00AA77D3" w:rsidRDefault="00C94348" w:rsidP="00AA77D3">
      <w:pPr>
        <w:pStyle w:val="ListParagraph"/>
        <w:numPr>
          <w:ilvl w:val="2"/>
          <w:numId w:val="13"/>
        </w:numPr>
        <w:rPr>
          <w:rFonts w:cs="Times New Roman"/>
          <w:sz w:val="24"/>
          <w:szCs w:val="24"/>
        </w:rPr>
      </w:pPr>
      <w:r>
        <w:rPr>
          <w:rFonts w:cs="Times New Roman"/>
          <w:sz w:val="24"/>
          <w:szCs w:val="24"/>
        </w:rPr>
        <w:t xml:space="preserve">General </w:t>
      </w:r>
    </w:p>
    <w:p w14:paraId="5A61B71E" w14:textId="33EB4617" w:rsidR="00A923BC" w:rsidRDefault="008B1F49" w:rsidP="00A923BC">
      <w:pPr>
        <w:pStyle w:val="ListParagraph"/>
        <w:numPr>
          <w:ilvl w:val="3"/>
          <w:numId w:val="13"/>
        </w:numPr>
        <w:rPr>
          <w:rFonts w:cs="Times New Roman"/>
          <w:sz w:val="24"/>
          <w:szCs w:val="24"/>
        </w:rPr>
      </w:pPr>
      <w:r>
        <w:rPr>
          <w:rFonts w:cs="Times New Roman"/>
          <w:sz w:val="24"/>
          <w:szCs w:val="24"/>
        </w:rPr>
        <w:t xml:space="preserve">Not all mergers and merger-like moves </w:t>
      </w:r>
      <w:r w:rsidR="00A923BC">
        <w:rPr>
          <w:rFonts w:cs="Times New Roman"/>
          <w:sz w:val="24"/>
          <w:szCs w:val="24"/>
        </w:rPr>
        <w:t>yield identical results. Some give rise to appraisal rights while other</w:t>
      </w:r>
      <w:r>
        <w:rPr>
          <w:rFonts w:cs="Times New Roman"/>
          <w:sz w:val="24"/>
          <w:szCs w:val="24"/>
        </w:rPr>
        <w:t>s</w:t>
      </w:r>
      <w:r w:rsidR="00A923BC">
        <w:rPr>
          <w:rFonts w:cs="Times New Roman"/>
          <w:sz w:val="24"/>
          <w:szCs w:val="24"/>
        </w:rPr>
        <w:t xml:space="preserve"> do not.</w:t>
      </w:r>
    </w:p>
    <w:p w14:paraId="2B9B3A52" w14:textId="7F38E86A" w:rsidR="00A923BC" w:rsidRDefault="00A923BC" w:rsidP="00A923BC">
      <w:pPr>
        <w:pStyle w:val="ListParagraph"/>
        <w:numPr>
          <w:ilvl w:val="3"/>
          <w:numId w:val="13"/>
        </w:numPr>
        <w:rPr>
          <w:rFonts w:cs="Times New Roman"/>
          <w:sz w:val="24"/>
          <w:szCs w:val="24"/>
        </w:rPr>
      </w:pPr>
      <w:r>
        <w:rPr>
          <w:rFonts w:cs="Times New Roman"/>
          <w:sz w:val="24"/>
          <w:szCs w:val="24"/>
        </w:rPr>
        <w:t>Appraisal rights/Dissenter’s rights – gives a shareholder who objects to certain transactions the right to dissent from the transaction and obtain the appraised value of his shares.</w:t>
      </w:r>
    </w:p>
    <w:p w14:paraId="24EE1594" w14:textId="0FE34D84" w:rsidR="00BB4AF6" w:rsidRDefault="00BB4AF6" w:rsidP="00BB4AF6">
      <w:pPr>
        <w:pStyle w:val="ListParagraph"/>
        <w:numPr>
          <w:ilvl w:val="4"/>
          <w:numId w:val="13"/>
        </w:numPr>
        <w:rPr>
          <w:rFonts w:cs="Times New Roman"/>
          <w:sz w:val="24"/>
          <w:szCs w:val="24"/>
        </w:rPr>
      </w:pPr>
      <w:r>
        <w:rPr>
          <w:rFonts w:cs="Times New Roman"/>
          <w:sz w:val="24"/>
          <w:szCs w:val="24"/>
        </w:rPr>
        <w:t>This makes sense for small corporation because no market to sell shares but unnecessary for big corporations because there is market in public traded stock.</w:t>
      </w:r>
    </w:p>
    <w:p w14:paraId="547D5042" w14:textId="523710FA" w:rsidR="008B1F49" w:rsidRPr="00957772" w:rsidRDefault="00BB4AF6" w:rsidP="00957772">
      <w:pPr>
        <w:pStyle w:val="ListParagraph"/>
        <w:numPr>
          <w:ilvl w:val="4"/>
          <w:numId w:val="13"/>
        </w:numPr>
        <w:rPr>
          <w:rFonts w:cs="Times New Roman"/>
          <w:sz w:val="24"/>
          <w:szCs w:val="24"/>
        </w:rPr>
      </w:pPr>
      <w:r>
        <w:rPr>
          <w:rFonts w:cs="Times New Roman"/>
          <w:sz w:val="24"/>
          <w:szCs w:val="24"/>
        </w:rPr>
        <w:t>Challenge for acquire</w:t>
      </w:r>
      <w:r w:rsidRPr="00BB4AF6">
        <w:rPr>
          <w:rFonts w:cs="Times New Roman"/>
          <w:sz w:val="24"/>
          <w:szCs w:val="24"/>
        </w:rPr>
        <w:t xml:space="preserve">r because won’t know until merger takes place how many dissenters there will be and thus how much cash they will need. </w:t>
      </w:r>
    </w:p>
    <w:p w14:paraId="5788991A" w14:textId="15038FFB" w:rsidR="00244B0C" w:rsidRDefault="00244B0C" w:rsidP="008B1F49">
      <w:pPr>
        <w:pStyle w:val="ListParagraph"/>
        <w:numPr>
          <w:ilvl w:val="4"/>
          <w:numId w:val="13"/>
        </w:numPr>
        <w:rPr>
          <w:rFonts w:cs="Times New Roman"/>
          <w:sz w:val="24"/>
          <w:szCs w:val="24"/>
        </w:rPr>
      </w:pPr>
      <w:r>
        <w:rPr>
          <w:rFonts w:cs="Times New Roman"/>
          <w:sz w:val="24"/>
          <w:szCs w:val="24"/>
        </w:rPr>
        <w:t>Del. Corp. 262(b)(2) – “no appraisal rights…shall be available for the shares of any class or series of stock, which…were…listed on a national securities exchange” (only for closely held firms)</w:t>
      </w:r>
    </w:p>
    <w:p w14:paraId="3FD5877C" w14:textId="7DBB6DBE" w:rsidR="00C94348" w:rsidRDefault="00C94348" w:rsidP="00C94348">
      <w:pPr>
        <w:pStyle w:val="ListParagraph"/>
        <w:numPr>
          <w:ilvl w:val="3"/>
          <w:numId w:val="13"/>
        </w:numPr>
        <w:rPr>
          <w:rFonts w:cs="Times New Roman"/>
          <w:sz w:val="24"/>
          <w:szCs w:val="24"/>
        </w:rPr>
      </w:pPr>
      <w:r>
        <w:rPr>
          <w:rFonts w:cs="Times New Roman"/>
          <w:sz w:val="24"/>
          <w:szCs w:val="24"/>
        </w:rPr>
        <w:t xml:space="preserve">Some state courts follow </w:t>
      </w:r>
      <w:proofErr w:type="spellStart"/>
      <w:r>
        <w:rPr>
          <w:rFonts w:cs="Times New Roman"/>
          <w:sz w:val="24"/>
          <w:szCs w:val="24"/>
        </w:rPr>
        <w:t>defacto</w:t>
      </w:r>
      <w:proofErr w:type="spellEnd"/>
      <w:r>
        <w:rPr>
          <w:rFonts w:cs="Times New Roman"/>
          <w:sz w:val="24"/>
          <w:szCs w:val="24"/>
        </w:rPr>
        <w:t xml:space="preserve"> doctrines while others do not.</w:t>
      </w:r>
    </w:p>
    <w:p w14:paraId="0C37EF22" w14:textId="6737AB07" w:rsidR="00AA77D3" w:rsidRPr="007270F8" w:rsidRDefault="007270F8" w:rsidP="007270F8">
      <w:pPr>
        <w:pStyle w:val="ListParagraph"/>
        <w:numPr>
          <w:ilvl w:val="2"/>
          <w:numId w:val="13"/>
        </w:numPr>
        <w:rPr>
          <w:rFonts w:cs="Times New Roman"/>
          <w:sz w:val="24"/>
          <w:szCs w:val="24"/>
        </w:rPr>
      </w:pPr>
      <w:r>
        <w:rPr>
          <w:rFonts w:cs="Times New Roman"/>
          <w:sz w:val="24"/>
          <w:szCs w:val="24"/>
        </w:rPr>
        <w:t xml:space="preserve">De Facto Merger Doctrine – </w:t>
      </w:r>
      <w:r w:rsidR="00AA77D3" w:rsidRPr="007270F8">
        <w:rPr>
          <w:rFonts w:cs="Times New Roman"/>
          <w:b/>
          <w:i/>
          <w:sz w:val="24"/>
          <w:szCs w:val="24"/>
        </w:rPr>
        <w:t>Farris</w:t>
      </w:r>
      <w:r w:rsidR="00BC017C" w:rsidRPr="007270F8">
        <w:rPr>
          <w:rFonts w:cs="Times New Roman"/>
          <w:b/>
          <w:i/>
          <w:sz w:val="24"/>
          <w:szCs w:val="24"/>
        </w:rPr>
        <w:t xml:space="preserve"> v. Glen Alden Corporation (Pa. 1958)</w:t>
      </w:r>
    </w:p>
    <w:p w14:paraId="27CD9CA8" w14:textId="78B2EF20" w:rsidR="00BC017C" w:rsidRPr="005A1058" w:rsidRDefault="00BC017C" w:rsidP="007270F8">
      <w:pPr>
        <w:pStyle w:val="ListParagraph"/>
        <w:numPr>
          <w:ilvl w:val="3"/>
          <w:numId w:val="13"/>
        </w:numPr>
        <w:rPr>
          <w:rFonts w:cs="Times New Roman"/>
          <w:sz w:val="24"/>
          <w:szCs w:val="24"/>
        </w:rPr>
      </w:pPr>
      <w:r w:rsidRPr="005A1058">
        <w:rPr>
          <w:rFonts w:cs="Times New Roman"/>
          <w:sz w:val="24"/>
          <w:szCs w:val="24"/>
        </w:rPr>
        <w:t>Synopsis:</w:t>
      </w:r>
      <w:r w:rsidR="007755F4" w:rsidRPr="005A1058">
        <w:rPr>
          <w:rFonts w:cs="Times New Roman"/>
          <w:sz w:val="24"/>
          <w:szCs w:val="24"/>
        </w:rPr>
        <w:t xml:space="preserve"> List (a DE corporation) owned 38% of Glen Alden (smaller PA </w:t>
      </w:r>
      <w:proofErr w:type="gramStart"/>
      <w:r w:rsidR="007755F4" w:rsidRPr="005A1058">
        <w:rPr>
          <w:rFonts w:cs="Times New Roman"/>
          <w:sz w:val="24"/>
          <w:szCs w:val="24"/>
        </w:rPr>
        <w:t>corporation</w:t>
      </w:r>
      <w:proofErr w:type="gramEnd"/>
      <w:r w:rsidR="007755F4" w:rsidRPr="005A1058">
        <w:rPr>
          <w:rFonts w:cs="Times New Roman"/>
          <w:sz w:val="24"/>
          <w:szCs w:val="24"/>
        </w:rPr>
        <w:t>). The boards of the two firms decided to combine them. Because both DE and PA law gave merged shareholders appraisal rights, the boards instead arranged (</w:t>
      </w:r>
      <w:proofErr w:type="spellStart"/>
      <w:r w:rsidR="007755F4" w:rsidRPr="005A1058">
        <w:rPr>
          <w:rFonts w:cs="Times New Roman"/>
          <w:sz w:val="24"/>
          <w:szCs w:val="24"/>
        </w:rPr>
        <w:t>i</w:t>
      </w:r>
      <w:proofErr w:type="spellEnd"/>
      <w:r w:rsidR="007755F4" w:rsidRPr="005A1058">
        <w:rPr>
          <w:rFonts w:cs="Times New Roman"/>
          <w:sz w:val="24"/>
          <w:szCs w:val="24"/>
        </w:rPr>
        <w:t xml:space="preserve">) for List to sell its assets to Glen Alden, (ii) for Glen Alden to pay for the assets with its stock, (iii) for List to liquidate and distribute the Glen Alden stock to its shareholders, and (v) for Glen Alden to rename itself List-Alden. The resulting List-Alden firm would hold all the assets of the two corporations and be owned by the shareholders of the two firms. Stephen Farris, a shareholder of Glen Alden, sued arguing it was a de factor merger and thus </w:t>
      </w:r>
      <w:r w:rsidR="009316FC" w:rsidRPr="005A1058">
        <w:rPr>
          <w:rFonts w:cs="Times New Roman"/>
          <w:sz w:val="24"/>
          <w:szCs w:val="24"/>
        </w:rPr>
        <w:t xml:space="preserve">as a dissenting shareholder </w:t>
      </w:r>
      <w:r w:rsidR="007755F4" w:rsidRPr="005A1058">
        <w:rPr>
          <w:rFonts w:cs="Times New Roman"/>
          <w:sz w:val="24"/>
          <w:szCs w:val="24"/>
        </w:rPr>
        <w:t xml:space="preserve">he was owed appraisal rights. Court </w:t>
      </w:r>
      <w:r w:rsidR="006A41B4" w:rsidRPr="005A1058">
        <w:rPr>
          <w:rFonts w:cs="Times New Roman"/>
          <w:sz w:val="24"/>
          <w:szCs w:val="24"/>
        </w:rPr>
        <w:t xml:space="preserve">found this was a de facto merger considering the following – company would </w:t>
      </w:r>
      <w:r w:rsidR="006A41B4" w:rsidRPr="005A1058">
        <w:rPr>
          <w:rFonts w:cs="Times New Roman"/>
          <w:sz w:val="24"/>
          <w:szCs w:val="24"/>
        </w:rPr>
        <w:lastRenderedPageBreak/>
        <w:t>change from coal mining company to diversified company; prior company had half the assets and one-seventh of the debt of new company; control of Glen Alden would pass to directors of List; Farris’ proportionate interest would be reduced to two-fifths of what it was before; ownership would pass to the stockholder of List; and value of stock would decrease for Farris.</w:t>
      </w:r>
    </w:p>
    <w:p w14:paraId="0BBAA67E" w14:textId="4C8BB441" w:rsidR="00BC017C" w:rsidRPr="005A1058" w:rsidRDefault="00BC017C" w:rsidP="007270F8">
      <w:pPr>
        <w:pStyle w:val="ListParagraph"/>
        <w:numPr>
          <w:ilvl w:val="3"/>
          <w:numId w:val="13"/>
        </w:numPr>
        <w:rPr>
          <w:rFonts w:cs="Times New Roman"/>
          <w:sz w:val="24"/>
          <w:szCs w:val="24"/>
        </w:rPr>
      </w:pPr>
      <w:r w:rsidRPr="005A1058">
        <w:rPr>
          <w:rFonts w:cs="Times New Roman"/>
          <w:sz w:val="24"/>
          <w:szCs w:val="24"/>
        </w:rPr>
        <w:t>Tool:</w:t>
      </w:r>
      <w:r w:rsidR="007755F4" w:rsidRPr="005A1058">
        <w:rPr>
          <w:rFonts w:cs="Times New Roman"/>
          <w:sz w:val="24"/>
          <w:szCs w:val="24"/>
        </w:rPr>
        <w:t xml:space="preserve"> A reorganization by a corporation to acquire the assets of another organization operates as a de facto merger if the nature of the corporation is significantly changed and the shareholder’s in</w:t>
      </w:r>
      <w:r w:rsidR="006A41B4" w:rsidRPr="005A1058">
        <w:rPr>
          <w:rFonts w:cs="Times New Roman"/>
          <w:sz w:val="24"/>
          <w:szCs w:val="24"/>
        </w:rPr>
        <w:t>terest is significantly altered to the point where to refuse the rights and remedies of a dissenting shareholder would in reality force him to give up his stock in one corporation and against his will accept shares in another.”</w:t>
      </w:r>
    </w:p>
    <w:p w14:paraId="038C9398" w14:textId="5F9764B4" w:rsidR="006A41B4" w:rsidRPr="005A1058" w:rsidRDefault="006A41B4" w:rsidP="007270F8">
      <w:pPr>
        <w:pStyle w:val="ListParagraph"/>
        <w:numPr>
          <w:ilvl w:val="3"/>
          <w:numId w:val="13"/>
        </w:numPr>
        <w:rPr>
          <w:rFonts w:cs="Times New Roman"/>
          <w:sz w:val="24"/>
          <w:szCs w:val="24"/>
        </w:rPr>
      </w:pPr>
      <w:r w:rsidRPr="005A1058">
        <w:rPr>
          <w:rFonts w:cs="Times New Roman"/>
          <w:sz w:val="24"/>
          <w:szCs w:val="24"/>
        </w:rPr>
        <w:t xml:space="preserve">Aftermath: Pennsylvania legislature clarified law and intent to abolish de facto mergers and Third Circuit accepted that it was </w:t>
      </w:r>
      <w:r w:rsidRPr="007270F8">
        <w:rPr>
          <w:rFonts w:cs="Times New Roman"/>
          <w:sz w:val="24"/>
          <w:szCs w:val="24"/>
          <w:u w:val="single"/>
        </w:rPr>
        <w:t>not the law</w:t>
      </w:r>
      <w:r w:rsidRPr="005A1058">
        <w:rPr>
          <w:rFonts w:cs="Times New Roman"/>
          <w:sz w:val="24"/>
          <w:szCs w:val="24"/>
        </w:rPr>
        <w:t xml:space="preserve"> of PA. </w:t>
      </w:r>
    </w:p>
    <w:p w14:paraId="49AFD65A" w14:textId="5DD86C9E" w:rsidR="00AA77D3" w:rsidRPr="005A1058" w:rsidRDefault="007270F8" w:rsidP="007270F8">
      <w:pPr>
        <w:pStyle w:val="ListParagraph"/>
        <w:numPr>
          <w:ilvl w:val="2"/>
          <w:numId w:val="13"/>
        </w:numPr>
        <w:rPr>
          <w:rFonts w:cs="Times New Roman"/>
          <w:b/>
          <w:i/>
          <w:sz w:val="24"/>
          <w:szCs w:val="24"/>
        </w:rPr>
      </w:pPr>
      <w:r>
        <w:rPr>
          <w:rFonts w:cs="Times New Roman"/>
          <w:sz w:val="24"/>
          <w:szCs w:val="24"/>
        </w:rPr>
        <w:t xml:space="preserve">Rejects </w:t>
      </w:r>
      <w:proofErr w:type="spellStart"/>
      <w:r>
        <w:rPr>
          <w:rFonts w:cs="Times New Roman"/>
          <w:sz w:val="24"/>
          <w:szCs w:val="24"/>
        </w:rPr>
        <w:t>DeFacto</w:t>
      </w:r>
      <w:proofErr w:type="spellEnd"/>
      <w:r>
        <w:rPr>
          <w:rFonts w:cs="Times New Roman"/>
          <w:sz w:val="24"/>
          <w:szCs w:val="24"/>
        </w:rPr>
        <w:t xml:space="preserve"> Merger Doctrine – </w:t>
      </w:r>
      <w:proofErr w:type="spellStart"/>
      <w:r w:rsidR="00AA77D3" w:rsidRPr="005A1058">
        <w:rPr>
          <w:rFonts w:cs="Times New Roman"/>
          <w:b/>
          <w:i/>
          <w:sz w:val="24"/>
          <w:szCs w:val="24"/>
        </w:rPr>
        <w:t>Hariton</w:t>
      </w:r>
      <w:proofErr w:type="spellEnd"/>
      <w:r w:rsidR="00EB59CC" w:rsidRPr="005A1058">
        <w:rPr>
          <w:rFonts w:cs="Times New Roman"/>
          <w:b/>
          <w:i/>
          <w:sz w:val="24"/>
          <w:szCs w:val="24"/>
        </w:rPr>
        <w:t xml:space="preserve"> v. Arco Electronics, Inc. (Del. 1963)</w:t>
      </w:r>
    </w:p>
    <w:p w14:paraId="31480EAB" w14:textId="2A71709E" w:rsidR="00EB59CC" w:rsidRPr="005A1058" w:rsidRDefault="00EB59CC" w:rsidP="007270F8">
      <w:pPr>
        <w:pStyle w:val="ListParagraph"/>
        <w:numPr>
          <w:ilvl w:val="3"/>
          <w:numId w:val="13"/>
        </w:numPr>
        <w:rPr>
          <w:rFonts w:cs="Times New Roman"/>
          <w:sz w:val="24"/>
          <w:szCs w:val="24"/>
        </w:rPr>
      </w:pPr>
      <w:r w:rsidRPr="005A1058">
        <w:rPr>
          <w:rFonts w:cs="Times New Roman"/>
          <w:sz w:val="24"/>
          <w:szCs w:val="24"/>
        </w:rPr>
        <w:t>Synopsis:</w:t>
      </w:r>
      <w:r w:rsidR="00D36D9C" w:rsidRPr="005A1058">
        <w:rPr>
          <w:rFonts w:cs="Times New Roman"/>
          <w:sz w:val="24"/>
          <w:szCs w:val="24"/>
        </w:rPr>
        <w:t xml:space="preserve"> Arco sold its assets to Loral in </w:t>
      </w:r>
      <w:r w:rsidR="002B2F0C">
        <w:rPr>
          <w:rFonts w:cs="Times New Roman"/>
          <w:sz w:val="24"/>
          <w:szCs w:val="24"/>
        </w:rPr>
        <w:t>exchange for Loral shares and t</w:t>
      </w:r>
      <w:r w:rsidR="00D36D9C" w:rsidRPr="005A1058">
        <w:rPr>
          <w:rFonts w:cs="Times New Roman"/>
          <w:sz w:val="24"/>
          <w:szCs w:val="24"/>
        </w:rPr>
        <w:t>h</w:t>
      </w:r>
      <w:r w:rsidR="002B2F0C">
        <w:rPr>
          <w:rFonts w:cs="Times New Roman"/>
          <w:sz w:val="24"/>
          <w:szCs w:val="24"/>
        </w:rPr>
        <w:t>e</w:t>
      </w:r>
      <w:r w:rsidR="00D36D9C" w:rsidRPr="005A1058">
        <w:rPr>
          <w:rFonts w:cs="Times New Roman"/>
          <w:sz w:val="24"/>
          <w:szCs w:val="24"/>
        </w:rPr>
        <w:t>n distributed the Loral stock in liquidation. An Arco shareholder sued for appraisal rights. The Supreme Court of Delaware held that the agreement was valid because it complied with Delaware’s statute regarding the sale of assets. The two statute provisions operate independently, and an agreement is valid if it complies with one or the other.</w:t>
      </w:r>
    </w:p>
    <w:p w14:paraId="00059058" w14:textId="7E692303" w:rsidR="00EB59CC" w:rsidRPr="005A1058" w:rsidRDefault="00EB59CC" w:rsidP="007270F8">
      <w:pPr>
        <w:pStyle w:val="ListParagraph"/>
        <w:numPr>
          <w:ilvl w:val="3"/>
          <w:numId w:val="13"/>
        </w:numPr>
        <w:rPr>
          <w:rFonts w:cs="Times New Roman"/>
          <w:sz w:val="24"/>
          <w:szCs w:val="24"/>
        </w:rPr>
      </w:pPr>
      <w:r w:rsidRPr="005A1058">
        <w:rPr>
          <w:rFonts w:cs="Times New Roman"/>
          <w:sz w:val="24"/>
          <w:szCs w:val="24"/>
        </w:rPr>
        <w:t>Tool:</w:t>
      </w:r>
      <w:r w:rsidR="00D36D9C" w:rsidRPr="005A1058">
        <w:rPr>
          <w:rFonts w:cs="Times New Roman"/>
          <w:sz w:val="24"/>
          <w:szCs w:val="24"/>
        </w:rPr>
        <w:t xml:space="preserve"> If a corporate board chooses to structure a transaction through the asset sale section of the law, the court </w:t>
      </w:r>
      <w:r w:rsidR="007270F8">
        <w:rPr>
          <w:rFonts w:cs="Times New Roman"/>
          <w:sz w:val="24"/>
          <w:szCs w:val="24"/>
        </w:rPr>
        <w:t>will</w:t>
      </w:r>
      <w:r w:rsidR="00D36D9C" w:rsidRPr="005A1058">
        <w:rPr>
          <w:rFonts w:cs="Times New Roman"/>
          <w:sz w:val="24"/>
          <w:szCs w:val="24"/>
        </w:rPr>
        <w:t xml:space="preserve"> not re-characterize it by the merger section. Boards could apply the statutory provisions they wanted. Under Delaware law, some corporate combinations granted dissenters appraisal rights. Others did not. Effectively, the court declared appraisal an optional remedy.</w:t>
      </w:r>
    </w:p>
    <w:p w14:paraId="30EE4FAD" w14:textId="14105F4B" w:rsidR="00AA77D3" w:rsidRPr="00957772" w:rsidRDefault="007270F8" w:rsidP="00957772">
      <w:pPr>
        <w:pStyle w:val="ListParagraph"/>
        <w:numPr>
          <w:ilvl w:val="2"/>
          <w:numId w:val="13"/>
        </w:numPr>
        <w:rPr>
          <w:rFonts w:cs="Times New Roman"/>
          <w:b/>
          <w:i/>
          <w:sz w:val="24"/>
          <w:szCs w:val="24"/>
        </w:rPr>
      </w:pPr>
      <w:r>
        <w:rPr>
          <w:rFonts w:cs="Times New Roman"/>
          <w:sz w:val="24"/>
          <w:szCs w:val="24"/>
        </w:rPr>
        <w:t xml:space="preserve">Rejects </w:t>
      </w:r>
      <w:r w:rsidR="001A7B8D">
        <w:rPr>
          <w:rFonts w:cs="Times New Roman"/>
          <w:sz w:val="24"/>
          <w:szCs w:val="24"/>
        </w:rPr>
        <w:t>De Facto Non-Merger Doctrine</w:t>
      </w:r>
      <w:r>
        <w:rPr>
          <w:rFonts w:cs="Times New Roman"/>
          <w:sz w:val="24"/>
          <w:szCs w:val="24"/>
        </w:rPr>
        <w:t xml:space="preserve"> –</w:t>
      </w:r>
      <w:r w:rsidR="001A7B8D" w:rsidRPr="00957772">
        <w:rPr>
          <w:rFonts w:cs="Times New Roman"/>
          <w:sz w:val="24"/>
          <w:szCs w:val="24"/>
        </w:rPr>
        <w:t xml:space="preserve"> </w:t>
      </w:r>
      <w:r w:rsidR="00AA77D3" w:rsidRPr="00957772">
        <w:rPr>
          <w:rFonts w:cs="Times New Roman"/>
          <w:b/>
          <w:i/>
          <w:sz w:val="24"/>
          <w:szCs w:val="24"/>
        </w:rPr>
        <w:t>Rauch</w:t>
      </w:r>
      <w:r w:rsidR="00BC6202" w:rsidRPr="00957772">
        <w:rPr>
          <w:rFonts w:cs="Times New Roman"/>
          <w:b/>
          <w:i/>
          <w:sz w:val="24"/>
          <w:szCs w:val="24"/>
        </w:rPr>
        <w:t xml:space="preserve"> v. RCA Corporation (2d Cir. 1988)</w:t>
      </w:r>
    </w:p>
    <w:p w14:paraId="4E820FA8" w14:textId="5B3BFBB5" w:rsidR="00BC6202" w:rsidRDefault="00BC6202" w:rsidP="00957772">
      <w:pPr>
        <w:pStyle w:val="ListParagraph"/>
        <w:numPr>
          <w:ilvl w:val="3"/>
          <w:numId w:val="13"/>
        </w:numPr>
        <w:rPr>
          <w:rFonts w:cs="Times New Roman"/>
          <w:sz w:val="24"/>
          <w:szCs w:val="24"/>
        </w:rPr>
      </w:pPr>
      <w:r>
        <w:rPr>
          <w:rFonts w:cs="Times New Roman"/>
          <w:sz w:val="24"/>
          <w:szCs w:val="24"/>
        </w:rPr>
        <w:t>Synopsis:</w:t>
      </w:r>
      <w:r w:rsidR="00560A59">
        <w:rPr>
          <w:rFonts w:cs="Times New Roman"/>
          <w:sz w:val="24"/>
          <w:szCs w:val="24"/>
        </w:rPr>
        <w:t xml:space="preserve"> General Electric decided to merge RCA into a subsidiary, </w:t>
      </w:r>
      <w:proofErr w:type="spellStart"/>
      <w:r w:rsidR="00560A59">
        <w:rPr>
          <w:rFonts w:cs="Times New Roman"/>
          <w:sz w:val="24"/>
          <w:szCs w:val="24"/>
        </w:rPr>
        <w:t>Gesub</w:t>
      </w:r>
      <w:proofErr w:type="spellEnd"/>
      <w:r w:rsidR="00560A59">
        <w:rPr>
          <w:rFonts w:cs="Times New Roman"/>
          <w:sz w:val="24"/>
          <w:szCs w:val="24"/>
        </w:rPr>
        <w:t>. RCA had two classes of stock, common and preferred. To carry out the acquisition,</w:t>
      </w:r>
      <w:r w:rsidR="00560A59" w:rsidRPr="00560A59">
        <w:rPr>
          <w:rFonts w:cs="Times New Roman"/>
          <w:sz w:val="24"/>
          <w:szCs w:val="24"/>
        </w:rPr>
        <w:t xml:space="preserve"> RCA and </w:t>
      </w:r>
      <w:proofErr w:type="spellStart"/>
      <w:r w:rsidR="00560A59" w:rsidRPr="00560A59">
        <w:rPr>
          <w:rFonts w:cs="Times New Roman"/>
          <w:sz w:val="24"/>
          <w:szCs w:val="24"/>
        </w:rPr>
        <w:t>Gesub</w:t>
      </w:r>
      <w:proofErr w:type="spellEnd"/>
      <w:r w:rsidR="00560A59" w:rsidRPr="00560A59">
        <w:rPr>
          <w:rFonts w:cs="Times New Roman"/>
          <w:sz w:val="24"/>
          <w:szCs w:val="24"/>
        </w:rPr>
        <w:t xml:space="preserve"> shares were converted to cash and </w:t>
      </w:r>
      <w:proofErr w:type="spellStart"/>
      <w:r w:rsidR="00560A59" w:rsidRPr="00560A59">
        <w:rPr>
          <w:rFonts w:cs="Times New Roman"/>
          <w:sz w:val="24"/>
          <w:szCs w:val="24"/>
        </w:rPr>
        <w:t>Gesub</w:t>
      </w:r>
      <w:proofErr w:type="spellEnd"/>
      <w:r w:rsidR="00560A59" w:rsidRPr="00560A59">
        <w:rPr>
          <w:rFonts w:cs="Times New Roman"/>
          <w:sz w:val="24"/>
          <w:szCs w:val="24"/>
        </w:rPr>
        <w:t xml:space="preserve"> then merged into RCA. </w:t>
      </w:r>
      <w:r w:rsidR="00560A59">
        <w:rPr>
          <w:rFonts w:cs="Times New Roman"/>
          <w:sz w:val="24"/>
          <w:szCs w:val="24"/>
        </w:rPr>
        <w:t xml:space="preserve">General Electric agreed to pay the common $66 per share and the preferred $40. The RCA charter provided, however, that the company could redeem the preferred at $100 per share. </w:t>
      </w:r>
      <w:r w:rsidR="00560A59" w:rsidRPr="00560A59">
        <w:rPr>
          <w:rFonts w:cs="Times New Roman"/>
          <w:sz w:val="24"/>
          <w:szCs w:val="24"/>
        </w:rPr>
        <w:t xml:space="preserve">A provision in RCA’s certificate of incorporation provided a $100 per share value if </w:t>
      </w:r>
      <w:r w:rsidR="00560A59">
        <w:rPr>
          <w:rFonts w:cs="Times New Roman"/>
          <w:sz w:val="24"/>
          <w:szCs w:val="24"/>
        </w:rPr>
        <w:t>preferred stock</w:t>
      </w:r>
      <w:r w:rsidR="00560A59" w:rsidRPr="00560A59">
        <w:rPr>
          <w:rFonts w:cs="Times New Roman"/>
          <w:sz w:val="24"/>
          <w:szCs w:val="24"/>
        </w:rPr>
        <w:t xml:space="preserve"> were ever redeemed by RCA. </w:t>
      </w:r>
      <w:r w:rsidR="00560A59">
        <w:rPr>
          <w:rFonts w:cs="Times New Roman"/>
          <w:sz w:val="24"/>
          <w:szCs w:val="24"/>
        </w:rPr>
        <w:t xml:space="preserve">Holding preferred stock, Lillian Rauch (P), on behalf of a class of holders of preferred stock, argued </w:t>
      </w:r>
      <w:r w:rsidR="00560A59" w:rsidRPr="00560A59">
        <w:rPr>
          <w:rFonts w:cs="Times New Roman"/>
          <w:sz w:val="24"/>
          <w:szCs w:val="24"/>
        </w:rPr>
        <w:t>that the merger acts as an end-around to av</w:t>
      </w:r>
      <w:r w:rsidR="00616E9F">
        <w:rPr>
          <w:rFonts w:cs="Times New Roman"/>
          <w:sz w:val="24"/>
          <w:szCs w:val="24"/>
        </w:rPr>
        <w:t>oid paying P her $100 per share</w:t>
      </w:r>
      <w:r w:rsidR="00560A59">
        <w:rPr>
          <w:rFonts w:cs="Times New Roman"/>
          <w:sz w:val="24"/>
          <w:szCs w:val="24"/>
        </w:rPr>
        <w:t xml:space="preserve"> and that the court should </w:t>
      </w:r>
      <w:proofErr w:type="spellStart"/>
      <w:r w:rsidR="00560A59">
        <w:rPr>
          <w:rFonts w:cs="Times New Roman"/>
          <w:sz w:val="24"/>
          <w:szCs w:val="24"/>
        </w:rPr>
        <w:t>recharacterize</w:t>
      </w:r>
      <w:proofErr w:type="spellEnd"/>
      <w:r w:rsidR="00560A59">
        <w:rPr>
          <w:rFonts w:cs="Times New Roman"/>
          <w:sz w:val="24"/>
          <w:szCs w:val="24"/>
        </w:rPr>
        <w:t xml:space="preserve"> the transaction as a redemption of the preferred at $100 per share. 2d Cir. held that it would not </w:t>
      </w:r>
      <w:proofErr w:type="spellStart"/>
      <w:r w:rsidR="00560A59">
        <w:rPr>
          <w:rFonts w:cs="Times New Roman"/>
          <w:sz w:val="24"/>
          <w:szCs w:val="24"/>
        </w:rPr>
        <w:t>recharacterize</w:t>
      </w:r>
      <w:proofErr w:type="spellEnd"/>
      <w:r w:rsidR="00560A59">
        <w:rPr>
          <w:rFonts w:cs="Times New Roman"/>
          <w:sz w:val="24"/>
          <w:szCs w:val="24"/>
        </w:rPr>
        <w:t xml:space="preserve"> the merger as a redemption after the fact, because merger and redemption provisions were “of equal dignity.”</w:t>
      </w:r>
    </w:p>
    <w:p w14:paraId="05B74D97" w14:textId="77777777" w:rsidR="001A7B8D" w:rsidRDefault="00BC6202" w:rsidP="00957772">
      <w:pPr>
        <w:pStyle w:val="ListParagraph"/>
        <w:numPr>
          <w:ilvl w:val="3"/>
          <w:numId w:val="13"/>
        </w:numPr>
        <w:rPr>
          <w:rFonts w:cs="Times New Roman"/>
          <w:sz w:val="24"/>
          <w:szCs w:val="24"/>
        </w:rPr>
      </w:pPr>
      <w:r>
        <w:rPr>
          <w:rFonts w:cs="Times New Roman"/>
          <w:sz w:val="24"/>
          <w:szCs w:val="24"/>
        </w:rPr>
        <w:t>Tool:</w:t>
      </w:r>
      <w:r w:rsidR="00560A59">
        <w:rPr>
          <w:rFonts w:cs="Times New Roman"/>
          <w:sz w:val="24"/>
          <w:szCs w:val="24"/>
        </w:rPr>
        <w:t xml:space="preserve"> </w:t>
      </w:r>
    </w:p>
    <w:p w14:paraId="076F3381" w14:textId="642842D7" w:rsidR="00BC6202" w:rsidRDefault="00560A59" w:rsidP="00957772">
      <w:pPr>
        <w:pStyle w:val="ListParagraph"/>
        <w:numPr>
          <w:ilvl w:val="4"/>
          <w:numId w:val="13"/>
        </w:numPr>
        <w:rPr>
          <w:rFonts w:cs="Times New Roman"/>
          <w:sz w:val="24"/>
          <w:szCs w:val="24"/>
        </w:rPr>
      </w:pPr>
      <w:r w:rsidRPr="00560A59">
        <w:rPr>
          <w:rFonts w:cs="Times New Roman"/>
          <w:sz w:val="24"/>
          <w:szCs w:val="24"/>
        </w:rPr>
        <w:t>A conversion of shares to cash to complete a merger is legally distinct from a redemption of shares and therefore redemption provisions or laws governing redemption are inapplicable.</w:t>
      </w:r>
      <w:r w:rsidR="001A7B8D">
        <w:rPr>
          <w:rFonts w:cs="Times New Roman"/>
          <w:sz w:val="24"/>
          <w:szCs w:val="24"/>
        </w:rPr>
        <w:t xml:space="preserve"> Delaware statute specifically allows for a merger which provides for the conversion of shares into cash.</w:t>
      </w:r>
    </w:p>
    <w:p w14:paraId="779919A7" w14:textId="4AD1FEDB" w:rsidR="001A7B8D" w:rsidRDefault="001A7B8D" w:rsidP="00957772">
      <w:pPr>
        <w:pStyle w:val="ListParagraph"/>
        <w:numPr>
          <w:ilvl w:val="4"/>
          <w:numId w:val="13"/>
        </w:numPr>
        <w:rPr>
          <w:rFonts w:cs="Times New Roman"/>
          <w:sz w:val="24"/>
          <w:szCs w:val="24"/>
        </w:rPr>
      </w:pPr>
      <w:r>
        <w:rPr>
          <w:rFonts w:cs="Times New Roman"/>
          <w:sz w:val="24"/>
          <w:szCs w:val="24"/>
        </w:rPr>
        <w:t>“</w:t>
      </w:r>
      <w:r w:rsidRPr="00EA0113">
        <w:rPr>
          <w:rFonts w:cs="Times New Roman"/>
          <w:sz w:val="24"/>
          <w:szCs w:val="24"/>
          <w:u w:val="single"/>
        </w:rPr>
        <w:t>action taken under one section of [Del. Corp. Law] is legally independent, and its validity is not dependent upon, nor to be tested by the requirements of other unrelated sections under which the same final result might be attained by different means</w:t>
      </w:r>
      <w:r>
        <w:rPr>
          <w:rFonts w:cs="Times New Roman"/>
          <w:sz w:val="24"/>
          <w:szCs w:val="24"/>
        </w:rPr>
        <w:t>…</w:t>
      </w:r>
      <w:r w:rsidRPr="00EA0113">
        <w:rPr>
          <w:rFonts w:cs="Times New Roman"/>
          <w:sz w:val="24"/>
          <w:szCs w:val="24"/>
          <w:u w:val="single"/>
        </w:rPr>
        <w:t xml:space="preserve">the provisions of the Delaware Gen. Corp. Law are of </w:t>
      </w:r>
      <w:r w:rsidRPr="00F30612">
        <w:rPr>
          <w:rFonts w:cs="Times New Roman"/>
          <w:b/>
          <w:sz w:val="24"/>
          <w:szCs w:val="24"/>
          <w:u w:val="single"/>
        </w:rPr>
        <w:t>equal dignity</w:t>
      </w:r>
      <w:r>
        <w:rPr>
          <w:rFonts w:cs="Times New Roman"/>
          <w:sz w:val="24"/>
          <w:szCs w:val="24"/>
        </w:rPr>
        <w:t>, and a corporation may resort to one section thereof without having to answer for the consequences that would have arisen from invocation of a different section.”</w:t>
      </w:r>
    </w:p>
    <w:p w14:paraId="63ECB1F3" w14:textId="3ACB571C" w:rsidR="008B1F49" w:rsidRDefault="008B1F49" w:rsidP="00957772">
      <w:pPr>
        <w:pStyle w:val="ListParagraph"/>
        <w:numPr>
          <w:ilvl w:val="5"/>
          <w:numId w:val="13"/>
        </w:numPr>
        <w:rPr>
          <w:rFonts w:cs="Times New Roman"/>
          <w:sz w:val="24"/>
          <w:szCs w:val="24"/>
        </w:rPr>
      </w:pPr>
      <w:r>
        <w:rPr>
          <w:rFonts w:cs="Times New Roman"/>
          <w:sz w:val="24"/>
          <w:szCs w:val="24"/>
        </w:rPr>
        <w:t>NOTE: This is practically speaking making appraisal rights OPTIONAL, because there are many different ways to achieve the practical eff</w:t>
      </w:r>
      <w:r w:rsidR="007270F8">
        <w:rPr>
          <w:rFonts w:cs="Times New Roman"/>
          <w:sz w:val="24"/>
          <w:szCs w:val="24"/>
        </w:rPr>
        <w:t>ect of a merger, and some ways d</w:t>
      </w:r>
      <w:r>
        <w:rPr>
          <w:rFonts w:cs="Times New Roman"/>
          <w:sz w:val="24"/>
          <w:szCs w:val="24"/>
        </w:rPr>
        <w:t>o not require appraisal rights.</w:t>
      </w:r>
    </w:p>
    <w:p w14:paraId="082BE66E" w14:textId="1129068B" w:rsidR="001A7B8D" w:rsidRPr="00BC6202" w:rsidRDefault="001A7B8D" w:rsidP="00957772">
      <w:pPr>
        <w:pStyle w:val="ListParagraph"/>
        <w:numPr>
          <w:ilvl w:val="4"/>
          <w:numId w:val="13"/>
        </w:numPr>
        <w:rPr>
          <w:rFonts w:cs="Times New Roman"/>
          <w:sz w:val="24"/>
          <w:szCs w:val="24"/>
        </w:rPr>
      </w:pPr>
      <w:r>
        <w:rPr>
          <w:rFonts w:cs="Times New Roman"/>
          <w:sz w:val="24"/>
          <w:szCs w:val="24"/>
        </w:rPr>
        <w:t xml:space="preserve">Limits to this ruling – court mentioned that Delaware provides specific protection to shareholders who believe that they have received insufficient value for their stock as the </w:t>
      </w:r>
      <w:r>
        <w:rPr>
          <w:rFonts w:cs="Times New Roman"/>
          <w:sz w:val="24"/>
          <w:szCs w:val="24"/>
        </w:rPr>
        <w:lastRenderedPageBreak/>
        <w:t xml:space="preserve">result of a merger: they may obtain an appraisal under 262. P disavowed any appraisal theory or remedy though. Probably because she knew she would not have gotten more. </w:t>
      </w:r>
    </w:p>
    <w:p w14:paraId="06D95D8F" w14:textId="2A9EA403" w:rsidR="00AA77D3" w:rsidRDefault="00AA77D3" w:rsidP="00E5052D">
      <w:pPr>
        <w:pStyle w:val="Heading2"/>
        <w:numPr>
          <w:ilvl w:val="0"/>
          <w:numId w:val="13"/>
        </w:numPr>
      </w:pPr>
      <w:r>
        <w:t>Freeze-Out Mergers</w:t>
      </w:r>
    </w:p>
    <w:p w14:paraId="476E0A3B" w14:textId="62DEF861" w:rsidR="00AA77D3" w:rsidRDefault="00AA77D3" w:rsidP="00E5052D">
      <w:pPr>
        <w:pStyle w:val="Heading3"/>
        <w:numPr>
          <w:ilvl w:val="1"/>
          <w:numId w:val="13"/>
        </w:numPr>
      </w:pPr>
      <w:r>
        <w:t>Introduction</w:t>
      </w:r>
    </w:p>
    <w:p w14:paraId="74372864" w14:textId="7773D510" w:rsidR="00AA77D3" w:rsidRDefault="00AA77D3" w:rsidP="00AA77D3">
      <w:pPr>
        <w:pStyle w:val="ListParagraph"/>
        <w:numPr>
          <w:ilvl w:val="2"/>
          <w:numId w:val="13"/>
        </w:numPr>
        <w:rPr>
          <w:rFonts w:cs="Times New Roman"/>
          <w:sz w:val="24"/>
          <w:szCs w:val="24"/>
        </w:rPr>
      </w:pPr>
      <w:r>
        <w:rPr>
          <w:rFonts w:cs="Times New Roman"/>
          <w:sz w:val="24"/>
          <w:szCs w:val="24"/>
        </w:rPr>
        <w:t>Why</w:t>
      </w:r>
      <w:r w:rsidR="00EF76C0">
        <w:rPr>
          <w:rFonts w:cs="Times New Roman"/>
          <w:sz w:val="24"/>
          <w:szCs w:val="24"/>
        </w:rPr>
        <w:t xml:space="preserve"> – the fiduciary duty that controlling shareholders owe the minority under cases like Sinclair, can cause trouble. Suppose one person owns stock in two different firms that do business together and the service provided between firms does not have a clear market price. That person owes a fiduciary duty to the selling firm to not charge too low and a duty to the buying firm not to pay too much. That person can solve this problem by eliminating the minority shareholders in both firms. However, that person can’t just offer to buy their stock because they may hold out for a high price. </w:t>
      </w:r>
    </w:p>
    <w:p w14:paraId="693FC189" w14:textId="20B5F5A0" w:rsidR="00AA77D3" w:rsidRDefault="00AA77D3" w:rsidP="00AA77D3">
      <w:pPr>
        <w:pStyle w:val="ListParagraph"/>
        <w:numPr>
          <w:ilvl w:val="2"/>
          <w:numId w:val="13"/>
        </w:numPr>
        <w:rPr>
          <w:rFonts w:cs="Times New Roman"/>
          <w:sz w:val="24"/>
          <w:szCs w:val="24"/>
        </w:rPr>
      </w:pPr>
      <w:r>
        <w:rPr>
          <w:rFonts w:cs="Times New Roman"/>
          <w:sz w:val="24"/>
          <w:szCs w:val="24"/>
        </w:rPr>
        <w:t>How</w:t>
      </w:r>
      <w:r w:rsidR="00EF76C0">
        <w:rPr>
          <w:rFonts w:cs="Times New Roman"/>
          <w:sz w:val="24"/>
          <w:szCs w:val="24"/>
        </w:rPr>
        <w:t xml:space="preserve"> – The freeze-out merger (sometimes known as a cash-out merger) solves the hold-up problem. To “freeze out” you form </w:t>
      </w:r>
      <w:r w:rsidR="00107827">
        <w:rPr>
          <w:rFonts w:cs="Times New Roman"/>
          <w:sz w:val="24"/>
          <w:szCs w:val="24"/>
        </w:rPr>
        <w:t>a shell</w:t>
      </w:r>
      <w:r w:rsidR="00EF76C0">
        <w:rPr>
          <w:rFonts w:cs="Times New Roman"/>
          <w:sz w:val="24"/>
          <w:szCs w:val="24"/>
        </w:rPr>
        <w:t xml:space="preserve"> corporations of which you own 100%. Then merge the </w:t>
      </w:r>
      <w:r w:rsidR="00107827">
        <w:rPr>
          <w:rFonts w:cs="Times New Roman"/>
          <w:sz w:val="24"/>
          <w:szCs w:val="24"/>
        </w:rPr>
        <w:t xml:space="preserve">already existing firm into shell </w:t>
      </w:r>
      <w:r w:rsidR="00EF76C0">
        <w:rPr>
          <w:rFonts w:cs="Times New Roman"/>
          <w:sz w:val="24"/>
          <w:szCs w:val="24"/>
        </w:rPr>
        <w:t>fir</w:t>
      </w:r>
      <w:r w:rsidR="00107827">
        <w:rPr>
          <w:rFonts w:cs="Times New Roman"/>
          <w:sz w:val="24"/>
          <w:szCs w:val="24"/>
        </w:rPr>
        <w:t>m</w:t>
      </w:r>
      <w:r w:rsidR="00EF76C0">
        <w:rPr>
          <w:rFonts w:cs="Times New Roman"/>
          <w:sz w:val="24"/>
          <w:szCs w:val="24"/>
        </w:rPr>
        <w:t xml:space="preserve">. As compensation, distribute cash (some acquirers use stock) to the minority shareholders. </w:t>
      </w:r>
      <w:r w:rsidR="00FD0C32">
        <w:rPr>
          <w:rFonts w:cs="Times New Roman"/>
          <w:sz w:val="24"/>
          <w:szCs w:val="24"/>
        </w:rPr>
        <w:t>To accomplish these mergers, both the directors and the shareholders of the firms will need to approve the transaction. A majority of the minority usually will approve the merger, because they do not gain anything by blocking value-increasing mergers.</w:t>
      </w:r>
    </w:p>
    <w:p w14:paraId="6C28D536" w14:textId="58181A7E" w:rsidR="00107827" w:rsidRPr="00107827" w:rsidRDefault="002F7EB1" w:rsidP="00E5052D">
      <w:pPr>
        <w:pStyle w:val="Heading3"/>
        <w:numPr>
          <w:ilvl w:val="1"/>
          <w:numId w:val="13"/>
        </w:numPr>
      </w:pPr>
      <w:r>
        <w:t xml:space="preserve">Delaware </w:t>
      </w:r>
    </w:p>
    <w:p w14:paraId="2D8A73EB" w14:textId="678AFE87" w:rsidR="00107827" w:rsidRDefault="00AA77D3" w:rsidP="00107827">
      <w:pPr>
        <w:pStyle w:val="ListParagraph"/>
        <w:numPr>
          <w:ilvl w:val="2"/>
          <w:numId w:val="13"/>
        </w:numPr>
        <w:rPr>
          <w:rFonts w:cs="Times New Roman"/>
          <w:sz w:val="24"/>
          <w:szCs w:val="24"/>
        </w:rPr>
      </w:pPr>
      <w:r w:rsidRPr="00107827">
        <w:rPr>
          <w:rFonts w:cs="Times New Roman"/>
          <w:sz w:val="24"/>
          <w:szCs w:val="24"/>
        </w:rPr>
        <w:t xml:space="preserve">Singer </w:t>
      </w:r>
      <w:r w:rsidR="00107827">
        <w:rPr>
          <w:rFonts w:cs="Times New Roman"/>
          <w:sz w:val="24"/>
          <w:szCs w:val="24"/>
        </w:rPr>
        <w:t>(</w:t>
      </w:r>
      <w:r w:rsidR="00887E6B">
        <w:rPr>
          <w:rFonts w:cs="Times New Roman"/>
          <w:sz w:val="24"/>
          <w:szCs w:val="24"/>
        </w:rPr>
        <w:t xml:space="preserve">Del. Sup. Ct. </w:t>
      </w:r>
      <w:r w:rsidR="00107827">
        <w:rPr>
          <w:rFonts w:cs="Times New Roman"/>
          <w:sz w:val="24"/>
          <w:szCs w:val="24"/>
        </w:rPr>
        <w:t>1977) – Requires freeze outs to have business purpose.</w:t>
      </w:r>
    </w:p>
    <w:p w14:paraId="1EB1A9CA" w14:textId="7E0ADBE9" w:rsidR="00AA77D3" w:rsidRPr="00107827" w:rsidRDefault="00AA77D3" w:rsidP="00107827">
      <w:pPr>
        <w:pStyle w:val="ListParagraph"/>
        <w:numPr>
          <w:ilvl w:val="2"/>
          <w:numId w:val="13"/>
        </w:numPr>
        <w:rPr>
          <w:rFonts w:cs="Times New Roman"/>
          <w:sz w:val="24"/>
          <w:szCs w:val="24"/>
        </w:rPr>
      </w:pPr>
      <w:proofErr w:type="spellStart"/>
      <w:r w:rsidRPr="00107827">
        <w:rPr>
          <w:rFonts w:cs="Times New Roman"/>
          <w:sz w:val="24"/>
          <w:szCs w:val="24"/>
        </w:rPr>
        <w:t>Tanzer</w:t>
      </w:r>
      <w:proofErr w:type="spellEnd"/>
      <w:r w:rsidR="00107827">
        <w:rPr>
          <w:rFonts w:cs="Times New Roman"/>
          <w:sz w:val="24"/>
          <w:szCs w:val="24"/>
        </w:rPr>
        <w:t xml:space="preserve"> (</w:t>
      </w:r>
      <w:r w:rsidR="00887E6B">
        <w:rPr>
          <w:rFonts w:cs="Times New Roman"/>
          <w:sz w:val="24"/>
          <w:szCs w:val="24"/>
        </w:rPr>
        <w:t xml:space="preserve">Del. Sup. Ct. </w:t>
      </w:r>
      <w:r w:rsidR="00107827">
        <w:rPr>
          <w:rFonts w:cs="Times New Roman"/>
          <w:sz w:val="24"/>
          <w:szCs w:val="24"/>
        </w:rPr>
        <w:t>1977) – shareholder business purpose is enough</w:t>
      </w:r>
    </w:p>
    <w:p w14:paraId="35A009CD" w14:textId="0B918940" w:rsidR="00AA77D3" w:rsidRDefault="00AA77D3" w:rsidP="00107827">
      <w:pPr>
        <w:pStyle w:val="ListParagraph"/>
        <w:numPr>
          <w:ilvl w:val="2"/>
          <w:numId w:val="13"/>
        </w:numPr>
        <w:rPr>
          <w:rFonts w:cs="Times New Roman"/>
          <w:sz w:val="24"/>
          <w:szCs w:val="24"/>
        </w:rPr>
      </w:pPr>
      <w:r w:rsidRPr="002F7EB1">
        <w:rPr>
          <w:rFonts w:cs="Times New Roman"/>
          <w:b/>
          <w:sz w:val="24"/>
          <w:szCs w:val="24"/>
          <w:u w:val="single"/>
        </w:rPr>
        <w:t>Weinberger</w:t>
      </w:r>
      <w:r w:rsidR="00107827" w:rsidRPr="002F7EB1">
        <w:rPr>
          <w:rFonts w:cs="Times New Roman"/>
          <w:b/>
          <w:sz w:val="24"/>
          <w:szCs w:val="24"/>
          <w:u w:val="single"/>
        </w:rPr>
        <w:t xml:space="preserve"> (</w:t>
      </w:r>
      <w:r w:rsidR="00887E6B" w:rsidRPr="002F7EB1">
        <w:rPr>
          <w:rFonts w:cs="Times New Roman"/>
          <w:b/>
          <w:sz w:val="24"/>
          <w:szCs w:val="24"/>
          <w:u w:val="single"/>
        </w:rPr>
        <w:t xml:space="preserve">Del. Sup. Ct. </w:t>
      </w:r>
      <w:r w:rsidR="00107827" w:rsidRPr="002F7EB1">
        <w:rPr>
          <w:rFonts w:cs="Times New Roman"/>
          <w:b/>
          <w:sz w:val="24"/>
          <w:szCs w:val="24"/>
          <w:u w:val="single"/>
        </w:rPr>
        <w:t>1983)</w:t>
      </w:r>
      <w:r w:rsidR="00887E6B">
        <w:rPr>
          <w:rFonts w:cs="Times New Roman"/>
          <w:sz w:val="24"/>
          <w:szCs w:val="24"/>
        </w:rPr>
        <w:t xml:space="preserve"> – abandoned business purpose requirement, because there always is a shareholder business purpose. Requires: (1) price is fair and (2) fair procedures.</w:t>
      </w:r>
      <w:r w:rsidR="00B71143">
        <w:rPr>
          <w:rFonts w:cs="Times New Roman"/>
          <w:sz w:val="24"/>
          <w:szCs w:val="24"/>
        </w:rPr>
        <w:t xml:space="preserve"> Suppose have ratification by majority of minority shareholders</w:t>
      </w:r>
      <w:r w:rsidR="00AA76A0">
        <w:rPr>
          <w:rFonts w:cs="Times New Roman"/>
          <w:sz w:val="24"/>
          <w:szCs w:val="24"/>
        </w:rPr>
        <w:t>, burden shifts to plaintiff.</w:t>
      </w:r>
    </w:p>
    <w:tbl>
      <w:tblPr>
        <w:tblStyle w:val="TableGrid"/>
        <w:tblW w:w="0" w:type="auto"/>
        <w:jc w:val="center"/>
        <w:tblLook w:val="04A0" w:firstRow="1" w:lastRow="0" w:firstColumn="1" w:lastColumn="0" w:noHBand="0" w:noVBand="1"/>
      </w:tblPr>
      <w:tblGrid>
        <w:gridCol w:w="3415"/>
        <w:gridCol w:w="2430"/>
        <w:gridCol w:w="3505"/>
      </w:tblGrid>
      <w:tr w:rsidR="002F7EB1" w14:paraId="7E49DD98" w14:textId="77777777" w:rsidTr="0009595C">
        <w:trPr>
          <w:jc w:val="center"/>
        </w:trPr>
        <w:tc>
          <w:tcPr>
            <w:tcW w:w="3415" w:type="dxa"/>
            <w:tcBorders>
              <w:top w:val="single" w:sz="4" w:space="0" w:color="auto"/>
              <w:left w:val="single" w:sz="4" w:space="0" w:color="auto"/>
              <w:bottom w:val="single" w:sz="4" w:space="0" w:color="auto"/>
              <w:right w:val="single" w:sz="4" w:space="0" w:color="auto"/>
            </w:tcBorders>
          </w:tcPr>
          <w:p w14:paraId="0630950A" w14:textId="77777777" w:rsidR="002F7EB1" w:rsidRPr="0009595C" w:rsidRDefault="002F7EB1" w:rsidP="0009595C">
            <w:pPr>
              <w:jc w:val="center"/>
              <w:rPr>
                <w:rFonts w:cs="Times New Roman"/>
                <w:b/>
                <w:szCs w:val="24"/>
              </w:rPr>
            </w:pPr>
            <w:r w:rsidRPr="0009595C">
              <w:rPr>
                <w:rFonts w:cs="Times New Roman"/>
                <w:b/>
                <w:szCs w:val="24"/>
              </w:rPr>
              <w:t>Delaware Law</w:t>
            </w:r>
          </w:p>
        </w:tc>
        <w:tc>
          <w:tcPr>
            <w:tcW w:w="2430" w:type="dxa"/>
            <w:tcBorders>
              <w:top w:val="single" w:sz="4" w:space="0" w:color="auto"/>
              <w:left w:val="single" w:sz="4" w:space="0" w:color="auto"/>
              <w:bottom w:val="single" w:sz="4" w:space="0" w:color="auto"/>
              <w:right w:val="single" w:sz="4" w:space="0" w:color="auto"/>
            </w:tcBorders>
            <w:hideMark/>
          </w:tcPr>
          <w:p w14:paraId="10D25BD4" w14:textId="77777777" w:rsidR="002F7EB1" w:rsidRPr="0009595C" w:rsidRDefault="002F7EB1" w:rsidP="0009595C">
            <w:pPr>
              <w:jc w:val="center"/>
              <w:rPr>
                <w:rFonts w:cs="Times New Roman"/>
                <w:b/>
                <w:szCs w:val="24"/>
              </w:rPr>
            </w:pPr>
            <w:r w:rsidRPr="0009595C">
              <w:rPr>
                <w:rFonts w:cs="Times New Roman"/>
                <w:b/>
                <w:szCs w:val="24"/>
              </w:rPr>
              <w:t>Burden of proof</w:t>
            </w:r>
          </w:p>
        </w:tc>
        <w:tc>
          <w:tcPr>
            <w:tcW w:w="3505" w:type="dxa"/>
            <w:tcBorders>
              <w:top w:val="single" w:sz="4" w:space="0" w:color="auto"/>
              <w:left w:val="single" w:sz="4" w:space="0" w:color="auto"/>
              <w:bottom w:val="single" w:sz="4" w:space="0" w:color="auto"/>
              <w:right w:val="single" w:sz="4" w:space="0" w:color="auto"/>
            </w:tcBorders>
            <w:hideMark/>
          </w:tcPr>
          <w:p w14:paraId="71199A85" w14:textId="77777777" w:rsidR="002F7EB1" w:rsidRPr="0009595C" w:rsidRDefault="002F7EB1" w:rsidP="0009595C">
            <w:pPr>
              <w:jc w:val="center"/>
              <w:rPr>
                <w:rFonts w:cs="Times New Roman"/>
                <w:b/>
                <w:szCs w:val="24"/>
              </w:rPr>
            </w:pPr>
            <w:r w:rsidRPr="0009595C">
              <w:rPr>
                <w:rFonts w:cs="Times New Roman"/>
                <w:b/>
                <w:szCs w:val="24"/>
              </w:rPr>
              <w:t>Standard</w:t>
            </w:r>
          </w:p>
        </w:tc>
      </w:tr>
      <w:tr w:rsidR="002F7EB1" w14:paraId="2AE298A7" w14:textId="77777777" w:rsidTr="0009595C">
        <w:trPr>
          <w:jc w:val="center"/>
        </w:trPr>
        <w:tc>
          <w:tcPr>
            <w:tcW w:w="3415" w:type="dxa"/>
            <w:tcBorders>
              <w:top w:val="single" w:sz="4" w:space="0" w:color="auto"/>
              <w:left w:val="single" w:sz="4" w:space="0" w:color="auto"/>
              <w:bottom w:val="single" w:sz="4" w:space="0" w:color="auto"/>
              <w:right w:val="single" w:sz="4" w:space="0" w:color="auto"/>
            </w:tcBorders>
            <w:hideMark/>
          </w:tcPr>
          <w:p w14:paraId="72C70507" w14:textId="77777777" w:rsidR="002F7EB1" w:rsidRDefault="002F7EB1" w:rsidP="00F87059">
            <w:pPr>
              <w:rPr>
                <w:rFonts w:cs="Times New Roman"/>
                <w:szCs w:val="24"/>
              </w:rPr>
            </w:pPr>
            <w:r>
              <w:rPr>
                <w:rFonts w:cs="Times New Roman"/>
                <w:szCs w:val="24"/>
              </w:rPr>
              <w:t>No ratification</w:t>
            </w:r>
          </w:p>
        </w:tc>
        <w:tc>
          <w:tcPr>
            <w:tcW w:w="2430" w:type="dxa"/>
            <w:tcBorders>
              <w:top w:val="single" w:sz="4" w:space="0" w:color="auto"/>
              <w:left w:val="single" w:sz="4" w:space="0" w:color="auto"/>
              <w:bottom w:val="single" w:sz="4" w:space="0" w:color="auto"/>
              <w:right w:val="single" w:sz="4" w:space="0" w:color="auto"/>
            </w:tcBorders>
            <w:hideMark/>
          </w:tcPr>
          <w:p w14:paraId="5818E4A3" w14:textId="77777777" w:rsidR="002F7EB1" w:rsidRDefault="002F7EB1" w:rsidP="00F87059">
            <w:pPr>
              <w:rPr>
                <w:rFonts w:cs="Times New Roman"/>
                <w:szCs w:val="24"/>
              </w:rPr>
            </w:pPr>
            <w:r>
              <w:rPr>
                <w:rFonts w:cs="Times New Roman"/>
                <w:szCs w:val="24"/>
              </w:rPr>
              <w:t>Defendant</w:t>
            </w:r>
          </w:p>
        </w:tc>
        <w:tc>
          <w:tcPr>
            <w:tcW w:w="3505" w:type="dxa"/>
            <w:tcBorders>
              <w:top w:val="single" w:sz="4" w:space="0" w:color="auto"/>
              <w:left w:val="single" w:sz="4" w:space="0" w:color="auto"/>
              <w:bottom w:val="single" w:sz="4" w:space="0" w:color="auto"/>
              <w:right w:val="single" w:sz="4" w:space="0" w:color="auto"/>
            </w:tcBorders>
            <w:hideMark/>
          </w:tcPr>
          <w:p w14:paraId="4E082E3C" w14:textId="609713A0" w:rsidR="002F7EB1" w:rsidRDefault="002F7EB1" w:rsidP="002F7EB1">
            <w:pPr>
              <w:rPr>
                <w:rFonts w:cs="Times New Roman"/>
                <w:szCs w:val="24"/>
              </w:rPr>
            </w:pPr>
            <w:r>
              <w:rPr>
                <w:rFonts w:cs="Times New Roman"/>
                <w:szCs w:val="24"/>
              </w:rPr>
              <w:t>Fair price and fair procedures</w:t>
            </w:r>
          </w:p>
        </w:tc>
      </w:tr>
      <w:tr w:rsidR="002F7EB1" w14:paraId="66823116" w14:textId="77777777" w:rsidTr="0009595C">
        <w:trPr>
          <w:jc w:val="center"/>
        </w:trPr>
        <w:tc>
          <w:tcPr>
            <w:tcW w:w="3415" w:type="dxa"/>
            <w:tcBorders>
              <w:top w:val="single" w:sz="4" w:space="0" w:color="auto"/>
              <w:left w:val="single" w:sz="4" w:space="0" w:color="auto"/>
              <w:bottom w:val="single" w:sz="4" w:space="0" w:color="auto"/>
              <w:right w:val="single" w:sz="4" w:space="0" w:color="auto"/>
            </w:tcBorders>
            <w:hideMark/>
          </w:tcPr>
          <w:p w14:paraId="520704E0" w14:textId="77777777" w:rsidR="002F7EB1" w:rsidRDefault="002F7EB1" w:rsidP="00F87059">
            <w:pPr>
              <w:rPr>
                <w:rFonts w:cs="Times New Roman"/>
                <w:szCs w:val="24"/>
              </w:rPr>
            </w:pPr>
            <w:r>
              <w:rPr>
                <w:rFonts w:cs="Times New Roman"/>
                <w:szCs w:val="24"/>
              </w:rPr>
              <w:t xml:space="preserve">One ratification (majority of shareholders) </w:t>
            </w:r>
          </w:p>
        </w:tc>
        <w:tc>
          <w:tcPr>
            <w:tcW w:w="2430" w:type="dxa"/>
            <w:tcBorders>
              <w:top w:val="single" w:sz="4" w:space="0" w:color="auto"/>
              <w:left w:val="single" w:sz="4" w:space="0" w:color="auto"/>
              <w:bottom w:val="single" w:sz="4" w:space="0" w:color="auto"/>
              <w:right w:val="single" w:sz="4" w:space="0" w:color="auto"/>
            </w:tcBorders>
            <w:hideMark/>
          </w:tcPr>
          <w:p w14:paraId="7252E6C7" w14:textId="77777777" w:rsidR="002F7EB1" w:rsidRDefault="002F7EB1" w:rsidP="00F87059">
            <w:pPr>
              <w:rPr>
                <w:rFonts w:cs="Times New Roman"/>
                <w:szCs w:val="24"/>
              </w:rPr>
            </w:pPr>
            <w:r>
              <w:rPr>
                <w:rFonts w:cs="Times New Roman"/>
                <w:szCs w:val="24"/>
              </w:rPr>
              <w:t>Plaintiff</w:t>
            </w:r>
          </w:p>
        </w:tc>
        <w:tc>
          <w:tcPr>
            <w:tcW w:w="3505" w:type="dxa"/>
            <w:tcBorders>
              <w:top w:val="single" w:sz="4" w:space="0" w:color="auto"/>
              <w:left w:val="single" w:sz="4" w:space="0" w:color="auto"/>
              <w:bottom w:val="single" w:sz="4" w:space="0" w:color="auto"/>
              <w:right w:val="single" w:sz="4" w:space="0" w:color="auto"/>
            </w:tcBorders>
            <w:hideMark/>
          </w:tcPr>
          <w:p w14:paraId="716C6596" w14:textId="77777777" w:rsidR="002F7EB1" w:rsidRDefault="002F7EB1" w:rsidP="00F87059">
            <w:pPr>
              <w:rPr>
                <w:rFonts w:cs="Times New Roman"/>
                <w:szCs w:val="24"/>
              </w:rPr>
            </w:pPr>
            <w:r>
              <w:rPr>
                <w:rFonts w:cs="Times New Roman"/>
                <w:szCs w:val="24"/>
              </w:rPr>
              <w:t>Inherent fairness test – has to show unfair</w:t>
            </w:r>
          </w:p>
        </w:tc>
      </w:tr>
      <w:tr w:rsidR="002F7EB1" w14:paraId="0FF77BCB" w14:textId="77777777" w:rsidTr="0009595C">
        <w:trPr>
          <w:jc w:val="center"/>
        </w:trPr>
        <w:tc>
          <w:tcPr>
            <w:tcW w:w="3415" w:type="dxa"/>
            <w:tcBorders>
              <w:top w:val="single" w:sz="4" w:space="0" w:color="auto"/>
              <w:left w:val="single" w:sz="4" w:space="0" w:color="auto"/>
              <w:bottom w:val="single" w:sz="4" w:space="0" w:color="auto"/>
              <w:right w:val="single" w:sz="4" w:space="0" w:color="auto"/>
            </w:tcBorders>
            <w:hideMark/>
          </w:tcPr>
          <w:p w14:paraId="2BA2141A" w14:textId="77777777" w:rsidR="002F7EB1" w:rsidRDefault="002F7EB1" w:rsidP="00F87059">
            <w:pPr>
              <w:rPr>
                <w:rFonts w:cs="Times New Roman"/>
                <w:szCs w:val="24"/>
              </w:rPr>
            </w:pPr>
            <w:r>
              <w:rPr>
                <w:rFonts w:cs="Times New Roman"/>
                <w:szCs w:val="24"/>
              </w:rPr>
              <w:t>Double ratification (as in Kahn)</w:t>
            </w:r>
          </w:p>
        </w:tc>
        <w:tc>
          <w:tcPr>
            <w:tcW w:w="2430" w:type="dxa"/>
            <w:tcBorders>
              <w:top w:val="single" w:sz="4" w:space="0" w:color="auto"/>
              <w:left w:val="single" w:sz="4" w:space="0" w:color="auto"/>
              <w:bottom w:val="single" w:sz="4" w:space="0" w:color="auto"/>
              <w:right w:val="single" w:sz="4" w:space="0" w:color="auto"/>
            </w:tcBorders>
            <w:hideMark/>
          </w:tcPr>
          <w:p w14:paraId="03E9EDA2" w14:textId="77777777" w:rsidR="002F7EB1" w:rsidRDefault="002F7EB1" w:rsidP="00F87059">
            <w:pPr>
              <w:rPr>
                <w:rFonts w:cs="Times New Roman"/>
                <w:szCs w:val="24"/>
              </w:rPr>
            </w:pPr>
            <w:r>
              <w:rPr>
                <w:rFonts w:cs="Times New Roman"/>
                <w:szCs w:val="24"/>
              </w:rPr>
              <w:t>plaintiff</w:t>
            </w:r>
          </w:p>
        </w:tc>
        <w:tc>
          <w:tcPr>
            <w:tcW w:w="3505" w:type="dxa"/>
            <w:tcBorders>
              <w:top w:val="single" w:sz="4" w:space="0" w:color="auto"/>
              <w:left w:val="single" w:sz="4" w:space="0" w:color="auto"/>
              <w:bottom w:val="single" w:sz="4" w:space="0" w:color="auto"/>
              <w:right w:val="single" w:sz="4" w:space="0" w:color="auto"/>
            </w:tcBorders>
            <w:hideMark/>
          </w:tcPr>
          <w:p w14:paraId="404E1E91" w14:textId="77777777" w:rsidR="002F7EB1" w:rsidRDefault="002F7EB1" w:rsidP="00F87059">
            <w:pPr>
              <w:rPr>
                <w:rFonts w:cs="Times New Roman"/>
                <w:szCs w:val="24"/>
              </w:rPr>
            </w:pPr>
            <w:r>
              <w:rPr>
                <w:rFonts w:cs="Times New Roman"/>
                <w:szCs w:val="24"/>
              </w:rPr>
              <w:t>Waste (business judgment rule)</w:t>
            </w:r>
          </w:p>
        </w:tc>
      </w:tr>
    </w:tbl>
    <w:p w14:paraId="0A551A8E" w14:textId="4F4C95D0" w:rsidR="004900B0" w:rsidRPr="004900B0" w:rsidRDefault="004900B0" w:rsidP="0009595C"/>
    <w:p w14:paraId="208A6DB8" w14:textId="77777777" w:rsidR="0009595C" w:rsidRPr="0009595C" w:rsidRDefault="0009595C" w:rsidP="0009595C">
      <w:pPr>
        <w:pStyle w:val="ListParagraph"/>
        <w:numPr>
          <w:ilvl w:val="2"/>
          <w:numId w:val="13"/>
        </w:numPr>
        <w:rPr>
          <w:rFonts w:cs="Times New Roman"/>
          <w:b/>
          <w:i/>
          <w:sz w:val="24"/>
          <w:szCs w:val="24"/>
        </w:rPr>
      </w:pPr>
      <w:r w:rsidRPr="0009595C">
        <w:rPr>
          <w:rFonts w:cs="Times New Roman"/>
          <w:sz w:val="24"/>
          <w:szCs w:val="24"/>
        </w:rPr>
        <w:t xml:space="preserve">Double Ratification Standard – </w:t>
      </w:r>
      <w:r w:rsidRPr="0009595C">
        <w:rPr>
          <w:rFonts w:cs="Times New Roman"/>
          <w:b/>
          <w:i/>
          <w:sz w:val="24"/>
          <w:szCs w:val="24"/>
        </w:rPr>
        <w:t>Kahn v. M &amp; F Worldwide Corp. (Del 2014)</w:t>
      </w:r>
    </w:p>
    <w:p w14:paraId="56654ABD" w14:textId="01CA9B07" w:rsidR="004900B0" w:rsidRPr="004900B0" w:rsidRDefault="004900B0" w:rsidP="0009595C">
      <w:pPr>
        <w:pStyle w:val="ListParagraph"/>
        <w:numPr>
          <w:ilvl w:val="3"/>
          <w:numId w:val="13"/>
        </w:numPr>
        <w:rPr>
          <w:rFonts w:cs="Times New Roman"/>
          <w:b/>
          <w:i/>
          <w:sz w:val="24"/>
          <w:szCs w:val="24"/>
        </w:rPr>
      </w:pPr>
      <w:r>
        <w:rPr>
          <w:rFonts w:cs="Times New Roman"/>
          <w:sz w:val="24"/>
          <w:szCs w:val="24"/>
        </w:rPr>
        <w:t>Synopsis: A</w:t>
      </w:r>
      <w:r w:rsidRPr="004900B0">
        <w:rPr>
          <w:rFonts w:cs="Times New Roman"/>
          <w:sz w:val="24"/>
          <w:szCs w:val="24"/>
        </w:rPr>
        <w:t>ppeal from a final judgment entered by the Court of Chancery in a proceeding that arises from a 2011 acquisition by MacAndrews &amp; Forbes Holdings – a 43% stockholder in M&amp;</w:t>
      </w:r>
      <w:proofErr w:type="gramStart"/>
      <w:r w:rsidRPr="004900B0">
        <w:rPr>
          <w:rFonts w:cs="Times New Roman"/>
          <w:sz w:val="24"/>
          <w:szCs w:val="24"/>
        </w:rPr>
        <w:t>F  Worldwide</w:t>
      </w:r>
      <w:proofErr w:type="gramEnd"/>
      <w:r w:rsidRPr="004900B0">
        <w:rPr>
          <w:rFonts w:cs="Times New Roman"/>
          <w:sz w:val="24"/>
          <w:szCs w:val="24"/>
        </w:rPr>
        <w:t xml:space="preserve"> Corp. – of the remaining common stock  of MFW. From the outset M&amp;F’s proposal to take MFW private was made contingent upon two stockholder-protective procedural conditions. First, M&amp;F required the merger to be negotiated and approved by a special committee of independent MFW directors. Second, M&amp;F required that the merger be approved by a majority of stockholders unaffiliated with M&amp;F. The merger closed in Dec. 2011 after it was approved by a vote of 65.4% of MFW’s minority stockholders.</w:t>
      </w:r>
    </w:p>
    <w:p w14:paraId="06F106B6" w14:textId="45B26ABF" w:rsidR="004900B0" w:rsidRPr="004900B0" w:rsidRDefault="004900B0" w:rsidP="0009595C">
      <w:pPr>
        <w:pStyle w:val="ListParagraph"/>
        <w:numPr>
          <w:ilvl w:val="3"/>
          <w:numId w:val="13"/>
        </w:numPr>
        <w:rPr>
          <w:rFonts w:cs="Times New Roman"/>
          <w:b/>
          <w:i/>
          <w:sz w:val="24"/>
          <w:szCs w:val="24"/>
        </w:rPr>
      </w:pPr>
      <w:r>
        <w:rPr>
          <w:rFonts w:cs="Times New Roman"/>
          <w:sz w:val="24"/>
          <w:szCs w:val="24"/>
        </w:rPr>
        <w:t>Tool:</w:t>
      </w:r>
    </w:p>
    <w:p w14:paraId="60C4DC94" w14:textId="77777777" w:rsidR="004900B0" w:rsidRPr="004900B0" w:rsidRDefault="004900B0" w:rsidP="0009595C">
      <w:pPr>
        <w:pStyle w:val="ListParagraph"/>
        <w:numPr>
          <w:ilvl w:val="4"/>
          <w:numId w:val="13"/>
        </w:numPr>
        <w:rPr>
          <w:rFonts w:cs="Times New Roman"/>
          <w:sz w:val="24"/>
          <w:szCs w:val="24"/>
        </w:rPr>
      </w:pPr>
      <w:r w:rsidRPr="004900B0">
        <w:rPr>
          <w:rFonts w:cs="Times New Roman"/>
          <w:sz w:val="24"/>
          <w:szCs w:val="24"/>
        </w:rPr>
        <w:t xml:space="preserve">“We hold that business judgment is the standard of review that should govern mergers between a controlling stockholder and its corporate subsidiary, where the merger is conditioned ab initio upon both the approval of an independent, adequately-empowered Special Committee that fulfills its duty of care; and the </w:t>
      </w:r>
      <w:proofErr w:type="spellStart"/>
      <w:r w:rsidRPr="004900B0">
        <w:rPr>
          <w:rFonts w:cs="Times New Roman"/>
          <w:sz w:val="24"/>
          <w:szCs w:val="24"/>
        </w:rPr>
        <w:t>uncoerced</w:t>
      </w:r>
      <w:proofErr w:type="spellEnd"/>
      <w:r w:rsidRPr="004900B0">
        <w:rPr>
          <w:rFonts w:cs="Times New Roman"/>
          <w:sz w:val="24"/>
          <w:szCs w:val="24"/>
        </w:rPr>
        <w:t xml:space="preserve">, informed vote of a majority of the minority stockholders.” </w:t>
      </w:r>
    </w:p>
    <w:p w14:paraId="11D3EEC0" w14:textId="4F3849F3" w:rsidR="00211D23" w:rsidRPr="002F7EB1" w:rsidRDefault="004900B0" w:rsidP="0009595C">
      <w:pPr>
        <w:pStyle w:val="ListParagraph"/>
        <w:numPr>
          <w:ilvl w:val="4"/>
          <w:numId w:val="13"/>
        </w:numPr>
        <w:rPr>
          <w:rFonts w:cs="Times New Roman"/>
          <w:sz w:val="24"/>
          <w:szCs w:val="24"/>
        </w:rPr>
      </w:pPr>
      <w:r w:rsidRPr="004900B0">
        <w:rPr>
          <w:rFonts w:cs="Times New Roman"/>
          <w:sz w:val="24"/>
          <w:szCs w:val="24"/>
        </w:rPr>
        <w:t>“To summarize our holding, in controller buyouts, the business judgment standard of review will be applied if and only if: (</w:t>
      </w:r>
      <w:proofErr w:type="spellStart"/>
      <w:r w:rsidRPr="004900B0">
        <w:rPr>
          <w:rFonts w:cs="Times New Roman"/>
          <w:sz w:val="24"/>
          <w:szCs w:val="24"/>
        </w:rPr>
        <w:t>i</w:t>
      </w:r>
      <w:proofErr w:type="spellEnd"/>
      <w:r w:rsidRPr="004900B0">
        <w:rPr>
          <w:rFonts w:cs="Times New Roman"/>
          <w:sz w:val="24"/>
          <w:szCs w:val="24"/>
        </w:rPr>
        <w:t xml:space="preserve">) the controller conditions the procession of the transaction on the approval of both a Special Committee and a majority of the minority stockholders; (ii) the Special Committee is independent; (iii) the Special Committee is empowered to freely select its own advisors and to say no definitively; (iv) the Special Committee meets its duty of care </w:t>
      </w:r>
      <w:r w:rsidRPr="004900B0">
        <w:rPr>
          <w:rFonts w:cs="Times New Roman"/>
          <w:sz w:val="24"/>
          <w:szCs w:val="24"/>
        </w:rPr>
        <w:lastRenderedPageBreak/>
        <w:t>in negotiating a fair price; (v) the vote of the minority is informed; and (vi) there is no coercion of the minority.”</w:t>
      </w:r>
    </w:p>
    <w:p w14:paraId="68133EAF" w14:textId="753913A7" w:rsidR="00AA77D3" w:rsidRPr="00FD0C32" w:rsidRDefault="002F7EB1" w:rsidP="00E5052D">
      <w:pPr>
        <w:pStyle w:val="Heading3"/>
        <w:numPr>
          <w:ilvl w:val="1"/>
          <w:numId w:val="13"/>
        </w:numPr>
      </w:pPr>
      <w:r>
        <w:t xml:space="preserve">Massachusetts – </w:t>
      </w:r>
      <w:r w:rsidR="00AA77D3" w:rsidRPr="00FD0C32">
        <w:t>Coggins</w:t>
      </w:r>
      <w:r w:rsidR="00FD0C32" w:rsidRPr="00FD0C32">
        <w:t xml:space="preserve"> v. New England Patriots Football Club, Inc. (Mass. 1986)</w:t>
      </w:r>
    </w:p>
    <w:p w14:paraId="4996C3D5" w14:textId="23472CAD" w:rsidR="00FD0C32" w:rsidRDefault="00174805" w:rsidP="005A1058">
      <w:pPr>
        <w:pStyle w:val="ListParagraph"/>
        <w:numPr>
          <w:ilvl w:val="2"/>
          <w:numId w:val="13"/>
        </w:numPr>
        <w:rPr>
          <w:rFonts w:cs="Times New Roman"/>
          <w:sz w:val="24"/>
          <w:szCs w:val="24"/>
        </w:rPr>
      </w:pPr>
      <w:r>
        <w:rPr>
          <w:rFonts w:cs="Times New Roman"/>
          <w:sz w:val="24"/>
          <w:szCs w:val="24"/>
        </w:rPr>
        <w:t xml:space="preserve">Synopsis: </w:t>
      </w:r>
      <w:r w:rsidRPr="00174805">
        <w:rPr>
          <w:rFonts w:cs="Times New Roman"/>
          <w:sz w:val="24"/>
          <w:szCs w:val="24"/>
        </w:rPr>
        <w:t>William Sullivan, Jr. (D) bought the New England Patriots in 1959 for $25,000. Four months later, he had nine others buy into the team for $25,000 each, and each of the ten owners was given 10,000 shares. Another four months later, 120,000 nonvoting shares were issued for $5 each. In 1974</w:t>
      </w:r>
      <w:r>
        <w:rPr>
          <w:rFonts w:cs="Times New Roman"/>
          <w:sz w:val="24"/>
          <w:szCs w:val="24"/>
        </w:rPr>
        <w:t>,</w:t>
      </w:r>
      <w:r w:rsidRPr="00174805">
        <w:rPr>
          <w:rFonts w:cs="Times New Roman"/>
          <w:sz w:val="24"/>
          <w:szCs w:val="24"/>
        </w:rPr>
        <w:t xml:space="preserve"> the other owners removed Sullivan from his presidency but by November of 1975, after securing a personal loan for over $5 million, he owned all 100,000 voting shares (at $102 per share) and put in his own directors. The loan required Sullivan to use the Defendant corporation’s profits and assets to repay the loan, but he could not do this without complete ownership</w:t>
      </w:r>
      <w:r w:rsidR="0032017F">
        <w:rPr>
          <w:rFonts w:cs="Times New Roman"/>
          <w:sz w:val="24"/>
          <w:szCs w:val="24"/>
        </w:rPr>
        <w:t xml:space="preserve"> (can’t use team’s assets as security for personal loan)</w:t>
      </w:r>
      <w:r w:rsidRPr="00174805">
        <w:rPr>
          <w:rFonts w:cs="Times New Roman"/>
          <w:sz w:val="24"/>
          <w:szCs w:val="24"/>
        </w:rPr>
        <w:t xml:space="preserve">. </w:t>
      </w:r>
      <w:r>
        <w:rPr>
          <w:rFonts w:cs="Times New Roman"/>
          <w:sz w:val="24"/>
          <w:szCs w:val="24"/>
        </w:rPr>
        <w:t xml:space="preserve">To freeze out the other shareholders, </w:t>
      </w:r>
      <w:r w:rsidRPr="00174805">
        <w:rPr>
          <w:rFonts w:cs="Times New Roman"/>
          <w:sz w:val="24"/>
          <w:szCs w:val="24"/>
        </w:rPr>
        <w:t>Sullivan then created a second corporation, appointed the same directors, and then voted to merge the two companies into the new one. The shareholders of the old company would receive $15 per share. P was a fan of the team and proudly owned ten shares of the corporation. P brought this action after he was forced to sell his shares pursuant to a freeze-out merger initiated by directors who, he asserted, violated their fiduciary duties when they voted while holding directorships for both companies. Ds argued that each class of shares approved of the merger.</w:t>
      </w:r>
      <w:r>
        <w:rPr>
          <w:rFonts w:cs="Times New Roman"/>
          <w:sz w:val="24"/>
          <w:szCs w:val="24"/>
        </w:rPr>
        <w:t xml:space="preserve"> The court held that Sullivan, as controlling shareholder, owed the other shareholders a fiduciary duty under Wilkes. It also noted that Delaware had imposed a business purpose requirement on freeze-out mergers. It realized that DE had abandoned this requirement since then, but liked the requirement anyway. Hence, MA would require controlling shareholders to show a business purpose for any freeze-out merger. Court held that Sullivan did not show a business purpose of the corporation (just for what he did as a shareholder). Court would not undue merger, however, since it occurred many years prior to decision. Instead, Coggins would receive the value that his shares would have reached if Sullivan had let him hold them.</w:t>
      </w:r>
      <w:r w:rsidR="005A1058">
        <w:rPr>
          <w:rFonts w:cs="Times New Roman"/>
          <w:sz w:val="24"/>
          <w:szCs w:val="24"/>
        </w:rPr>
        <w:t xml:space="preserve"> (</w:t>
      </w:r>
      <w:r w:rsidR="005A1058" w:rsidRPr="005A1058">
        <w:rPr>
          <w:rFonts w:cs="Times New Roman"/>
          <w:sz w:val="24"/>
          <w:szCs w:val="24"/>
        </w:rPr>
        <w:t>If you complain about a merger, you have the right to appraisal, which gives you the value of the company immediately prior to appraisal.</w:t>
      </w:r>
      <w:r w:rsidR="005A1058">
        <w:rPr>
          <w:rFonts w:cs="Times New Roman"/>
          <w:sz w:val="24"/>
          <w:szCs w:val="24"/>
        </w:rPr>
        <w:t>)</w:t>
      </w:r>
    </w:p>
    <w:p w14:paraId="1103EAD2" w14:textId="2C8DF824" w:rsidR="00A17CCC" w:rsidRDefault="00174805" w:rsidP="00174805">
      <w:pPr>
        <w:pStyle w:val="ListParagraph"/>
        <w:numPr>
          <w:ilvl w:val="2"/>
          <w:numId w:val="13"/>
        </w:numPr>
        <w:rPr>
          <w:rFonts w:cs="Times New Roman"/>
          <w:sz w:val="24"/>
          <w:szCs w:val="24"/>
        </w:rPr>
      </w:pPr>
      <w:r>
        <w:rPr>
          <w:rFonts w:cs="Times New Roman"/>
          <w:sz w:val="24"/>
          <w:szCs w:val="24"/>
        </w:rPr>
        <w:t>Tool:</w:t>
      </w:r>
      <w:r w:rsidR="00A17CCC">
        <w:rPr>
          <w:rFonts w:cs="Times New Roman"/>
          <w:sz w:val="24"/>
          <w:szCs w:val="24"/>
        </w:rPr>
        <w:t xml:space="preserve"> To be legal, freeze out merger must pass following tests: </w:t>
      </w:r>
    </w:p>
    <w:p w14:paraId="07E02FAE" w14:textId="128CE39A" w:rsidR="00A17CCC" w:rsidRDefault="00A17CCC" w:rsidP="00A17CCC">
      <w:pPr>
        <w:pStyle w:val="ListParagraph"/>
        <w:numPr>
          <w:ilvl w:val="3"/>
          <w:numId w:val="13"/>
        </w:numPr>
        <w:rPr>
          <w:rFonts w:cs="Times New Roman"/>
          <w:sz w:val="24"/>
          <w:szCs w:val="24"/>
        </w:rPr>
      </w:pPr>
      <w:r>
        <w:rPr>
          <w:rFonts w:cs="Times New Roman"/>
          <w:sz w:val="24"/>
          <w:szCs w:val="24"/>
        </w:rPr>
        <w:t>Business purpose – corporate directors who benefit must “demonstrate how the legitimate goals of the corporation are furthered.”</w:t>
      </w:r>
      <w:r w:rsidR="005A1058">
        <w:rPr>
          <w:rFonts w:cs="Times New Roman"/>
          <w:sz w:val="24"/>
          <w:szCs w:val="24"/>
        </w:rPr>
        <w:t xml:space="preserve"> (under </w:t>
      </w:r>
      <w:r w:rsidR="005A1058">
        <w:rPr>
          <w:rFonts w:cs="Times New Roman"/>
          <w:i/>
          <w:sz w:val="24"/>
          <w:szCs w:val="24"/>
        </w:rPr>
        <w:t>Singer</w:t>
      </w:r>
      <w:r w:rsidR="005A1058">
        <w:rPr>
          <w:rFonts w:cs="Times New Roman"/>
          <w:sz w:val="24"/>
          <w:szCs w:val="24"/>
        </w:rPr>
        <w:t>)</w:t>
      </w:r>
    </w:p>
    <w:p w14:paraId="4E736CA3" w14:textId="2AD5F0EA" w:rsidR="00A17CCC" w:rsidRPr="00907D2A" w:rsidRDefault="00907D2A" w:rsidP="00907D2A">
      <w:pPr>
        <w:pStyle w:val="ListParagraph"/>
        <w:numPr>
          <w:ilvl w:val="3"/>
          <w:numId w:val="13"/>
        </w:numPr>
        <w:rPr>
          <w:rFonts w:cs="Times New Roman"/>
          <w:sz w:val="24"/>
          <w:szCs w:val="24"/>
        </w:rPr>
      </w:pPr>
      <w:r>
        <w:rPr>
          <w:rFonts w:cs="Times New Roman"/>
          <w:sz w:val="24"/>
          <w:szCs w:val="24"/>
        </w:rPr>
        <w:t>Fairness – “examining the totality of the circumstances” that it was “fair to the minority”</w:t>
      </w:r>
    </w:p>
    <w:p w14:paraId="75412F50" w14:textId="7F427BB7" w:rsidR="00AA77D3" w:rsidRDefault="00AA77D3" w:rsidP="00E5052D">
      <w:pPr>
        <w:pStyle w:val="Heading2"/>
        <w:numPr>
          <w:ilvl w:val="0"/>
          <w:numId w:val="13"/>
        </w:numPr>
      </w:pPr>
      <w:r>
        <w:t>Hostile Acquisitions</w:t>
      </w:r>
    </w:p>
    <w:p w14:paraId="3B6C6917" w14:textId="3001115C" w:rsidR="00AA77D3" w:rsidRDefault="00AA77D3" w:rsidP="00E5052D">
      <w:pPr>
        <w:pStyle w:val="Heading3"/>
        <w:numPr>
          <w:ilvl w:val="1"/>
          <w:numId w:val="13"/>
        </w:numPr>
      </w:pPr>
      <w:r>
        <w:t>The Federal Statutory Framework</w:t>
      </w:r>
    </w:p>
    <w:p w14:paraId="6552ACAB" w14:textId="314AE6AF" w:rsidR="00AA77D3" w:rsidRDefault="00AA77D3" w:rsidP="00AA77D3">
      <w:pPr>
        <w:pStyle w:val="ListParagraph"/>
        <w:numPr>
          <w:ilvl w:val="2"/>
          <w:numId w:val="13"/>
        </w:numPr>
        <w:rPr>
          <w:rFonts w:cs="Times New Roman"/>
          <w:sz w:val="24"/>
          <w:szCs w:val="24"/>
        </w:rPr>
      </w:pPr>
      <w:r>
        <w:rPr>
          <w:rFonts w:cs="Times New Roman"/>
          <w:sz w:val="24"/>
          <w:szCs w:val="24"/>
        </w:rPr>
        <w:t>The Genesis</w:t>
      </w:r>
      <w:r w:rsidR="00BE5D52">
        <w:rPr>
          <w:rFonts w:cs="Times New Roman"/>
          <w:sz w:val="24"/>
          <w:szCs w:val="24"/>
        </w:rPr>
        <w:t xml:space="preserve"> </w:t>
      </w:r>
    </w:p>
    <w:p w14:paraId="257269A0" w14:textId="25BFE08A" w:rsidR="00BE5D52" w:rsidRDefault="00BE5D52" w:rsidP="00BE5D52">
      <w:pPr>
        <w:pStyle w:val="ListParagraph"/>
        <w:numPr>
          <w:ilvl w:val="3"/>
          <w:numId w:val="13"/>
        </w:numPr>
        <w:rPr>
          <w:rFonts w:cs="Times New Roman"/>
          <w:sz w:val="24"/>
          <w:szCs w:val="24"/>
        </w:rPr>
      </w:pPr>
      <w:r>
        <w:rPr>
          <w:rFonts w:cs="Times New Roman"/>
          <w:sz w:val="24"/>
          <w:szCs w:val="24"/>
        </w:rPr>
        <w:t xml:space="preserve">Before the Williams Act, most bidders moved fast. If they could buy control within a few days, they could deny the target board the time necessary to launch defenses. And to induce shareholders to tender quickly, they would take stock tendered on a first-come, first-served basis. </w:t>
      </w:r>
    </w:p>
    <w:p w14:paraId="21808CF6" w14:textId="47D50ECE" w:rsidR="00BE5D52" w:rsidRDefault="00BE5D52" w:rsidP="00BE5D52">
      <w:pPr>
        <w:pStyle w:val="ListParagraph"/>
        <w:numPr>
          <w:ilvl w:val="3"/>
          <w:numId w:val="13"/>
        </w:numPr>
        <w:rPr>
          <w:rFonts w:cs="Times New Roman"/>
          <w:sz w:val="24"/>
          <w:szCs w:val="24"/>
        </w:rPr>
      </w:pPr>
      <w:r>
        <w:rPr>
          <w:rFonts w:cs="Times New Roman"/>
          <w:sz w:val="24"/>
          <w:szCs w:val="24"/>
        </w:rPr>
        <w:t>The Williams Act changed all this. Because of the act along with state anti-takeover statutes and court jurisprudence, it became easier for target firm management to entrench themselves. In effect</w:t>
      </w:r>
      <w:r w:rsidR="002F2637">
        <w:rPr>
          <w:rFonts w:cs="Times New Roman"/>
          <w:sz w:val="24"/>
          <w:szCs w:val="24"/>
        </w:rPr>
        <w:t>,</w:t>
      </w:r>
      <w:r>
        <w:rPr>
          <w:rFonts w:cs="Times New Roman"/>
          <w:sz w:val="24"/>
          <w:szCs w:val="24"/>
        </w:rPr>
        <w:t xml:space="preserve"> the Act gave them earlier warning about an outside bid. Suppose that the acquirer can improve performance and the incumbent managers can prevent the acquirer from gaining control. The two have an obvious deal to make: The incumbents will agree to a “friendly” transaction and transfer control to the acquirer, and the acquirer will share some of the resulting efficiency gains with the departing managers. Obviously, the incumbents breach their fiduciary duties to the shareholders when they do this: They are extracting a bribe to leave room for better managers. However, if the two parties couch the payoffs as a “consulting contract” where the departing managers promise to share their expertise with their successors, it is a fiduciary breach no court will ever stop. </w:t>
      </w:r>
    </w:p>
    <w:p w14:paraId="1C3FAAED" w14:textId="5E6F8F21" w:rsidR="00AA77D3" w:rsidRDefault="00AA77D3" w:rsidP="00AA77D3">
      <w:pPr>
        <w:pStyle w:val="ListParagraph"/>
        <w:numPr>
          <w:ilvl w:val="2"/>
          <w:numId w:val="13"/>
        </w:numPr>
        <w:rPr>
          <w:rFonts w:cs="Times New Roman"/>
          <w:sz w:val="24"/>
          <w:szCs w:val="24"/>
        </w:rPr>
      </w:pPr>
      <w:r>
        <w:rPr>
          <w:rFonts w:cs="Times New Roman"/>
          <w:sz w:val="24"/>
          <w:szCs w:val="24"/>
        </w:rPr>
        <w:t>The Statute</w:t>
      </w:r>
      <w:r w:rsidR="00BE5D52">
        <w:rPr>
          <w:rFonts w:cs="Times New Roman"/>
          <w:sz w:val="24"/>
          <w:szCs w:val="24"/>
        </w:rPr>
        <w:t xml:space="preserve"> – Williams Act imposed the following rules on tender offers that applied to firms registered under the 1934 Act (the 16(b) companies). </w:t>
      </w:r>
    </w:p>
    <w:p w14:paraId="1AA7BA16" w14:textId="21A02F28" w:rsidR="00BE5D52" w:rsidRDefault="00BE5D52" w:rsidP="00BE5D52">
      <w:pPr>
        <w:pStyle w:val="ListParagraph"/>
        <w:numPr>
          <w:ilvl w:val="3"/>
          <w:numId w:val="13"/>
        </w:numPr>
        <w:rPr>
          <w:rFonts w:cs="Times New Roman"/>
          <w:sz w:val="24"/>
          <w:szCs w:val="24"/>
        </w:rPr>
      </w:pPr>
      <w:r>
        <w:rPr>
          <w:rFonts w:cs="Times New Roman"/>
          <w:sz w:val="24"/>
          <w:szCs w:val="24"/>
        </w:rPr>
        <w:lastRenderedPageBreak/>
        <w:t>Disclosure of 5% Threshold</w:t>
      </w:r>
      <w:r w:rsidR="006412F8">
        <w:rPr>
          <w:rFonts w:cs="Times New Roman"/>
          <w:sz w:val="24"/>
          <w:szCs w:val="24"/>
        </w:rPr>
        <w:t xml:space="preserve"> – should anyone acquire more than 5% of the stock of a firm, he must disclose his identity and plans to the SEC and the firm within ten days. Effectively, the rule prevents “creeping tender offers” – acquisitions where the bidder tries to obtain a solid base in the target’s stock before anyone learns his plans.</w:t>
      </w:r>
    </w:p>
    <w:p w14:paraId="4C71AD12" w14:textId="29BC9041" w:rsidR="006412F8" w:rsidRDefault="006412F8" w:rsidP="00BE5D52">
      <w:pPr>
        <w:pStyle w:val="ListParagraph"/>
        <w:numPr>
          <w:ilvl w:val="3"/>
          <w:numId w:val="13"/>
        </w:numPr>
        <w:rPr>
          <w:rFonts w:cs="Times New Roman"/>
          <w:sz w:val="24"/>
          <w:szCs w:val="24"/>
        </w:rPr>
      </w:pPr>
      <w:r>
        <w:rPr>
          <w:rFonts w:cs="Times New Roman"/>
          <w:sz w:val="24"/>
          <w:szCs w:val="24"/>
        </w:rPr>
        <w:t>Disclosure of Offeror Identity – should anyone initiate a tender offer, he must file an e</w:t>
      </w:r>
      <w:r w:rsidR="00D0202B">
        <w:rPr>
          <w:rFonts w:cs="Times New Roman"/>
          <w:sz w:val="24"/>
          <w:szCs w:val="24"/>
        </w:rPr>
        <w:t>laborate document with the SEC disclosing background, identity, amount of funds, number of shares he already owns and plans for the target’s business.</w:t>
      </w:r>
    </w:p>
    <w:p w14:paraId="11D9F5FE" w14:textId="7931B2A3" w:rsidR="006412F8" w:rsidRDefault="006412F8" w:rsidP="00BE5D52">
      <w:pPr>
        <w:pStyle w:val="ListParagraph"/>
        <w:numPr>
          <w:ilvl w:val="3"/>
          <w:numId w:val="13"/>
        </w:numPr>
        <w:rPr>
          <w:rFonts w:cs="Times New Roman"/>
          <w:sz w:val="24"/>
          <w:szCs w:val="24"/>
        </w:rPr>
      </w:pPr>
      <w:r>
        <w:rPr>
          <w:rFonts w:cs="Times New Roman"/>
          <w:sz w:val="24"/>
          <w:szCs w:val="24"/>
        </w:rPr>
        <w:t xml:space="preserve">Minimum Offer Window – an acquirer must keep his offer open for at least 20 business days. </w:t>
      </w:r>
      <w:r w:rsidR="00D0202B">
        <w:rPr>
          <w:rFonts w:cs="Times New Roman"/>
          <w:sz w:val="24"/>
          <w:szCs w:val="24"/>
        </w:rPr>
        <w:t>No more “Saturday night specials.”</w:t>
      </w:r>
    </w:p>
    <w:p w14:paraId="71B75762" w14:textId="7D4F5A9A" w:rsidR="006412F8" w:rsidRDefault="006412F8" w:rsidP="00BE5D52">
      <w:pPr>
        <w:pStyle w:val="ListParagraph"/>
        <w:numPr>
          <w:ilvl w:val="3"/>
          <w:numId w:val="13"/>
        </w:numPr>
        <w:rPr>
          <w:rFonts w:cs="Times New Roman"/>
          <w:sz w:val="24"/>
          <w:szCs w:val="24"/>
        </w:rPr>
      </w:pPr>
      <w:r>
        <w:rPr>
          <w:rFonts w:cs="Times New Roman"/>
          <w:sz w:val="24"/>
          <w:szCs w:val="24"/>
        </w:rPr>
        <w:t>Withdrawal of Tendered Stock – investors who tender shares to an acquirer may withdraw them at any time during the course of the tender offer.</w:t>
      </w:r>
    </w:p>
    <w:p w14:paraId="18CFF74F" w14:textId="63F2A6A4" w:rsidR="006412F8" w:rsidRDefault="006412F8" w:rsidP="00BE5D52">
      <w:pPr>
        <w:pStyle w:val="ListParagraph"/>
        <w:numPr>
          <w:ilvl w:val="3"/>
          <w:numId w:val="13"/>
        </w:numPr>
        <w:rPr>
          <w:rFonts w:cs="Times New Roman"/>
          <w:sz w:val="24"/>
          <w:szCs w:val="24"/>
        </w:rPr>
      </w:pPr>
      <w:r>
        <w:rPr>
          <w:rFonts w:cs="Times New Roman"/>
          <w:sz w:val="24"/>
          <w:szCs w:val="24"/>
        </w:rPr>
        <w:t>Pro Rata Acceptance – If investors tender more shares than an acquirer wants to buy, he must take them pro rata from each investor.</w:t>
      </w:r>
    </w:p>
    <w:p w14:paraId="45658D83" w14:textId="464759F3" w:rsidR="006412F8" w:rsidRDefault="006412F8" w:rsidP="00BE5D52">
      <w:pPr>
        <w:pStyle w:val="ListParagraph"/>
        <w:numPr>
          <w:ilvl w:val="3"/>
          <w:numId w:val="13"/>
        </w:numPr>
        <w:rPr>
          <w:rFonts w:cs="Times New Roman"/>
          <w:sz w:val="24"/>
          <w:szCs w:val="24"/>
        </w:rPr>
      </w:pPr>
      <w:r>
        <w:rPr>
          <w:rFonts w:cs="Times New Roman"/>
          <w:sz w:val="24"/>
          <w:szCs w:val="24"/>
        </w:rPr>
        <w:t>Uniform Pricing – An acquirer must pay the same price for all shares.</w:t>
      </w:r>
      <w:r w:rsidR="008C08CA">
        <w:rPr>
          <w:rFonts w:cs="Times New Roman"/>
          <w:sz w:val="24"/>
          <w:szCs w:val="24"/>
        </w:rPr>
        <w:t xml:space="preserve"> Even if you raise purchase price after having paid people, need to go back and pay same amount.</w:t>
      </w:r>
    </w:p>
    <w:p w14:paraId="41F6D5D8" w14:textId="57708DD6" w:rsidR="00D0202B" w:rsidRDefault="00D0202B" w:rsidP="00D0202B">
      <w:pPr>
        <w:pStyle w:val="ListParagraph"/>
        <w:numPr>
          <w:ilvl w:val="2"/>
          <w:numId w:val="13"/>
        </w:numPr>
        <w:rPr>
          <w:rFonts w:cs="Times New Roman"/>
          <w:sz w:val="24"/>
          <w:szCs w:val="24"/>
        </w:rPr>
      </w:pPr>
      <w:r>
        <w:rPr>
          <w:rFonts w:cs="Times New Roman"/>
          <w:sz w:val="24"/>
          <w:szCs w:val="24"/>
        </w:rPr>
        <w:t>State Statutes – won’t be tested on this but can be found in casebook on p. 805.</w:t>
      </w:r>
    </w:p>
    <w:p w14:paraId="677B03DF" w14:textId="38CEFCFE" w:rsidR="0088757C" w:rsidRDefault="0088757C" w:rsidP="0088757C">
      <w:pPr>
        <w:pStyle w:val="Heading3"/>
        <w:numPr>
          <w:ilvl w:val="1"/>
          <w:numId w:val="13"/>
        </w:numPr>
      </w:pPr>
      <w:r>
        <w:t>Overview</w:t>
      </w:r>
    </w:p>
    <w:tbl>
      <w:tblPr>
        <w:tblStyle w:val="TableGrid"/>
        <w:tblpPr w:leftFromText="180" w:rightFromText="180" w:vertAnchor="text" w:horzAnchor="margin" w:tblpXSpec="center" w:tblpY="125"/>
        <w:tblW w:w="0" w:type="auto"/>
        <w:tblLook w:val="04A0" w:firstRow="1" w:lastRow="0" w:firstColumn="1" w:lastColumn="0" w:noHBand="0" w:noVBand="1"/>
      </w:tblPr>
      <w:tblGrid>
        <w:gridCol w:w="2425"/>
        <w:gridCol w:w="1980"/>
        <w:gridCol w:w="5670"/>
      </w:tblGrid>
      <w:tr w:rsidR="0088757C" w14:paraId="29C4FC2B" w14:textId="77777777" w:rsidTr="0088757C">
        <w:tc>
          <w:tcPr>
            <w:tcW w:w="2425" w:type="dxa"/>
          </w:tcPr>
          <w:p w14:paraId="2BC6A608" w14:textId="77777777" w:rsidR="0088757C" w:rsidRDefault="0088757C" w:rsidP="0088757C">
            <w:pPr>
              <w:rPr>
                <w:rFonts w:cs="Times New Roman"/>
                <w:szCs w:val="24"/>
              </w:rPr>
            </w:pPr>
          </w:p>
        </w:tc>
        <w:tc>
          <w:tcPr>
            <w:tcW w:w="1980" w:type="dxa"/>
            <w:shd w:val="clear" w:color="auto" w:fill="595959" w:themeFill="text1" w:themeFillTint="A6"/>
            <w:vAlign w:val="center"/>
          </w:tcPr>
          <w:p w14:paraId="7EDC39A0" w14:textId="77777777" w:rsidR="0088757C" w:rsidRPr="00591B6F" w:rsidRDefault="0088757C" w:rsidP="0088757C">
            <w:pPr>
              <w:jc w:val="center"/>
              <w:rPr>
                <w:rFonts w:cs="Times New Roman"/>
                <w:b/>
                <w:color w:val="FFFFFF" w:themeColor="background1"/>
                <w:szCs w:val="24"/>
              </w:rPr>
            </w:pPr>
            <w:r w:rsidRPr="00591B6F">
              <w:rPr>
                <w:rFonts w:cs="Times New Roman"/>
                <w:b/>
                <w:color w:val="FFFFFF" w:themeColor="background1"/>
                <w:szCs w:val="24"/>
              </w:rPr>
              <w:t>Burden of Proof</w:t>
            </w:r>
          </w:p>
        </w:tc>
        <w:tc>
          <w:tcPr>
            <w:tcW w:w="5670" w:type="dxa"/>
            <w:shd w:val="clear" w:color="auto" w:fill="595959" w:themeFill="text1" w:themeFillTint="A6"/>
            <w:vAlign w:val="center"/>
          </w:tcPr>
          <w:p w14:paraId="619B9C38" w14:textId="77777777" w:rsidR="0088757C" w:rsidRPr="00591B6F" w:rsidRDefault="0088757C" w:rsidP="0088757C">
            <w:pPr>
              <w:jc w:val="center"/>
              <w:rPr>
                <w:rFonts w:cs="Times New Roman"/>
                <w:b/>
                <w:color w:val="FFFFFF" w:themeColor="background1"/>
                <w:szCs w:val="24"/>
              </w:rPr>
            </w:pPr>
            <w:r w:rsidRPr="00591B6F">
              <w:rPr>
                <w:rFonts w:cs="Times New Roman"/>
                <w:b/>
                <w:color w:val="FFFFFF" w:themeColor="background1"/>
                <w:szCs w:val="24"/>
              </w:rPr>
              <w:t>Standard</w:t>
            </w:r>
          </w:p>
        </w:tc>
      </w:tr>
      <w:tr w:rsidR="0088757C" w14:paraId="707A50A0" w14:textId="77777777" w:rsidTr="0088757C">
        <w:tc>
          <w:tcPr>
            <w:tcW w:w="2425" w:type="dxa"/>
            <w:shd w:val="clear" w:color="auto" w:fill="595959" w:themeFill="text1" w:themeFillTint="A6"/>
          </w:tcPr>
          <w:p w14:paraId="050ABFB6" w14:textId="77777777" w:rsidR="0088757C" w:rsidRPr="00591B6F" w:rsidRDefault="0088757C" w:rsidP="0088757C">
            <w:pPr>
              <w:rPr>
                <w:rFonts w:cs="Times New Roman"/>
                <w:b/>
                <w:color w:val="FFFFFF" w:themeColor="background1"/>
                <w:szCs w:val="24"/>
              </w:rPr>
            </w:pPr>
            <w:r w:rsidRPr="00591B6F">
              <w:rPr>
                <w:rFonts w:cs="Times New Roman"/>
                <w:b/>
                <w:color w:val="FFFFFF" w:themeColor="background1"/>
                <w:szCs w:val="24"/>
              </w:rPr>
              <w:t>No conflict of interest</w:t>
            </w:r>
          </w:p>
        </w:tc>
        <w:tc>
          <w:tcPr>
            <w:tcW w:w="1980" w:type="dxa"/>
          </w:tcPr>
          <w:p w14:paraId="0869648A" w14:textId="77777777" w:rsidR="0088757C" w:rsidRDefault="0088757C" w:rsidP="0088757C">
            <w:pPr>
              <w:rPr>
                <w:rFonts w:cs="Times New Roman"/>
                <w:szCs w:val="24"/>
              </w:rPr>
            </w:pPr>
            <w:r>
              <w:rPr>
                <w:rFonts w:cs="Times New Roman"/>
                <w:szCs w:val="24"/>
              </w:rPr>
              <w:t>Plaintiff</w:t>
            </w:r>
          </w:p>
        </w:tc>
        <w:tc>
          <w:tcPr>
            <w:tcW w:w="5670" w:type="dxa"/>
          </w:tcPr>
          <w:p w14:paraId="4E42B72E" w14:textId="77777777" w:rsidR="0088757C" w:rsidRDefault="0088757C" w:rsidP="0088757C">
            <w:pPr>
              <w:rPr>
                <w:rFonts w:cs="Times New Roman"/>
                <w:szCs w:val="24"/>
              </w:rPr>
            </w:pPr>
            <w:r>
              <w:rPr>
                <w:rFonts w:cs="Times New Roman"/>
                <w:szCs w:val="24"/>
              </w:rPr>
              <w:t>Business Judgment Rule</w:t>
            </w:r>
          </w:p>
        </w:tc>
      </w:tr>
      <w:tr w:rsidR="0088757C" w14:paraId="2774F73F" w14:textId="77777777" w:rsidTr="0088757C">
        <w:tc>
          <w:tcPr>
            <w:tcW w:w="2425" w:type="dxa"/>
            <w:shd w:val="clear" w:color="auto" w:fill="595959" w:themeFill="text1" w:themeFillTint="A6"/>
          </w:tcPr>
          <w:p w14:paraId="1F740011" w14:textId="77777777" w:rsidR="0088757C" w:rsidRPr="00591B6F" w:rsidRDefault="0088757C" w:rsidP="0088757C">
            <w:pPr>
              <w:rPr>
                <w:rFonts w:cs="Times New Roman"/>
                <w:b/>
                <w:color w:val="FFFFFF" w:themeColor="background1"/>
                <w:szCs w:val="24"/>
              </w:rPr>
            </w:pPr>
            <w:r w:rsidRPr="00591B6F">
              <w:rPr>
                <w:rFonts w:cs="Times New Roman"/>
                <w:b/>
                <w:color w:val="FFFFFF" w:themeColor="background1"/>
                <w:szCs w:val="24"/>
              </w:rPr>
              <w:t>Conflict of interest</w:t>
            </w:r>
          </w:p>
        </w:tc>
        <w:tc>
          <w:tcPr>
            <w:tcW w:w="1980" w:type="dxa"/>
          </w:tcPr>
          <w:p w14:paraId="40333C0E" w14:textId="77777777" w:rsidR="0088757C" w:rsidRDefault="0088757C" w:rsidP="0088757C">
            <w:pPr>
              <w:rPr>
                <w:rFonts w:cs="Times New Roman"/>
                <w:szCs w:val="24"/>
              </w:rPr>
            </w:pPr>
            <w:r>
              <w:rPr>
                <w:rFonts w:cs="Times New Roman"/>
                <w:szCs w:val="24"/>
              </w:rPr>
              <w:t>Defendant</w:t>
            </w:r>
          </w:p>
        </w:tc>
        <w:tc>
          <w:tcPr>
            <w:tcW w:w="5670" w:type="dxa"/>
          </w:tcPr>
          <w:p w14:paraId="0893C18D" w14:textId="77777777" w:rsidR="0088757C" w:rsidRDefault="0088757C" w:rsidP="0088757C">
            <w:pPr>
              <w:rPr>
                <w:rFonts w:cs="Times New Roman"/>
                <w:szCs w:val="24"/>
              </w:rPr>
            </w:pPr>
            <w:r>
              <w:rPr>
                <w:rFonts w:cs="Times New Roman"/>
                <w:szCs w:val="24"/>
              </w:rPr>
              <w:t>Inherent fairness</w:t>
            </w:r>
          </w:p>
        </w:tc>
      </w:tr>
      <w:tr w:rsidR="0088757C" w14:paraId="6E5882CB" w14:textId="77777777" w:rsidTr="0088757C">
        <w:tc>
          <w:tcPr>
            <w:tcW w:w="2425" w:type="dxa"/>
            <w:shd w:val="clear" w:color="auto" w:fill="595959" w:themeFill="text1" w:themeFillTint="A6"/>
          </w:tcPr>
          <w:p w14:paraId="4D3DE821" w14:textId="77777777" w:rsidR="0088757C" w:rsidRPr="00591B6F" w:rsidRDefault="0088757C" w:rsidP="0088757C">
            <w:pPr>
              <w:rPr>
                <w:rFonts w:cs="Times New Roman"/>
                <w:b/>
                <w:color w:val="FFFFFF" w:themeColor="background1"/>
                <w:szCs w:val="24"/>
              </w:rPr>
            </w:pPr>
            <w:r w:rsidRPr="00591B6F">
              <w:rPr>
                <w:rFonts w:cs="Times New Roman"/>
                <w:b/>
                <w:color w:val="FFFFFF" w:themeColor="background1"/>
                <w:szCs w:val="24"/>
              </w:rPr>
              <w:t>Corporate Control Transaction (</w:t>
            </w:r>
            <w:proofErr w:type="spellStart"/>
            <w:r w:rsidRPr="00591B6F">
              <w:rPr>
                <w:rFonts w:cs="Times New Roman"/>
                <w:b/>
                <w:i/>
                <w:color w:val="FFFFFF" w:themeColor="background1"/>
                <w:szCs w:val="24"/>
              </w:rPr>
              <w:t>Cheff</w:t>
            </w:r>
            <w:proofErr w:type="spellEnd"/>
            <w:r>
              <w:rPr>
                <w:rFonts w:cs="Times New Roman"/>
                <w:b/>
                <w:color w:val="FFFFFF" w:themeColor="background1"/>
                <w:szCs w:val="24"/>
              </w:rPr>
              <w:t xml:space="preserve"> which is cited by </w:t>
            </w:r>
            <w:r w:rsidRPr="00464335">
              <w:rPr>
                <w:rFonts w:cs="Times New Roman"/>
                <w:b/>
                <w:i/>
                <w:color w:val="FFFFFF" w:themeColor="background1"/>
                <w:szCs w:val="24"/>
              </w:rPr>
              <w:t>Unocal</w:t>
            </w:r>
            <w:r>
              <w:rPr>
                <w:rFonts w:cs="Times New Roman"/>
                <w:b/>
                <w:color w:val="FFFFFF" w:themeColor="background1"/>
                <w:szCs w:val="24"/>
              </w:rPr>
              <w:t>)</w:t>
            </w:r>
          </w:p>
        </w:tc>
        <w:tc>
          <w:tcPr>
            <w:tcW w:w="1980" w:type="dxa"/>
          </w:tcPr>
          <w:p w14:paraId="5AFF1553" w14:textId="77777777" w:rsidR="0088757C" w:rsidRDefault="0088757C" w:rsidP="0088757C">
            <w:pPr>
              <w:rPr>
                <w:rFonts w:cs="Times New Roman"/>
                <w:szCs w:val="24"/>
              </w:rPr>
            </w:pPr>
            <w:r>
              <w:rPr>
                <w:rFonts w:cs="Times New Roman"/>
                <w:szCs w:val="24"/>
              </w:rPr>
              <w:t>Defendants – Directors are defendants so there is always conflict of interest because it is there job</w:t>
            </w:r>
          </w:p>
        </w:tc>
        <w:tc>
          <w:tcPr>
            <w:tcW w:w="5670" w:type="dxa"/>
          </w:tcPr>
          <w:p w14:paraId="06E1FB1B" w14:textId="77777777" w:rsidR="0088757C" w:rsidRDefault="0088757C" w:rsidP="0088757C">
            <w:pPr>
              <w:rPr>
                <w:rFonts w:cs="Times New Roman"/>
                <w:szCs w:val="24"/>
              </w:rPr>
            </w:pPr>
            <w:r>
              <w:rPr>
                <w:rFonts w:cs="Times New Roman"/>
                <w:szCs w:val="24"/>
              </w:rPr>
              <w:t xml:space="preserve">Insider (getting salary) – implied that standard is have to show that fair and reasonable (inherent fairness standard) to company (not explicitly told this because not majority of defendants in </w:t>
            </w:r>
            <w:proofErr w:type="spellStart"/>
            <w:r>
              <w:rPr>
                <w:rFonts w:cs="Times New Roman"/>
                <w:i/>
                <w:szCs w:val="24"/>
              </w:rPr>
              <w:t>Cheff</w:t>
            </w:r>
            <w:proofErr w:type="spellEnd"/>
            <w:r>
              <w:rPr>
                <w:rFonts w:cs="Times New Roman"/>
                <w:szCs w:val="24"/>
              </w:rPr>
              <w:t>)</w:t>
            </w:r>
          </w:p>
          <w:p w14:paraId="266AE824" w14:textId="77777777" w:rsidR="0088757C" w:rsidRDefault="0088757C" w:rsidP="0088757C">
            <w:pPr>
              <w:rPr>
                <w:rFonts w:cs="Times New Roman"/>
                <w:szCs w:val="24"/>
              </w:rPr>
            </w:pPr>
            <w:r>
              <w:rPr>
                <w:rFonts w:cs="Times New Roman"/>
                <w:szCs w:val="24"/>
              </w:rPr>
              <w:t xml:space="preserve">Outsider – intermediate standard – </w:t>
            </w:r>
            <w:r w:rsidRPr="00591B6F">
              <w:rPr>
                <w:rFonts w:cs="Times New Roman"/>
                <w:szCs w:val="24"/>
              </w:rPr>
              <w:t>must show “reasonable grounds to believe [that there existed] a danger to corporate policy and effectiveness.” “It is important to remember that the directors satisfy their burden by showing good faith and reasonable investigation</w:t>
            </w:r>
            <w:r>
              <w:rPr>
                <w:rFonts w:cs="Times New Roman"/>
                <w:szCs w:val="24"/>
              </w:rPr>
              <w:t>…” (sounds like duty of care and loyalty)</w:t>
            </w:r>
          </w:p>
        </w:tc>
      </w:tr>
      <w:tr w:rsidR="0088757C" w14:paraId="317B2627" w14:textId="77777777" w:rsidTr="0088757C">
        <w:tc>
          <w:tcPr>
            <w:tcW w:w="2425" w:type="dxa"/>
            <w:shd w:val="clear" w:color="auto" w:fill="595959" w:themeFill="text1" w:themeFillTint="A6"/>
          </w:tcPr>
          <w:p w14:paraId="549E9E28" w14:textId="77777777" w:rsidR="0088757C" w:rsidRPr="00591B6F" w:rsidRDefault="0088757C" w:rsidP="0088757C">
            <w:pPr>
              <w:rPr>
                <w:rFonts w:cs="Times New Roman"/>
                <w:b/>
                <w:color w:val="FFFFFF" w:themeColor="background1"/>
                <w:szCs w:val="24"/>
              </w:rPr>
            </w:pPr>
            <w:r>
              <w:rPr>
                <w:rFonts w:cs="Times New Roman"/>
                <w:b/>
                <w:color w:val="FFFFFF" w:themeColor="background1"/>
                <w:szCs w:val="24"/>
              </w:rPr>
              <w:t>Corporate Control Transaction once Determined that Corporation will be Sold (</w:t>
            </w:r>
            <w:r w:rsidRPr="0088757C">
              <w:rPr>
                <w:rFonts w:cs="Times New Roman"/>
                <w:b/>
                <w:i/>
                <w:color w:val="FFFFFF" w:themeColor="background1"/>
                <w:szCs w:val="24"/>
              </w:rPr>
              <w:t>Revlon</w:t>
            </w:r>
            <w:r>
              <w:rPr>
                <w:rFonts w:cs="Times New Roman"/>
                <w:b/>
                <w:color w:val="FFFFFF" w:themeColor="background1"/>
                <w:szCs w:val="24"/>
              </w:rPr>
              <w:t>)</w:t>
            </w:r>
          </w:p>
        </w:tc>
        <w:tc>
          <w:tcPr>
            <w:tcW w:w="1980" w:type="dxa"/>
          </w:tcPr>
          <w:p w14:paraId="64263A79" w14:textId="77777777" w:rsidR="0088757C" w:rsidRDefault="0088757C" w:rsidP="0088757C">
            <w:pPr>
              <w:rPr>
                <w:rFonts w:cs="Times New Roman"/>
                <w:szCs w:val="24"/>
              </w:rPr>
            </w:pPr>
          </w:p>
        </w:tc>
        <w:tc>
          <w:tcPr>
            <w:tcW w:w="5670" w:type="dxa"/>
          </w:tcPr>
          <w:p w14:paraId="299E1AE9" w14:textId="77777777" w:rsidR="0088757C" w:rsidRDefault="0088757C" w:rsidP="0088757C">
            <w:pPr>
              <w:rPr>
                <w:rFonts w:cs="Times New Roman"/>
                <w:szCs w:val="24"/>
              </w:rPr>
            </w:pPr>
            <w:r>
              <w:rPr>
                <w:rFonts w:cs="Times New Roman"/>
                <w:szCs w:val="24"/>
              </w:rPr>
              <w:t>…”</w:t>
            </w:r>
            <w:r w:rsidRPr="0088757C">
              <w:rPr>
                <w:rFonts w:cs="Times New Roman"/>
                <w:szCs w:val="24"/>
              </w:rPr>
              <w:t>the object no longer is to protect or maintain the corporate enterprise but to sell it to the highest bidder.”</w:t>
            </w:r>
          </w:p>
        </w:tc>
      </w:tr>
    </w:tbl>
    <w:p w14:paraId="77CC7357" w14:textId="77777777" w:rsidR="0088757C" w:rsidRPr="0088757C" w:rsidRDefault="0088757C" w:rsidP="0088757C"/>
    <w:p w14:paraId="2938239A" w14:textId="32421711" w:rsidR="00AA77D3" w:rsidRDefault="00AA77D3" w:rsidP="00E5052D">
      <w:pPr>
        <w:pStyle w:val="Heading3"/>
        <w:numPr>
          <w:ilvl w:val="1"/>
          <w:numId w:val="13"/>
        </w:numPr>
      </w:pPr>
      <w:r>
        <w:t>Greenmail</w:t>
      </w:r>
    </w:p>
    <w:p w14:paraId="416C2184" w14:textId="25E1CCE9" w:rsidR="00AA77D3" w:rsidRDefault="0057794B" w:rsidP="00591B6F">
      <w:pPr>
        <w:pStyle w:val="ListParagraph"/>
        <w:numPr>
          <w:ilvl w:val="2"/>
          <w:numId w:val="13"/>
        </w:numPr>
        <w:rPr>
          <w:rFonts w:cs="Times New Roman"/>
          <w:sz w:val="24"/>
          <w:szCs w:val="24"/>
        </w:rPr>
      </w:pPr>
      <w:r>
        <w:rPr>
          <w:rFonts w:cs="Times New Roman"/>
          <w:sz w:val="24"/>
          <w:szCs w:val="24"/>
        </w:rPr>
        <w:t>Definition – Purchase by a corporation of a potential acquirer’s stock, at a premium over the market price.</w:t>
      </w:r>
      <w:r w:rsidR="00591B6F">
        <w:rPr>
          <w:rFonts w:cs="Times New Roman"/>
          <w:sz w:val="24"/>
          <w:szCs w:val="24"/>
        </w:rPr>
        <w:t xml:space="preserve"> Note that this decreases the value of other shares though. </w:t>
      </w:r>
      <w:r w:rsidR="00591B6F" w:rsidRPr="00591B6F">
        <w:rPr>
          <w:rFonts w:cs="Times New Roman"/>
          <w:sz w:val="24"/>
          <w:szCs w:val="24"/>
        </w:rPr>
        <w:t>Essentially paying out dividend that other shareholders are not getting.</w:t>
      </w:r>
    </w:p>
    <w:p w14:paraId="5E0D1CC6" w14:textId="0BC9123C" w:rsidR="00591B6F" w:rsidRPr="0088757C" w:rsidRDefault="00591B6F" w:rsidP="00591B6F">
      <w:pPr>
        <w:pStyle w:val="ListParagraph"/>
        <w:numPr>
          <w:ilvl w:val="2"/>
          <w:numId w:val="13"/>
        </w:numPr>
        <w:rPr>
          <w:rFonts w:cs="Times New Roman"/>
          <w:sz w:val="24"/>
          <w:szCs w:val="24"/>
        </w:rPr>
      </w:pPr>
      <w:r>
        <w:rPr>
          <w:rFonts w:cs="Times New Roman"/>
          <w:sz w:val="24"/>
          <w:szCs w:val="24"/>
        </w:rPr>
        <w:t>Com</w:t>
      </w:r>
      <w:r w:rsidR="0088757C">
        <w:rPr>
          <w:rFonts w:cs="Times New Roman"/>
          <w:sz w:val="24"/>
          <w:szCs w:val="24"/>
        </w:rPr>
        <w:t>parison with other Transactions</w:t>
      </w:r>
    </w:p>
    <w:p w14:paraId="582BE633" w14:textId="7B768C59" w:rsidR="006337D4" w:rsidRPr="005137E9" w:rsidRDefault="005137E9" w:rsidP="005137E9">
      <w:pPr>
        <w:pStyle w:val="ListParagraph"/>
        <w:numPr>
          <w:ilvl w:val="2"/>
          <w:numId w:val="13"/>
        </w:numPr>
        <w:rPr>
          <w:rFonts w:cs="Times New Roman"/>
          <w:b/>
          <w:i/>
          <w:sz w:val="24"/>
          <w:szCs w:val="24"/>
        </w:rPr>
      </w:pPr>
      <w:proofErr w:type="spellStart"/>
      <w:r w:rsidRPr="005137E9">
        <w:rPr>
          <w:rFonts w:cs="Times New Roman"/>
          <w:b/>
          <w:i/>
          <w:sz w:val="24"/>
          <w:szCs w:val="24"/>
        </w:rPr>
        <w:t>Cheff</w:t>
      </w:r>
      <w:proofErr w:type="spellEnd"/>
      <w:r w:rsidRPr="005137E9">
        <w:rPr>
          <w:rFonts w:cs="Times New Roman"/>
          <w:b/>
          <w:i/>
          <w:sz w:val="24"/>
          <w:szCs w:val="24"/>
        </w:rPr>
        <w:t xml:space="preserve"> v. </w:t>
      </w:r>
      <w:proofErr w:type="spellStart"/>
      <w:r w:rsidRPr="005137E9">
        <w:rPr>
          <w:rFonts w:cs="Times New Roman"/>
          <w:b/>
          <w:i/>
          <w:sz w:val="24"/>
          <w:szCs w:val="24"/>
        </w:rPr>
        <w:t>Mathes</w:t>
      </w:r>
      <w:proofErr w:type="spellEnd"/>
      <w:r w:rsidRPr="005137E9">
        <w:rPr>
          <w:rFonts w:cs="Times New Roman"/>
          <w:b/>
          <w:i/>
          <w:sz w:val="24"/>
          <w:szCs w:val="24"/>
        </w:rPr>
        <w:t xml:space="preserve"> (Del. Ch. 1964)</w:t>
      </w:r>
    </w:p>
    <w:p w14:paraId="36C84B52" w14:textId="77777777" w:rsidR="00352719" w:rsidRDefault="005137E9" w:rsidP="005137E9">
      <w:pPr>
        <w:pStyle w:val="ListParagraph"/>
        <w:numPr>
          <w:ilvl w:val="3"/>
          <w:numId w:val="13"/>
        </w:numPr>
        <w:rPr>
          <w:rFonts w:cs="Times New Roman"/>
          <w:sz w:val="24"/>
          <w:szCs w:val="24"/>
        </w:rPr>
      </w:pPr>
      <w:r>
        <w:rPr>
          <w:rFonts w:cs="Times New Roman"/>
          <w:sz w:val="24"/>
          <w:szCs w:val="24"/>
        </w:rPr>
        <w:t xml:space="preserve">Synopsis: </w:t>
      </w:r>
      <w:r w:rsidRPr="005137E9">
        <w:rPr>
          <w:rFonts w:cs="Times New Roman"/>
          <w:sz w:val="24"/>
          <w:szCs w:val="24"/>
        </w:rPr>
        <w:t>Holland manufactured furnaces and air conditioners, and it directly hired its retail sales staff (a practice that the directors believed was a key to Holland’s success).</w:t>
      </w:r>
      <w:r>
        <w:rPr>
          <w:rFonts w:cs="Times New Roman"/>
          <w:sz w:val="24"/>
          <w:szCs w:val="24"/>
        </w:rPr>
        <w:t xml:space="preserve"> </w:t>
      </w:r>
      <w:proofErr w:type="spellStart"/>
      <w:r>
        <w:rPr>
          <w:rFonts w:cs="Times New Roman"/>
          <w:sz w:val="24"/>
          <w:szCs w:val="24"/>
        </w:rPr>
        <w:t>Maremont</w:t>
      </w:r>
      <w:proofErr w:type="spellEnd"/>
      <w:r>
        <w:rPr>
          <w:rFonts w:cs="Times New Roman"/>
          <w:sz w:val="24"/>
          <w:szCs w:val="24"/>
        </w:rPr>
        <w:t xml:space="preserve"> assembled a large position in Holland’s stock and demanded a place on the board. Holland CEO </w:t>
      </w:r>
      <w:proofErr w:type="spellStart"/>
      <w:r>
        <w:rPr>
          <w:rFonts w:cs="Times New Roman"/>
          <w:sz w:val="24"/>
          <w:szCs w:val="24"/>
        </w:rPr>
        <w:t>Cheff</w:t>
      </w:r>
      <w:proofErr w:type="spellEnd"/>
      <w:r>
        <w:rPr>
          <w:rFonts w:cs="Times New Roman"/>
          <w:sz w:val="24"/>
          <w:szCs w:val="24"/>
        </w:rPr>
        <w:t xml:space="preserve"> (D) refused. </w:t>
      </w:r>
      <w:proofErr w:type="spellStart"/>
      <w:r w:rsidRPr="005137E9">
        <w:rPr>
          <w:rFonts w:cs="Times New Roman"/>
          <w:sz w:val="24"/>
          <w:szCs w:val="24"/>
        </w:rPr>
        <w:t>Maremont</w:t>
      </w:r>
      <w:proofErr w:type="spellEnd"/>
      <w:r w:rsidRPr="005137E9">
        <w:rPr>
          <w:rFonts w:cs="Times New Roman"/>
          <w:sz w:val="24"/>
          <w:szCs w:val="24"/>
        </w:rPr>
        <w:t xml:space="preserve"> was well-known for taking over companies and then liquidating their assets.</w:t>
      </w:r>
      <w:r>
        <w:rPr>
          <w:rFonts w:cs="Times New Roman"/>
          <w:sz w:val="24"/>
          <w:szCs w:val="24"/>
        </w:rPr>
        <w:t xml:space="preserve"> </w:t>
      </w:r>
      <w:proofErr w:type="spellStart"/>
      <w:r w:rsidRPr="005137E9">
        <w:rPr>
          <w:rFonts w:cs="Times New Roman"/>
          <w:sz w:val="24"/>
          <w:szCs w:val="24"/>
        </w:rPr>
        <w:t>Cheff</w:t>
      </w:r>
      <w:proofErr w:type="spellEnd"/>
      <w:r w:rsidRPr="005137E9">
        <w:rPr>
          <w:rFonts w:cs="Times New Roman"/>
          <w:sz w:val="24"/>
          <w:szCs w:val="24"/>
        </w:rPr>
        <w:t xml:space="preserve"> discussed this with other directors, and they agreed to thwart </w:t>
      </w:r>
      <w:proofErr w:type="spellStart"/>
      <w:r w:rsidRPr="005137E9">
        <w:rPr>
          <w:rFonts w:cs="Times New Roman"/>
          <w:sz w:val="24"/>
          <w:szCs w:val="24"/>
        </w:rPr>
        <w:t>Maremont’s</w:t>
      </w:r>
      <w:proofErr w:type="spellEnd"/>
      <w:r w:rsidRPr="005137E9">
        <w:rPr>
          <w:rFonts w:cs="Times New Roman"/>
          <w:sz w:val="24"/>
          <w:szCs w:val="24"/>
        </w:rPr>
        <w:t xml:space="preserve"> attempts to buy Holland in order to keep Holland running in its current</w:t>
      </w:r>
      <w:r>
        <w:rPr>
          <w:rFonts w:cs="Times New Roman"/>
          <w:sz w:val="24"/>
          <w:szCs w:val="24"/>
        </w:rPr>
        <w:t xml:space="preserve"> state. T</w:t>
      </w:r>
      <w:r w:rsidRPr="005137E9">
        <w:rPr>
          <w:rFonts w:cs="Times New Roman"/>
          <w:sz w:val="24"/>
          <w:szCs w:val="24"/>
        </w:rPr>
        <w:t>he</w:t>
      </w:r>
      <w:r>
        <w:rPr>
          <w:rFonts w:cs="Times New Roman"/>
          <w:sz w:val="24"/>
          <w:szCs w:val="24"/>
        </w:rPr>
        <w:t xml:space="preserve"> Holland</w:t>
      </w:r>
      <w:r w:rsidRPr="005137E9">
        <w:rPr>
          <w:rFonts w:cs="Times New Roman"/>
          <w:sz w:val="24"/>
          <w:szCs w:val="24"/>
        </w:rPr>
        <w:t xml:space="preserve"> board voted to use Holland funds to purchase the shares at a premium price of $20 per share (the net quick asset </w:t>
      </w:r>
      <w:r w:rsidRPr="005137E9">
        <w:rPr>
          <w:rFonts w:cs="Times New Roman"/>
          <w:sz w:val="24"/>
          <w:szCs w:val="24"/>
        </w:rPr>
        <w:lastRenderedPageBreak/>
        <w:t>value was $14).</w:t>
      </w:r>
      <w:r>
        <w:rPr>
          <w:rFonts w:cs="Times New Roman"/>
          <w:sz w:val="24"/>
          <w:szCs w:val="24"/>
        </w:rPr>
        <w:t xml:space="preserve"> Shareholders (P) challenged the board’s decision arguing </w:t>
      </w:r>
      <w:r w:rsidRPr="005137E9">
        <w:rPr>
          <w:rFonts w:cs="Times New Roman"/>
          <w:sz w:val="24"/>
          <w:szCs w:val="24"/>
        </w:rPr>
        <w:t>that the directors used Holland’s funds to ensure that their positions with the company remained intact.</w:t>
      </w:r>
      <w:r>
        <w:rPr>
          <w:rFonts w:cs="Times New Roman"/>
          <w:sz w:val="24"/>
          <w:szCs w:val="24"/>
        </w:rPr>
        <w:t xml:space="preserve"> </w:t>
      </w:r>
    </w:p>
    <w:p w14:paraId="55DB577C" w14:textId="77777777" w:rsidR="00E9074C" w:rsidRDefault="005137E9" w:rsidP="005137E9">
      <w:pPr>
        <w:pStyle w:val="ListParagraph"/>
        <w:numPr>
          <w:ilvl w:val="3"/>
          <w:numId w:val="13"/>
        </w:numPr>
        <w:rPr>
          <w:rFonts w:cs="Times New Roman"/>
          <w:sz w:val="24"/>
          <w:szCs w:val="24"/>
        </w:rPr>
      </w:pPr>
      <w:r>
        <w:rPr>
          <w:rFonts w:cs="Times New Roman"/>
          <w:sz w:val="24"/>
          <w:szCs w:val="24"/>
        </w:rPr>
        <w:t xml:space="preserve">Tool: </w:t>
      </w:r>
    </w:p>
    <w:p w14:paraId="069E2F3C" w14:textId="1509DE58" w:rsidR="007D6FB3" w:rsidRDefault="007D6FB3" w:rsidP="007D6FB3">
      <w:pPr>
        <w:pStyle w:val="ListParagraph"/>
        <w:numPr>
          <w:ilvl w:val="4"/>
          <w:numId w:val="13"/>
        </w:numPr>
        <w:rPr>
          <w:rFonts w:cs="Times New Roman"/>
          <w:sz w:val="24"/>
          <w:szCs w:val="24"/>
        </w:rPr>
      </w:pPr>
      <w:r>
        <w:rPr>
          <w:rFonts w:cs="Times New Roman"/>
          <w:sz w:val="24"/>
          <w:szCs w:val="24"/>
        </w:rPr>
        <w:t>“</w:t>
      </w:r>
      <w:r w:rsidRPr="007D6FB3">
        <w:rPr>
          <w:rFonts w:cs="Times New Roman"/>
          <w:sz w:val="24"/>
          <w:szCs w:val="24"/>
        </w:rPr>
        <w:t xml:space="preserve">Under the provisions of 8 </w:t>
      </w:r>
      <w:proofErr w:type="spellStart"/>
      <w:r w:rsidRPr="007D6FB3">
        <w:rPr>
          <w:rFonts w:cs="Times New Roman"/>
          <w:sz w:val="24"/>
          <w:szCs w:val="24"/>
        </w:rPr>
        <w:t>Del.C</w:t>
      </w:r>
      <w:proofErr w:type="spellEnd"/>
      <w:r w:rsidRPr="007D6FB3">
        <w:rPr>
          <w:rFonts w:cs="Times New Roman"/>
          <w:sz w:val="24"/>
          <w:szCs w:val="24"/>
        </w:rPr>
        <w:t>. § 160, a corporation is granted statutory power to purchase and se</w:t>
      </w:r>
      <w:r>
        <w:rPr>
          <w:rFonts w:cs="Times New Roman"/>
          <w:sz w:val="24"/>
          <w:szCs w:val="24"/>
        </w:rPr>
        <w:t>ll shares of its own stock.</w:t>
      </w:r>
      <w:r w:rsidRPr="007D6FB3">
        <w:rPr>
          <w:rFonts w:cs="Times New Roman"/>
          <w:sz w:val="24"/>
          <w:szCs w:val="24"/>
        </w:rPr>
        <w:t xml:space="preserve"> Such a right, as embodied in the statute, has long been recognized in this State</w:t>
      </w:r>
      <w:r>
        <w:rPr>
          <w:rFonts w:cs="Times New Roman"/>
          <w:sz w:val="24"/>
          <w:szCs w:val="24"/>
        </w:rPr>
        <w:t>…</w:t>
      </w:r>
      <w:r w:rsidRPr="007D6FB3">
        <w:rPr>
          <w:rFonts w:cs="Times New Roman"/>
          <w:sz w:val="24"/>
          <w:szCs w:val="24"/>
        </w:rPr>
        <w:t xml:space="preserve"> The charge here is not one of violation of statute, but the allegation is that the true motives behind such purchases were improperly centered upon perpetuation of control. In an analogous field, courts have sustained the use of proxy funds to inform stockholders of management's views upon the policy questions inherent in an election to a board of directors, but have not sanctioned the use of corporate funds to advance the selfish desires of directors to perpetuate themselves in office</w:t>
      </w:r>
      <w:r>
        <w:rPr>
          <w:rFonts w:cs="Times New Roman"/>
          <w:sz w:val="24"/>
          <w:szCs w:val="24"/>
        </w:rPr>
        <w:t>…</w:t>
      </w:r>
      <w:r w:rsidRPr="007D6FB3">
        <w:rPr>
          <w:rFonts w:cs="Times New Roman"/>
          <w:sz w:val="24"/>
          <w:szCs w:val="24"/>
        </w:rPr>
        <w:t>Similarly, if the actions of the board were motivated by a sincere belief that the buying out of the dissident stockholder was necessary to maintain what the board believed to be proper business practices, the board will not be held liable for such decision, even though hindsight indicates the decision was not the wisest course</w:t>
      </w:r>
      <w:r>
        <w:rPr>
          <w:rFonts w:cs="Times New Roman"/>
          <w:sz w:val="24"/>
          <w:szCs w:val="24"/>
        </w:rPr>
        <w:t>…</w:t>
      </w:r>
      <w:r w:rsidRPr="007D6FB3">
        <w:rPr>
          <w:rFonts w:cs="Times New Roman"/>
          <w:sz w:val="24"/>
          <w:szCs w:val="24"/>
        </w:rPr>
        <w:t xml:space="preserve"> On the other hand, if the board has acted solely or primarily because of the desire to perpetuate themselves in office, the use of corporate funds for such purposes is improper.</w:t>
      </w:r>
      <w:r>
        <w:rPr>
          <w:rFonts w:cs="Times New Roman"/>
          <w:sz w:val="24"/>
          <w:szCs w:val="24"/>
        </w:rPr>
        <w:t>”</w:t>
      </w:r>
    </w:p>
    <w:p w14:paraId="477051B9" w14:textId="5AB802FE" w:rsidR="005137E9" w:rsidRDefault="005137E9" w:rsidP="00E9074C">
      <w:pPr>
        <w:pStyle w:val="ListParagraph"/>
        <w:numPr>
          <w:ilvl w:val="4"/>
          <w:numId w:val="13"/>
        </w:numPr>
        <w:rPr>
          <w:rFonts w:cs="Times New Roman"/>
          <w:sz w:val="24"/>
          <w:szCs w:val="24"/>
        </w:rPr>
      </w:pPr>
      <w:r>
        <w:rPr>
          <w:rFonts w:cs="Times New Roman"/>
          <w:sz w:val="24"/>
          <w:szCs w:val="24"/>
        </w:rPr>
        <w:t xml:space="preserve">When challenged by shareholders, outside directors who adopt defensive tactics in a hostile acquisition </w:t>
      </w:r>
      <w:r w:rsidRPr="0057794B">
        <w:rPr>
          <w:rFonts w:cs="Times New Roman"/>
          <w:sz w:val="24"/>
          <w:szCs w:val="24"/>
          <w:u w:val="single"/>
        </w:rPr>
        <w:t>must show “reasonable grounds to believe [that there existed] a danger to corporate policy and effectiveness</w:t>
      </w:r>
      <w:r>
        <w:rPr>
          <w:rFonts w:cs="Times New Roman"/>
          <w:sz w:val="24"/>
          <w:szCs w:val="24"/>
        </w:rPr>
        <w:t>.” “</w:t>
      </w:r>
      <w:r w:rsidRPr="0057794B">
        <w:rPr>
          <w:rFonts w:cs="Times New Roman"/>
          <w:sz w:val="24"/>
          <w:szCs w:val="24"/>
          <w:u w:val="single"/>
        </w:rPr>
        <w:t>It is important to remember that the directors satisfy their burden by showing good faith and reasonable investigation; the directors will not be penalized for an honest mistake of judgment, if the judgment appeared reasonable at the time the decision was made.</w:t>
      </w:r>
      <w:r>
        <w:rPr>
          <w:rFonts w:cs="Times New Roman"/>
          <w:sz w:val="24"/>
          <w:szCs w:val="24"/>
        </w:rPr>
        <w:t>”</w:t>
      </w:r>
      <w:r w:rsidR="00352719">
        <w:rPr>
          <w:rFonts w:cs="Times New Roman"/>
          <w:sz w:val="24"/>
          <w:szCs w:val="24"/>
        </w:rPr>
        <w:t xml:space="preserve"> The standard is thus intermediate: Outside directors cannot rely on the business judgment rule, but neither must they prove the “inherent fairness” of what they did.</w:t>
      </w:r>
    </w:p>
    <w:p w14:paraId="03BDA1A0" w14:textId="762A109D" w:rsidR="00352719" w:rsidRPr="00352719" w:rsidRDefault="00352719" w:rsidP="00352719">
      <w:pPr>
        <w:pStyle w:val="ListParagraph"/>
        <w:numPr>
          <w:ilvl w:val="3"/>
          <w:numId w:val="13"/>
        </w:numPr>
        <w:rPr>
          <w:rFonts w:cs="Times New Roman"/>
          <w:sz w:val="24"/>
          <w:szCs w:val="24"/>
        </w:rPr>
      </w:pPr>
      <w:r>
        <w:rPr>
          <w:rFonts w:cs="Times New Roman"/>
          <w:sz w:val="24"/>
          <w:szCs w:val="24"/>
        </w:rPr>
        <w:t xml:space="preserve">Holding: The Supreme Court of Delaware held that the “directors are of necessity confronted with a conflict of interest,” but the conflict is more minor than for corporate officers who would lose a full-time position. Court found that directors proved that they showed reasonable grounds to believe that there was a danger to corporate policy and effectiveness. </w:t>
      </w:r>
      <w:r w:rsidRPr="00352719">
        <w:rPr>
          <w:rFonts w:cs="Times New Roman"/>
          <w:sz w:val="24"/>
          <w:szCs w:val="24"/>
        </w:rPr>
        <w:t xml:space="preserve">There was a legitimate threat that </w:t>
      </w:r>
      <w:proofErr w:type="spellStart"/>
      <w:r w:rsidRPr="00352719">
        <w:rPr>
          <w:rFonts w:cs="Times New Roman"/>
          <w:sz w:val="24"/>
          <w:szCs w:val="24"/>
        </w:rPr>
        <w:t>Maremont</w:t>
      </w:r>
      <w:proofErr w:type="spellEnd"/>
      <w:r w:rsidRPr="00352719">
        <w:rPr>
          <w:rFonts w:cs="Times New Roman"/>
          <w:sz w:val="24"/>
          <w:szCs w:val="24"/>
        </w:rPr>
        <w:t xml:space="preserve"> would push to alter the sales strategy of Holland, which the directors believed was an essential component to the company. There was also a legitimate concern that they would lose quality personnel under </w:t>
      </w:r>
      <w:proofErr w:type="spellStart"/>
      <w:r w:rsidRPr="00352719">
        <w:rPr>
          <w:rFonts w:cs="Times New Roman"/>
          <w:sz w:val="24"/>
          <w:szCs w:val="24"/>
        </w:rPr>
        <w:t>Maremont’s</w:t>
      </w:r>
      <w:proofErr w:type="spellEnd"/>
      <w:r w:rsidRPr="00352719">
        <w:rPr>
          <w:rFonts w:cs="Times New Roman"/>
          <w:sz w:val="24"/>
          <w:szCs w:val="24"/>
        </w:rPr>
        <w:t xml:space="preserve"> control. The price paid was reasonable considering that there is always a premium for buying a bulk parcel of shares. In hindsight the decision may not have been the best, but the business judgment rule will not penalize honest mistakes of judgment.</w:t>
      </w:r>
    </w:p>
    <w:p w14:paraId="6F64E97F" w14:textId="20894092" w:rsidR="00AA77D3" w:rsidRDefault="00AA77D3" w:rsidP="00E5052D">
      <w:pPr>
        <w:pStyle w:val="Heading3"/>
        <w:numPr>
          <w:ilvl w:val="1"/>
          <w:numId w:val="13"/>
        </w:numPr>
      </w:pPr>
      <w:r>
        <w:t>Self-Tender</w:t>
      </w:r>
    </w:p>
    <w:p w14:paraId="01A31196" w14:textId="459CBA1A" w:rsidR="00AA77D3" w:rsidRDefault="00C313B4" w:rsidP="00AA77D3">
      <w:pPr>
        <w:pStyle w:val="ListParagraph"/>
        <w:numPr>
          <w:ilvl w:val="2"/>
          <w:numId w:val="13"/>
        </w:numPr>
        <w:rPr>
          <w:rFonts w:cs="Times New Roman"/>
          <w:sz w:val="24"/>
          <w:szCs w:val="24"/>
        </w:rPr>
      </w:pPr>
      <w:r>
        <w:rPr>
          <w:rFonts w:cs="Times New Roman"/>
          <w:sz w:val="24"/>
          <w:szCs w:val="24"/>
        </w:rPr>
        <w:t>Introduction</w:t>
      </w:r>
    </w:p>
    <w:p w14:paraId="1187FC71" w14:textId="59D561F4" w:rsidR="00C313B4" w:rsidRPr="0088757C" w:rsidRDefault="003C5C0F" w:rsidP="0088757C">
      <w:pPr>
        <w:pStyle w:val="ListParagraph"/>
        <w:numPr>
          <w:ilvl w:val="3"/>
          <w:numId w:val="13"/>
        </w:numPr>
        <w:rPr>
          <w:rFonts w:cs="Times New Roman"/>
          <w:sz w:val="24"/>
          <w:szCs w:val="24"/>
        </w:rPr>
      </w:pPr>
      <w:r>
        <w:rPr>
          <w:rFonts w:cs="Times New Roman"/>
          <w:sz w:val="24"/>
          <w:szCs w:val="24"/>
        </w:rPr>
        <w:t>Any-and-All</w:t>
      </w:r>
      <w:r w:rsidR="00C313B4">
        <w:rPr>
          <w:rFonts w:cs="Times New Roman"/>
          <w:sz w:val="24"/>
          <w:szCs w:val="24"/>
        </w:rPr>
        <w:t xml:space="preserve"> Tender Offer</w:t>
      </w:r>
      <w:r w:rsidR="00C313B4" w:rsidRPr="0088757C">
        <w:rPr>
          <w:rFonts w:cs="Times New Roman"/>
          <w:sz w:val="24"/>
          <w:szCs w:val="24"/>
        </w:rPr>
        <w:t xml:space="preserve"> – </w:t>
      </w:r>
      <w:r w:rsidRPr="0088757C">
        <w:rPr>
          <w:rFonts w:cs="Times New Roman"/>
          <w:sz w:val="24"/>
          <w:szCs w:val="24"/>
        </w:rPr>
        <w:t>when a tender offer is made, shareholders have an incentive not to sell if they think the acquirer will increase the price of stock by more than what is being offered</w:t>
      </w:r>
      <w:r w:rsidR="00C313B4" w:rsidRPr="0088757C">
        <w:rPr>
          <w:rFonts w:cs="Times New Roman"/>
          <w:sz w:val="24"/>
          <w:szCs w:val="24"/>
        </w:rPr>
        <w:t xml:space="preserve"> by improving company</w:t>
      </w:r>
      <w:r w:rsidRPr="0088757C">
        <w:rPr>
          <w:rFonts w:cs="Times New Roman"/>
          <w:sz w:val="24"/>
          <w:szCs w:val="24"/>
        </w:rPr>
        <w:t xml:space="preserve">. However, if too many shareholders make a decision not to sell, then the tender offer will fail. </w:t>
      </w:r>
    </w:p>
    <w:tbl>
      <w:tblPr>
        <w:tblStyle w:val="TableGrid"/>
        <w:tblW w:w="0" w:type="auto"/>
        <w:jc w:val="center"/>
        <w:tblLook w:val="04A0" w:firstRow="1" w:lastRow="0" w:firstColumn="1" w:lastColumn="0" w:noHBand="0" w:noVBand="1"/>
      </w:tblPr>
      <w:tblGrid>
        <w:gridCol w:w="1538"/>
        <w:gridCol w:w="1538"/>
        <w:gridCol w:w="3579"/>
      </w:tblGrid>
      <w:tr w:rsidR="00C313B4" w14:paraId="6BD644CA" w14:textId="77777777" w:rsidTr="008B73FF">
        <w:trPr>
          <w:trHeight w:val="255"/>
          <w:jc w:val="center"/>
        </w:trPr>
        <w:tc>
          <w:tcPr>
            <w:tcW w:w="1538" w:type="dxa"/>
          </w:tcPr>
          <w:p w14:paraId="4F6B2B92" w14:textId="77777777" w:rsidR="00C313B4" w:rsidRDefault="00C313B4" w:rsidP="00FC29DA">
            <w:pPr>
              <w:rPr>
                <w:rFonts w:cs="Times New Roman"/>
                <w:szCs w:val="24"/>
              </w:rPr>
            </w:pPr>
          </w:p>
        </w:tc>
        <w:tc>
          <w:tcPr>
            <w:tcW w:w="1538" w:type="dxa"/>
          </w:tcPr>
          <w:p w14:paraId="5D736976" w14:textId="77777777" w:rsidR="00C313B4" w:rsidRDefault="00C313B4" w:rsidP="00FC29DA">
            <w:pPr>
              <w:rPr>
                <w:rFonts w:cs="Times New Roman"/>
                <w:szCs w:val="24"/>
              </w:rPr>
            </w:pPr>
            <w:r>
              <w:rPr>
                <w:rFonts w:cs="Times New Roman"/>
                <w:szCs w:val="24"/>
              </w:rPr>
              <w:t>Succeed</w:t>
            </w:r>
          </w:p>
        </w:tc>
        <w:tc>
          <w:tcPr>
            <w:tcW w:w="3579" w:type="dxa"/>
          </w:tcPr>
          <w:p w14:paraId="2FA1C383" w14:textId="77777777" w:rsidR="00C313B4" w:rsidRDefault="00C313B4" w:rsidP="00FC29DA">
            <w:pPr>
              <w:rPr>
                <w:rFonts w:cs="Times New Roman"/>
                <w:szCs w:val="24"/>
              </w:rPr>
            </w:pPr>
            <w:r>
              <w:rPr>
                <w:rFonts w:cs="Times New Roman"/>
                <w:szCs w:val="24"/>
              </w:rPr>
              <w:t>Fail</w:t>
            </w:r>
          </w:p>
        </w:tc>
      </w:tr>
      <w:tr w:rsidR="00C313B4" w14:paraId="03DEBF80" w14:textId="77777777" w:rsidTr="008B73FF">
        <w:trPr>
          <w:trHeight w:val="255"/>
          <w:jc w:val="center"/>
        </w:trPr>
        <w:tc>
          <w:tcPr>
            <w:tcW w:w="1538" w:type="dxa"/>
          </w:tcPr>
          <w:p w14:paraId="1619EF2C" w14:textId="77777777" w:rsidR="00C313B4" w:rsidRDefault="00C313B4" w:rsidP="00FC29DA">
            <w:pPr>
              <w:rPr>
                <w:rFonts w:cs="Times New Roman"/>
                <w:szCs w:val="24"/>
              </w:rPr>
            </w:pPr>
            <w:r>
              <w:rPr>
                <w:rFonts w:cs="Times New Roman"/>
                <w:szCs w:val="24"/>
              </w:rPr>
              <w:t>Tender Offer</w:t>
            </w:r>
          </w:p>
        </w:tc>
        <w:tc>
          <w:tcPr>
            <w:tcW w:w="1538" w:type="dxa"/>
          </w:tcPr>
          <w:p w14:paraId="7BF93323" w14:textId="18D9644F" w:rsidR="00C313B4" w:rsidRDefault="008B73FF" w:rsidP="00FC29DA">
            <w:pPr>
              <w:rPr>
                <w:rFonts w:cs="Times New Roman"/>
                <w:szCs w:val="24"/>
              </w:rPr>
            </w:pPr>
            <w:r>
              <w:rPr>
                <w:rFonts w:cs="Times New Roman"/>
                <w:szCs w:val="24"/>
              </w:rPr>
              <w:t>$14</w:t>
            </w:r>
            <w:r w:rsidR="00C313B4">
              <w:rPr>
                <w:rFonts w:cs="Times New Roman"/>
                <w:szCs w:val="24"/>
              </w:rPr>
              <w:t>0</w:t>
            </w:r>
          </w:p>
        </w:tc>
        <w:tc>
          <w:tcPr>
            <w:tcW w:w="3579" w:type="dxa"/>
          </w:tcPr>
          <w:p w14:paraId="222BC2D9" w14:textId="784C7023" w:rsidR="00C313B4" w:rsidRDefault="00C313B4" w:rsidP="00FC29DA">
            <w:pPr>
              <w:rPr>
                <w:rFonts w:cs="Times New Roman"/>
                <w:szCs w:val="24"/>
              </w:rPr>
            </w:pPr>
            <w:r>
              <w:rPr>
                <w:rFonts w:cs="Times New Roman"/>
                <w:szCs w:val="24"/>
              </w:rPr>
              <w:t>$100</w:t>
            </w:r>
            <w:r w:rsidR="008B73FF">
              <w:rPr>
                <w:rFonts w:cs="Times New Roman"/>
                <w:szCs w:val="24"/>
              </w:rPr>
              <w:t xml:space="preserve"> (what stock currently worth)</w:t>
            </w:r>
          </w:p>
        </w:tc>
      </w:tr>
      <w:tr w:rsidR="00C313B4" w14:paraId="4AD5BB23" w14:textId="77777777" w:rsidTr="008B73FF">
        <w:trPr>
          <w:trHeight w:val="255"/>
          <w:jc w:val="center"/>
        </w:trPr>
        <w:tc>
          <w:tcPr>
            <w:tcW w:w="1538" w:type="dxa"/>
          </w:tcPr>
          <w:p w14:paraId="13653B9D" w14:textId="77777777" w:rsidR="00C313B4" w:rsidRDefault="00C313B4" w:rsidP="00FC29DA">
            <w:pPr>
              <w:rPr>
                <w:rFonts w:cs="Times New Roman"/>
                <w:szCs w:val="24"/>
              </w:rPr>
            </w:pPr>
            <w:r>
              <w:rPr>
                <w:rFonts w:cs="Times New Roman"/>
                <w:szCs w:val="24"/>
              </w:rPr>
              <w:t>No Tender</w:t>
            </w:r>
          </w:p>
        </w:tc>
        <w:tc>
          <w:tcPr>
            <w:tcW w:w="1538" w:type="dxa"/>
          </w:tcPr>
          <w:p w14:paraId="2DACACA9" w14:textId="38CBAA2E" w:rsidR="00C313B4" w:rsidRDefault="008B73FF" w:rsidP="00FC29DA">
            <w:pPr>
              <w:rPr>
                <w:rFonts w:cs="Times New Roman"/>
                <w:szCs w:val="24"/>
              </w:rPr>
            </w:pPr>
            <w:r>
              <w:rPr>
                <w:rFonts w:cs="Times New Roman"/>
                <w:szCs w:val="24"/>
              </w:rPr>
              <w:t>$16</w:t>
            </w:r>
            <w:r w:rsidR="00C313B4">
              <w:rPr>
                <w:rFonts w:cs="Times New Roman"/>
                <w:szCs w:val="24"/>
              </w:rPr>
              <w:t>0</w:t>
            </w:r>
          </w:p>
        </w:tc>
        <w:tc>
          <w:tcPr>
            <w:tcW w:w="3579" w:type="dxa"/>
          </w:tcPr>
          <w:p w14:paraId="546892D4" w14:textId="77777777" w:rsidR="00C313B4" w:rsidRDefault="00C313B4" w:rsidP="00FC29DA">
            <w:pPr>
              <w:rPr>
                <w:rFonts w:cs="Times New Roman"/>
                <w:szCs w:val="24"/>
              </w:rPr>
            </w:pPr>
            <w:r>
              <w:rPr>
                <w:rFonts w:cs="Times New Roman"/>
                <w:szCs w:val="24"/>
              </w:rPr>
              <w:t>$100</w:t>
            </w:r>
          </w:p>
        </w:tc>
      </w:tr>
    </w:tbl>
    <w:p w14:paraId="0C1CFEE4" w14:textId="77777777" w:rsidR="00C313B4" w:rsidRDefault="00C313B4" w:rsidP="00C313B4">
      <w:pPr>
        <w:pStyle w:val="ListParagraph"/>
        <w:ind w:left="1440"/>
        <w:rPr>
          <w:rFonts w:cs="Times New Roman"/>
          <w:sz w:val="24"/>
          <w:szCs w:val="24"/>
        </w:rPr>
      </w:pPr>
    </w:p>
    <w:p w14:paraId="10AC8020" w14:textId="78755480" w:rsidR="003C5C0F" w:rsidRDefault="003C5C0F" w:rsidP="003C5C0F">
      <w:pPr>
        <w:pStyle w:val="ListParagraph"/>
        <w:numPr>
          <w:ilvl w:val="3"/>
          <w:numId w:val="13"/>
        </w:numPr>
        <w:rPr>
          <w:rFonts w:cs="Times New Roman"/>
          <w:sz w:val="24"/>
          <w:szCs w:val="24"/>
        </w:rPr>
      </w:pPr>
      <w:r>
        <w:rPr>
          <w:rFonts w:cs="Times New Roman"/>
          <w:sz w:val="24"/>
          <w:szCs w:val="24"/>
        </w:rPr>
        <w:t>The</w:t>
      </w:r>
      <w:r w:rsidR="00C313B4">
        <w:rPr>
          <w:rFonts w:cs="Times New Roman"/>
          <w:sz w:val="24"/>
          <w:szCs w:val="24"/>
        </w:rPr>
        <w:t xml:space="preserve"> Two-Tiered Solution – Suppose acquirer</w:t>
      </w:r>
      <w:r>
        <w:rPr>
          <w:rFonts w:cs="Times New Roman"/>
          <w:sz w:val="24"/>
          <w:szCs w:val="24"/>
        </w:rPr>
        <w:t xml:space="preserve"> is willing to pay $140 per share for all outstanding stock. Rather than make an “any and all” offer, </w:t>
      </w:r>
      <w:r w:rsidR="00C313B4">
        <w:rPr>
          <w:rFonts w:cs="Times New Roman"/>
          <w:sz w:val="24"/>
          <w:szCs w:val="24"/>
        </w:rPr>
        <w:t>acquirer</w:t>
      </w:r>
      <w:r>
        <w:rPr>
          <w:rFonts w:cs="Times New Roman"/>
          <w:sz w:val="24"/>
          <w:szCs w:val="24"/>
        </w:rPr>
        <w:t xml:space="preserve"> will announce a two-tiered bid. </w:t>
      </w:r>
      <w:r w:rsidR="00C313B4">
        <w:rPr>
          <w:rFonts w:cs="Times New Roman"/>
          <w:sz w:val="24"/>
          <w:szCs w:val="24"/>
        </w:rPr>
        <w:t>Acquirer</w:t>
      </w:r>
      <w:r>
        <w:rPr>
          <w:rFonts w:cs="Times New Roman"/>
          <w:sz w:val="24"/>
          <w:szCs w:val="24"/>
        </w:rPr>
        <w:t xml:space="preserve"> will first buy exactly half of the outstanding shares in a tender offer. Once he obtains that stock, he will cash</w:t>
      </w:r>
      <w:r w:rsidR="00C313B4">
        <w:rPr>
          <w:rFonts w:cs="Times New Roman"/>
          <w:sz w:val="24"/>
          <w:szCs w:val="24"/>
        </w:rPr>
        <w:t xml:space="preserve"> </w:t>
      </w:r>
      <w:r>
        <w:rPr>
          <w:rFonts w:cs="Times New Roman"/>
          <w:sz w:val="24"/>
          <w:szCs w:val="24"/>
        </w:rPr>
        <w:t xml:space="preserve">out the remaining shareholders in a </w:t>
      </w:r>
      <w:r w:rsidRPr="00EB3AB8">
        <w:rPr>
          <w:rFonts w:cs="Times New Roman"/>
          <w:sz w:val="24"/>
          <w:szCs w:val="24"/>
          <w:u w:val="single"/>
        </w:rPr>
        <w:t>freeze-out merger</w:t>
      </w:r>
      <w:r>
        <w:rPr>
          <w:rFonts w:cs="Times New Roman"/>
          <w:sz w:val="24"/>
          <w:szCs w:val="24"/>
        </w:rPr>
        <w:t xml:space="preserve"> </w:t>
      </w:r>
      <w:r w:rsidR="00EB3AB8">
        <w:rPr>
          <w:rFonts w:cs="Times New Roman"/>
          <w:sz w:val="24"/>
          <w:szCs w:val="24"/>
        </w:rPr>
        <w:t xml:space="preserve">(merge target into sub) </w:t>
      </w:r>
      <w:r>
        <w:rPr>
          <w:rFonts w:cs="Times New Roman"/>
          <w:sz w:val="24"/>
          <w:szCs w:val="24"/>
        </w:rPr>
        <w:t xml:space="preserve">of the </w:t>
      </w:r>
      <w:r>
        <w:rPr>
          <w:rFonts w:cs="Times New Roman"/>
          <w:sz w:val="24"/>
          <w:szCs w:val="24"/>
        </w:rPr>
        <w:lastRenderedPageBreak/>
        <w:t xml:space="preserve">firm into one of his own wholly owned firms. He will buy the stocks in the first tier (the tender offer) at $160. He will cash out the rest in the merger at $120. </w:t>
      </w:r>
    </w:p>
    <w:p w14:paraId="42681228" w14:textId="18825B29" w:rsidR="003C5C0F" w:rsidRDefault="003C5C0F" w:rsidP="003C5C0F">
      <w:pPr>
        <w:pStyle w:val="ListParagraph"/>
        <w:numPr>
          <w:ilvl w:val="4"/>
          <w:numId w:val="13"/>
        </w:numPr>
        <w:rPr>
          <w:rFonts w:cs="Times New Roman"/>
          <w:sz w:val="24"/>
          <w:szCs w:val="24"/>
        </w:rPr>
      </w:pPr>
      <w:r>
        <w:rPr>
          <w:rFonts w:cs="Times New Roman"/>
          <w:sz w:val="24"/>
          <w:szCs w:val="24"/>
        </w:rPr>
        <w:t>Results: eve</w:t>
      </w:r>
      <w:r w:rsidR="00EB3AB8">
        <w:rPr>
          <w:rFonts w:cs="Times New Roman"/>
          <w:sz w:val="24"/>
          <w:szCs w:val="24"/>
        </w:rPr>
        <w:t>ryone has incentive to tender; acquirer</w:t>
      </w:r>
      <w:r>
        <w:rPr>
          <w:rFonts w:cs="Times New Roman"/>
          <w:sz w:val="24"/>
          <w:szCs w:val="24"/>
        </w:rPr>
        <w:t xml:space="preserve"> pays the same total price; and even the back-end merger takes place at a generous price.</w:t>
      </w:r>
    </w:p>
    <w:tbl>
      <w:tblPr>
        <w:tblStyle w:val="TableGrid"/>
        <w:tblW w:w="0" w:type="auto"/>
        <w:jc w:val="center"/>
        <w:tblLook w:val="04A0" w:firstRow="1" w:lastRow="0" w:firstColumn="1" w:lastColumn="0" w:noHBand="0" w:noVBand="1"/>
      </w:tblPr>
      <w:tblGrid>
        <w:gridCol w:w="3116"/>
        <w:gridCol w:w="3117"/>
        <w:gridCol w:w="1142"/>
      </w:tblGrid>
      <w:tr w:rsidR="008B73FF" w14:paraId="79507713" w14:textId="77777777" w:rsidTr="008B73FF">
        <w:trPr>
          <w:jc w:val="center"/>
        </w:trPr>
        <w:tc>
          <w:tcPr>
            <w:tcW w:w="3116" w:type="dxa"/>
          </w:tcPr>
          <w:p w14:paraId="5CB914C0" w14:textId="77777777" w:rsidR="008B73FF" w:rsidRDefault="008B73FF" w:rsidP="00FC29DA">
            <w:pPr>
              <w:rPr>
                <w:rFonts w:cs="Times New Roman"/>
                <w:szCs w:val="24"/>
              </w:rPr>
            </w:pPr>
          </w:p>
        </w:tc>
        <w:tc>
          <w:tcPr>
            <w:tcW w:w="3117" w:type="dxa"/>
          </w:tcPr>
          <w:p w14:paraId="435DEC0E" w14:textId="77777777" w:rsidR="008B73FF" w:rsidRDefault="008B73FF" w:rsidP="00FC29DA">
            <w:pPr>
              <w:rPr>
                <w:rFonts w:cs="Times New Roman"/>
                <w:szCs w:val="24"/>
              </w:rPr>
            </w:pPr>
            <w:r>
              <w:rPr>
                <w:rFonts w:cs="Times New Roman"/>
                <w:szCs w:val="24"/>
              </w:rPr>
              <w:t>Succeed</w:t>
            </w:r>
          </w:p>
        </w:tc>
        <w:tc>
          <w:tcPr>
            <w:tcW w:w="1142" w:type="dxa"/>
          </w:tcPr>
          <w:p w14:paraId="0535BAEB" w14:textId="77777777" w:rsidR="008B73FF" w:rsidRDefault="008B73FF" w:rsidP="00FC29DA">
            <w:pPr>
              <w:rPr>
                <w:rFonts w:cs="Times New Roman"/>
                <w:szCs w:val="24"/>
              </w:rPr>
            </w:pPr>
            <w:r>
              <w:rPr>
                <w:rFonts w:cs="Times New Roman"/>
                <w:szCs w:val="24"/>
              </w:rPr>
              <w:t>Fail</w:t>
            </w:r>
          </w:p>
        </w:tc>
      </w:tr>
      <w:tr w:rsidR="008B73FF" w14:paraId="5CCB2D56" w14:textId="77777777" w:rsidTr="008B73FF">
        <w:trPr>
          <w:jc w:val="center"/>
        </w:trPr>
        <w:tc>
          <w:tcPr>
            <w:tcW w:w="3116" w:type="dxa"/>
          </w:tcPr>
          <w:p w14:paraId="1EF50C77" w14:textId="77777777" w:rsidR="008B73FF" w:rsidRDefault="008B73FF" w:rsidP="00FC29DA">
            <w:pPr>
              <w:rPr>
                <w:rFonts w:cs="Times New Roman"/>
                <w:szCs w:val="24"/>
              </w:rPr>
            </w:pPr>
            <w:r>
              <w:rPr>
                <w:rFonts w:cs="Times New Roman"/>
                <w:szCs w:val="24"/>
              </w:rPr>
              <w:t>Tender Offer</w:t>
            </w:r>
          </w:p>
        </w:tc>
        <w:tc>
          <w:tcPr>
            <w:tcW w:w="3117" w:type="dxa"/>
          </w:tcPr>
          <w:p w14:paraId="39EBEEBF" w14:textId="77D3190F" w:rsidR="008B73FF" w:rsidRDefault="008B73FF" w:rsidP="00EB3AB8">
            <w:pPr>
              <w:rPr>
                <w:rFonts w:cs="Times New Roman"/>
                <w:szCs w:val="24"/>
              </w:rPr>
            </w:pPr>
            <w:r>
              <w:rPr>
                <w:rFonts w:cs="Times New Roman"/>
                <w:szCs w:val="24"/>
              </w:rPr>
              <w:t>$</w:t>
            </w:r>
            <w:r w:rsidR="00EB3AB8">
              <w:rPr>
                <w:rFonts w:cs="Times New Roman"/>
                <w:szCs w:val="24"/>
              </w:rPr>
              <w:t>160 (or $140-160 if stipulates that if he gets more than 51% will pro rata)</w:t>
            </w:r>
          </w:p>
        </w:tc>
        <w:tc>
          <w:tcPr>
            <w:tcW w:w="1142" w:type="dxa"/>
          </w:tcPr>
          <w:p w14:paraId="2B32F419" w14:textId="77777777" w:rsidR="008B73FF" w:rsidRDefault="008B73FF" w:rsidP="00FC29DA">
            <w:pPr>
              <w:rPr>
                <w:rFonts w:cs="Times New Roman"/>
                <w:szCs w:val="24"/>
              </w:rPr>
            </w:pPr>
            <w:r>
              <w:rPr>
                <w:rFonts w:cs="Times New Roman"/>
                <w:szCs w:val="24"/>
              </w:rPr>
              <w:t>$100</w:t>
            </w:r>
          </w:p>
        </w:tc>
      </w:tr>
      <w:tr w:rsidR="008B73FF" w14:paraId="7897E27C" w14:textId="77777777" w:rsidTr="008B73FF">
        <w:trPr>
          <w:jc w:val="center"/>
        </w:trPr>
        <w:tc>
          <w:tcPr>
            <w:tcW w:w="3116" w:type="dxa"/>
          </w:tcPr>
          <w:p w14:paraId="7997164E" w14:textId="77777777" w:rsidR="008B73FF" w:rsidRDefault="008B73FF" w:rsidP="00FC29DA">
            <w:pPr>
              <w:rPr>
                <w:rFonts w:cs="Times New Roman"/>
                <w:szCs w:val="24"/>
              </w:rPr>
            </w:pPr>
            <w:r>
              <w:rPr>
                <w:rFonts w:cs="Times New Roman"/>
                <w:szCs w:val="24"/>
              </w:rPr>
              <w:t>No Tender</w:t>
            </w:r>
          </w:p>
        </w:tc>
        <w:tc>
          <w:tcPr>
            <w:tcW w:w="3117" w:type="dxa"/>
          </w:tcPr>
          <w:p w14:paraId="343F94EA" w14:textId="115A93FD" w:rsidR="008B73FF" w:rsidRDefault="00EB3AB8" w:rsidP="00FC29DA">
            <w:pPr>
              <w:rPr>
                <w:rFonts w:cs="Times New Roman"/>
                <w:szCs w:val="24"/>
              </w:rPr>
            </w:pPr>
            <w:r>
              <w:rPr>
                <w:rFonts w:cs="Times New Roman"/>
                <w:szCs w:val="24"/>
              </w:rPr>
              <w:t>$120</w:t>
            </w:r>
          </w:p>
        </w:tc>
        <w:tc>
          <w:tcPr>
            <w:tcW w:w="1142" w:type="dxa"/>
          </w:tcPr>
          <w:p w14:paraId="0640A21D" w14:textId="77777777" w:rsidR="008B73FF" w:rsidRDefault="008B73FF" w:rsidP="00FC29DA">
            <w:pPr>
              <w:rPr>
                <w:rFonts w:cs="Times New Roman"/>
                <w:szCs w:val="24"/>
              </w:rPr>
            </w:pPr>
            <w:r>
              <w:rPr>
                <w:rFonts w:cs="Times New Roman"/>
                <w:szCs w:val="24"/>
              </w:rPr>
              <w:t>$100</w:t>
            </w:r>
          </w:p>
        </w:tc>
      </w:tr>
    </w:tbl>
    <w:p w14:paraId="67749B56" w14:textId="77777777" w:rsidR="008B73FF" w:rsidRDefault="008B73FF" w:rsidP="008B73FF">
      <w:pPr>
        <w:pStyle w:val="ListParagraph"/>
        <w:ind w:left="1800"/>
        <w:rPr>
          <w:rFonts w:cs="Times New Roman"/>
          <w:sz w:val="24"/>
          <w:szCs w:val="24"/>
        </w:rPr>
      </w:pPr>
    </w:p>
    <w:p w14:paraId="080F325F" w14:textId="0048B732" w:rsidR="00AA77D3" w:rsidRDefault="00AA77D3" w:rsidP="00E37E52">
      <w:pPr>
        <w:pStyle w:val="ListParagraph"/>
        <w:numPr>
          <w:ilvl w:val="2"/>
          <w:numId w:val="13"/>
        </w:numPr>
        <w:rPr>
          <w:rFonts w:cs="Times New Roman"/>
          <w:sz w:val="24"/>
          <w:szCs w:val="24"/>
        </w:rPr>
      </w:pPr>
      <w:r>
        <w:rPr>
          <w:rFonts w:cs="Times New Roman"/>
          <w:sz w:val="24"/>
          <w:szCs w:val="24"/>
        </w:rPr>
        <w:t>Self-Tender Defense</w:t>
      </w:r>
      <w:r w:rsidR="00464335">
        <w:rPr>
          <w:rFonts w:cs="Times New Roman"/>
          <w:sz w:val="24"/>
          <w:szCs w:val="24"/>
        </w:rPr>
        <w:t xml:space="preserve"> Allowed and Don’t Have to Pay Hostile Acquirer</w:t>
      </w:r>
      <w:r w:rsidR="003C5C0F">
        <w:rPr>
          <w:rFonts w:cs="Times New Roman"/>
          <w:sz w:val="24"/>
          <w:szCs w:val="24"/>
        </w:rPr>
        <w:t xml:space="preserve"> </w:t>
      </w:r>
      <w:r w:rsidR="00E37E52">
        <w:rPr>
          <w:rFonts w:cs="Times New Roman"/>
          <w:sz w:val="24"/>
          <w:szCs w:val="24"/>
        </w:rPr>
        <w:t>–</w:t>
      </w:r>
      <w:r w:rsidR="003C5C0F">
        <w:rPr>
          <w:rFonts w:cs="Times New Roman"/>
          <w:sz w:val="24"/>
          <w:szCs w:val="24"/>
        </w:rPr>
        <w:t xml:space="preserve"> </w:t>
      </w:r>
      <w:r w:rsidR="00E37E52" w:rsidRPr="00E37E52">
        <w:rPr>
          <w:rFonts w:cs="Times New Roman"/>
          <w:b/>
          <w:i/>
          <w:sz w:val="24"/>
          <w:szCs w:val="24"/>
        </w:rPr>
        <w:t>Unocal Corporation v. Mesa Petroleum Co. (Del. 1985)</w:t>
      </w:r>
    </w:p>
    <w:p w14:paraId="08B5A218" w14:textId="63856770" w:rsidR="00E37E52" w:rsidRDefault="00E37E52" w:rsidP="006E5179">
      <w:pPr>
        <w:pStyle w:val="ListParagraph"/>
        <w:numPr>
          <w:ilvl w:val="3"/>
          <w:numId w:val="13"/>
        </w:numPr>
        <w:rPr>
          <w:rFonts w:cs="Times New Roman"/>
          <w:sz w:val="24"/>
          <w:szCs w:val="24"/>
        </w:rPr>
      </w:pPr>
      <w:r>
        <w:rPr>
          <w:rFonts w:cs="Times New Roman"/>
          <w:sz w:val="24"/>
          <w:szCs w:val="24"/>
        </w:rPr>
        <w:t>Synopsis:</w:t>
      </w:r>
      <w:r w:rsidR="006E5179">
        <w:rPr>
          <w:rFonts w:cs="Times New Roman"/>
          <w:sz w:val="24"/>
          <w:szCs w:val="24"/>
        </w:rPr>
        <w:t xml:space="preserve"> </w:t>
      </w:r>
      <w:r w:rsidR="006E5179" w:rsidRPr="006E5179">
        <w:rPr>
          <w:rFonts w:cs="Times New Roman"/>
          <w:sz w:val="24"/>
          <w:szCs w:val="24"/>
        </w:rPr>
        <w:t xml:space="preserve">Mesa Petroleum Co. (P) was a corporation led by a well-known corporate raider. P offered </w:t>
      </w:r>
      <w:r w:rsidR="007110E1">
        <w:rPr>
          <w:rFonts w:cs="Times New Roman"/>
          <w:sz w:val="24"/>
          <w:szCs w:val="24"/>
        </w:rPr>
        <w:t xml:space="preserve">Unocal Corp. (D) </w:t>
      </w:r>
      <w:r w:rsidR="006E5179" w:rsidRPr="006E5179">
        <w:rPr>
          <w:rFonts w:cs="Times New Roman"/>
          <w:sz w:val="24"/>
          <w:szCs w:val="24"/>
        </w:rPr>
        <w:t xml:space="preserve">a two-tier tender offer wherein the first tier would allow for shareholders to sell at $54 per share and the second tier would be subsidized by securities that the court equated with “junk bonds”. The threat therefore was that shareholders would rush to sell their shares for the first tier because they did not want to be subject to the reduced value of the back-end value of the junk securities. </w:t>
      </w:r>
      <w:r w:rsidR="007110E1">
        <w:rPr>
          <w:rFonts w:cs="Times New Roman"/>
          <w:sz w:val="24"/>
          <w:szCs w:val="24"/>
        </w:rPr>
        <w:t>D</w:t>
      </w:r>
      <w:r w:rsidR="006E5179" w:rsidRPr="006E5179">
        <w:rPr>
          <w:rFonts w:cs="Times New Roman"/>
          <w:sz w:val="24"/>
          <w:szCs w:val="24"/>
        </w:rPr>
        <w:t xml:space="preserve"> directors met to discuss their options and came up with an alternative that would have D corporation repurchase their own shares (self-tender) at $72</w:t>
      </w:r>
      <w:r w:rsidR="007110E1">
        <w:rPr>
          <w:rFonts w:cs="Times New Roman"/>
          <w:sz w:val="24"/>
          <w:szCs w:val="24"/>
        </w:rPr>
        <w:t xml:space="preserve"> if and only if Mesa purchased 37%. Shareholders had an incentive to tender to Unocal but then nobody tendered to Mesa so Unocal’s conditional offer would never take effect and everyone was stuck with stock as it was originally worth at $38. The shareholders were livid. Under pressure, the D board relented and agreed to buy back (redeem) 29% of the stock at $72 regardless of whether P obtained 37%. P then demanded that D buy a proportional share of its stock too. D refused and P sued. P stood to lose because the rest of the stockholders would receive an effective dividend in which it did not share and its shares would lose value since D was paying out at more than they were worth. </w:t>
      </w:r>
      <w:r w:rsidR="006E5179" w:rsidRPr="006E5179">
        <w:rPr>
          <w:rFonts w:cs="Times New Roman"/>
          <w:sz w:val="24"/>
          <w:szCs w:val="24"/>
        </w:rPr>
        <w:t>The lower court held that D could not exclude a shareholder from a tender offer.</w:t>
      </w:r>
    </w:p>
    <w:p w14:paraId="47431DDC" w14:textId="77777777" w:rsidR="00BA0E6B" w:rsidRDefault="00E37E52" w:rsidP="00E37E52">
      <w:pPr>
        <w:pStyle w:val="ListParagraph"/>
        <w:numPr>
          <w:ilvl w:val="3"/>
          <w:numId w:val="13"/>
        </w:numPr>
        <w:rPr>
          <w:rFonts w:cs="Times New Roman"/>
          <w:sz w:val="24"/>
          <w:szCs w:val="24"/>
        </w:rPr>
      </w:pPr>
      <w:r>
        <w:rPr>
          <w:rFonts w:cs="Times New Roman"/>
          <w:sz w:val="24"/>
          <w:szCs w:val="24"/>
        </w:rPr>
        <w:t>Tool:</w:t>
      </w:r>
      <w:r w:rsidR="006E5179">
        <w:rPr>
          <w:rFonts w:cs="Times New Roman"/>
          <w:sz w:val="24"/>
          <w:szCs w:val="24"/>
        </w:rPr>
        <w:t xml:space="preserve"> </w:t>
      </w:r>
    </w:p>
    <w:p w14:paraId="74D3A044" w14:textId="6269BBF3" w:rsidR="00BA0E6B" w:rsidRDefault="00BA0E6B" w:rsidP="00BA0E6B">
      <w:pPr>
        <w:pStyle w:val="ListParagraph"/>
        <w:numPr>
          <w:ilvl w:val="4"/>
          <w:numId w:val="13"/>
        </w:numPr>
        <w:rPr>
          <w:rFonts w:cs="Times New Roman"/>
          <w:sz w:val="24"/>
          <w:szCs w:val="24"/>
        </w:rPr>
      </w:pPr>
      <w:r>
        <w:rPr>
          <w:rFonts w:cs="Times New Roman"/>
          <w:sz w:val="24"/>
          <w:szCs w:val="24"/>
        </w:rPr>
        <w:t xml:space="preserve"> “When a board addresses a pending takeover bid it has an obligation to determine whether the offer is in the best interests of the corporation and its shareholders</w:t>
      </w:r>
      <w:r w:rsidR="00464335">
        <w:rPr>
          <w:rFonts w:cs="Times New Roman"/>
          <w:sz w:val="24"/>
          <w:szCs w:val="24"/>
        </w:rPr>
        <w:t xml:space="preserve"> </w:t>
      </w:r>
      <w:r>
        <w:rPr>
          <w:rFonts w:cs="Times New Roman"/>
          <w:sz w:val="24"/>
          <w:szCs w:val="24"/>
        </w:rPr>
        <w:t xml:space="preserve">…In the face of this inherent conflict directors </w:t>
      </w:r>
      <w:r w:rsidRPr="00BA0E6B">
        <w:rPr>
          <w:rFonts w:cs="Times New Roman"/>
          <w:sz w:val="24"/>
          <w:szCs w:val="24"/>
          <w:u w:val="single"/>
        </w:rPr>
        <w:t xml:space="preserve">must show that they had reasonable grounds for believing that a danger to corporate policy and effectiveness existed </w:t>
      </w:r>
      <w:r>
        <w:rPr>
          <w:rFonts w:cs="Times New Roman"/>
          <w:sz w:val="24"/>
          <w:szCs w:val="24"/>
        </w:rPr>
        <w:t xml:space="preserve">because of another person’s stock ownership. </w:t>
      </w:r>
      <w:r w:rsidRPr="00BA0E6B">
        <w:rPr>
          <w:rFonts w:cs="Times New Roman"/>
          <w:sz w:val="24"/>
          <w:szCs w:val="24"/>
          <w:u w:val="single"/>
        </w:rPr>
        <w:t>They satisfied that burden if they showed “Good faith and reasonable investigation.”</w:t>
      </w:r>
      <w:r>
        <w:rPr>
          <w:rFonts w:cs="Times New Roman"/>
          <w:sz w:val="24"/>
          <w:szCs w:val="24"/>
        </w:rPr>
        <w:t xml:space="preserve"> </w:t>
      </w:r>
      <w:r w:rsidRPr="00BA0E6B">
        <w:rPr>
          <w:rFonts w:cs="Times New Roman"/>
          <w:i/>
          <w:sz w:val="24"/>
          <w:szCs w:val="24"/>
        </w:rPr>
        <w:t xml:space="preserve">Chef v. </w:t>
      </w:r>
      <w:proofErr w:type="spellStart"/>
      <w:r w:rsidRPr="00BA0E6B">
        <w:rPr>
          <w:rFonts w:cs="Times New Roman"/>
          <w:i/>
          <w:sz w:val="24"/>
          <w:szCs w:val="24"/>
        </w:rPr>
        <w:t>Mathes</w:t>
      </w:r>
      <w:proofErr w:type="spellEnd"/>
      <w:r>
        <w:rPr>
          <w:rFonts w:cs="Times New Roman"/>
          <w:sz w:val="24"/>
          <w:szCs w:val="24"/>
        </w:rPr>
        <w:t>.</w:t>
      </w:r>
      <w:r w:rsidR="007110E1">
        <w:rPr>
          <w:rFonts w:cs="Times New Roman"/>
          <w:sz w:val="24"/>
          <w:szCs w:val="24"/>
        </w:rPr>
        <w:t xml:space="preserve"> A board would find it easier to meet this standard if a majority of its members were not full-time officers. </w:t>
      </w:r>
    </w:p>
    <w:p w14:paraId="75DE79E3" w14:textId="19889B40" w:rsidR="00E37E52" w:rsidRDefault="006E5179" w:rsidP="00BA0E6B">
      <w:pPr>
        <w:pStyle w:val="ListParagraph"/>
        <w:numPr>
          <w:ilvl w:val="4"/>
          <w:numId w:val="13"/>
        </w:numPr>
        <w:rPr>
          <w:rFonts w:cs="Times New Roman"/>
          <w:sz w:val="24"/>
          <w:szCs w:val="24"/>
        </w:rPr>
      </w:pPr>
      <w:r>
        <w:rPr>
          <w:rFonts w:cs="Times New Roman"/>
          <w:sz w:val="24"/>
          <w:szCs w:val="24"/>
        </w:rPr>
        <w:t>Board’s defensive measures “must be reasonable in</w:t>
      </w:r>
      <w:r w:rsidR="00BA0E6B">
        <w:rPr>
          <w:rFonts w:cs="Times New Roman"/>
          <w:sz w:val="24"/>
          <w:szCs w:val="24"/>
        </w:rPr>
        <w:t xml:space="preserve"> relation to the threat posed. </w:t>
      </w:r>
      <w:r w:rsidR="00BA0E6B" w:rsidRPr="00BA0E6B">
        <w:rPr>
          <w:rFonts w:cs="Times New Roman"/>
          <w:sz w:val="24"/>
          <w:szCs w:val="24"/>
        </w:rPr>
        <w:t>This entails an analysis by the directors of the nature of the takeover bid and its effect on the corporate enterprise</w:t>
      </w:r>
      <w:r w:rsidR="00464335">
        <w:rPr>
          <w:rFonts w:cs="Times New Roman"/>
          <w:sz w:val="24"/>
          <w:szCs w:val="24"/>
        </w:rPr>
        <w:t>…</w:t>
      </w:r>
      <w:r w:rsidR="00BA0E6B" w:rsidRPr="00BA0E6B">
        <w:rPr>
          <w:rFonts w:cs="Times New Roman"/>
          <w:sz w:val="24"/>
          <w:szCs w:val="24"/>
        </w:rPr>
        <w:t xml:space="preserve"> such concerns may include: inadequacy of the price offered, nature and timing of the offer, questions of illegality, the </w:t>
      </w:r>
      <w:r w:rsidR="00BA0E6B" w:rsidRPr="00BA0E6B">
        <w:rPr>
          <w:rFonts w:cs="Times New Roman"/>
          <w:sz w:val="24"/>
          <w:szCs w:val="24"/>
          <w:u w:val="single"/>
        </w:rPr>
        <w:t>impact on “constituencies” other than shareholders (i.e., creditors, customers, employees, and perhaps even the community generally</w:t>
      </w:r>
      <w:r w:rsidR="00BA0E6B" w:rsidRPr="00BA0E6B">
        <w:rPr>
          <w:rFonts w:cs="Times New Roman"/>
          <w:sz w:val="24"/>
          <w:szCs w:val="24"/>
        </w:rPr>
        <w:t>), the risk of nonconsummation, and the quality of securities being offered in the exchange.</w:t>
      </w:r>
      <w:r w:rsidR="00BA0E6B">
        <w:rPr>
          <w:rFonts w:cs="Times New Roman"/>
          <w:sz w:val="24"/>
          <w:szCs w:val="24"/>
        </w:rPr>
        <w:t>”</w:t>
      </w:r>
    </w:p>
    <w:p w14:paraId="1CAD27D8" w14:textId="28B89BC0" w:rsidR="006E5179" w:rsidRPr="00E37E52" w:rsidRDefault="006E5179" w:rsidP="006E5179">
      <w:pPr>
        <w:pStyle w:val="ListParagraph"/>
        <w:numPr>
          <w:ilvl w:val="3"/>
          <w:numId w:val="13"/>
        </w:numPr>
        <w:rPr>
          <w:rFonts w:cs="Times New Roman"/>
          <w:sz w:val="24"/>
          <w:szCs w:val="24"/>
        </w:rPr>
      </w:pPr>
      <w:r>
        <w:rPr>
          <w:rFonts w:cs="Times New Roman"/>
          <w:sz w:val="24"/>
          <w:szCs w:val="24"/>
        </w:rPr>
        <w:t xml:space="preserve">Holding: </w:t>
      </w:r>
      <w:r w:rsidRPr="006E5179">
        <w:rPr>
          <w:rFonts w:cs="Times New Roman"/>
          <w:sz w:val="24"/>
          <w:szCs w:val="24"/>
        </w:rPr>
        <w:t xml:space="preserve">The court held that </w:t>
      </w:r>
      <w:r w:rsidR="00E2794F">
        <w:rPr>
          <w:rFonts w:cs="Times New Roman"/>
          <w:sz w:val="24"/>
          <w:szCs w:val="24"/>
        </w:rPr>
        <w:t xml:space="preserve">the two-tiered bid was coercive but that </w:t>
      </w:r>
      <w:r w:rsidRPr="0009595C">
        <w:rPr>
          <w:rFonts w:cs="Times New Roman"/>
          <w:sz w:val="24"/>
          <w:szCs w:val="24"/>
          <w:u w:val="single"/>
        </w:rPr>
        <w:t xml:space="preserve">D could exclude P from its repurchase of its own shares. </w:t>
      </w:r>
      <w:r w:rsidRPr="006E5179">
        <w:rPr>
          <w:rFonts w:cs="Times New Roman"/>
          <w:sz w:val="24"/>
          <w:szCs w:val="24"/>
        </w:rPr>
        <w:t>The directors for D corporation have a duty to protect the shareholders and the corporations, and one of the harms that can befall a company is a takeover by a shareholder who is offering an inadequate offer</w:t>
      </w:r>
      <w:r w:rsidR="00BA0E6B">
        <w:rPr>
          <w:rFonts w:cs="Times New Roman"/>
          <w:sz w:val="24"/>
          <w:szCs w:val="24"/>
        </w:rPr>
        <w:t xml:space="preserve">. </w:t>
      </w:r>
      <w:r w:rsidRPr="006E5179">
        <w:rPr>
          <w:rFonts w:cs="Times New Roman"/>
          <w:sz w:val="24"/>
          <w:szCs w:val="24"/>
        </w:rPr>
        <w:t>There was evidence to support that the company was in reasonable danger: the outside directors approved of their self-tender, the offer by P included the junk bonds, the value of each share was more than the proposed $54 per share, and P was well-known as a corporate raider.</w:t>
      </w:r>
      <w:r w:rsidR="00CD1273">
        <w:rPr>
          <w:rFonts w:cs="Times New Roman"/>
          <w:sz w:val="24"/>
          <w:szCs w:val="24"/>
        </w:rPr>
        <w:t xml:space="preserve"> D showed good faith and reasonable investigation.</w:t>
      </w:r>
    </w:p>
    <w:p w14:paraId="0E036BB5" w14:textId="7651AFE0" w:rsidR="007E0A4E" w:rsidRPr="0009595C" w:rsidRDefault="007E0A4E" w:rsidP="007E0A4E">
      <w:pPr>
        <w:pStyle w:val="ListParagraph"/>
        <w:numPr>
          <w:ilvl w:val="2"/>
          <w:numId w:val="13"/>
        </w:numPr>
        <w:rPr>
          <w:rFonts w:cs="Times New Roman"/>
          <w:b/>
          <w:sz w:val="24"/>
          <w:szCs w:val="24"/>
        </w:rPr>
      </w:pPr>
      <w:r w:rsidRPr="0009595C">
        <w:rPr>
          <w:rFonts w:cs="Times New Roman"/>
          <w:b/>
          <w:sz w:val="24"/>
          <w:szCs w:val="24"/>
        </w:rPr>
        <w:lastRenderedPageBreak/>
        <w:t>SEC Reaction – after the Unocal decision, the SEC demonstrated its disapproval of discriminatory self-tenders by amending its rules to prohibit issuer tender offers other than those made to all shareholders. Rule 13e – 4(f</w:t>
      </w:r>
      <w:proofErr w:type="gramStart"/>
      <w:r w:rsidRPr="0009595C">
        <w:rPr>
          <w:rFonts w:cs="Times New Roman"/>
          <w:b/>
          <w:sz w:val="24"/>
          <w:szCs w:val="24"/>
        </w:rPr>
        <w:t>)(</w:t>
      </w:r>
      <w:proofErr w:type="gramEnd"/>
      <w:r w:rsidRPr="0009595C">
        <w:rPr>
          <w:rFonts w:cs="Times New Roman"/>
          <w:b/>
          <w:sz w:val="24"/>
          <w:szCs w:val="24"/>
        </w:rPr>
        <w:t>8). The SEC rule does not, however, prohibit “poison pills,” which can have much the same effect.</w:t>
      </w:r>
    </w:p>
    <w:p w14:paraId="4443B636" w14:textId="2EE53064" w:rsidR="00AA77D3" w:rsidRDefault="00AA77D3" w:rsidP="00E5052D">
      <w:pPr>
        <w:pStyle w:val="Heading3"/>
        <w:numPr>
          <w:ilvl w:val="1"/>
          <w:numId w:val="13"/>
        </w:numPr>
      </w:pPr>
      <w:r>
        <w:t>Poison Pills</w:t>
      </w:r>
    </w:p>
    <w:p w14:paraId="6B9AE91C" w14:textId="7E8189A6" w:rsidR="00AA77D3" w:rsidRDefault="00AA77D3" w:rsidP="00AA77D3">
      <w:pPr>
        <w:pStyle w:val="ListParagraph"/>
        <w:numPr>
          <w:ilvl w:val="2"/>
          <w:numId w:val="13"/>
        </w:numPr>
        <w:rPr>
          <w:rFonts w:cs="Times New Roman"/>
          <w:sz w:val="24"/>
          <w:szCs w:val="24"/>
        </w:rPr>
      </w:pPr>
      <w:r>
        <w:rPr>
          <w:rFonts w:cs="Times New Roman"/>
          <w:sz w:val="24"/>
          <w:szCs w:val="24"/>
        </w:rPr>
        <w:t>Introduction</w:t>
      </w:r>
    </w:p>
    <w:p w14:paraId="4A8AAC07" w14:textId="0D76BCF7" w:rsidR="00C36346" w:rsidRDefault="00C36346" w:rsidP="00C36346">
      <w:pPr>
        <w:pStyle w:val="ListParagraph"/>
        <w:numPr>
          <w:ilvl w:val="3"/>
          <w:numId w:val="13"/>
        </w:numPr>
        <w:rPr>
          <w:rFonts w:cs="Times New Roman"/>
          <w:sz w:val="24"/>
          <w:szCs w:val="24"/>
        </w:rPr>
      </w:pPr>
      <w:r>
        <w:rPr>
          <w:rFonts w:cs="Times New Roman"/>
          <w:sz w:val="24"/>
          <w:szCs w:val="24"/>
        </w:rPr>
        <w:t xml:space="preserve">Pills take a variety of forms, but most are based on a form of security known as a “right.” (Hence, the pill’s official name, the Shareholder Rights Plan.) A traditional right, typically known as a warrant, grants the holder the option to purchase new shares of stock </w:t>
      </w:r>
      <w:r w:rsidR="00464335">
        <w:rPr>
          <w:rFonts w:cs="Times New Roman"/>
          <w:sz w:val="24"/>
          <w:szCs w:val="24"/>
        </w:rPr>
        <w:t>of the issuing corporation. War</w:t>
      </w:r>
      <w:r>
        <w:rPr>
          <w:rFonts w:cs="Times New Roman"/>
          <w:sz w:val="24"/>
          <w:szCs w:val="24"/>
        </w:rPr>
        <w:t xml:space="preserve">rants are traded as separate securities, having value because they typically confer on the holder the right to buy issuer common stock at a discount from the prevailing market price. The poison pill variant of the right adds three additional elements not found in traditional rights: a flip-in element, a flip-over element, and a redemption provision. </w:t>
      </w:r>
    </w:p>
    <w:p w14:paraId="74C95722" w14:textId="6C38F34F" w:rsidR="00C36346" w:rsidRDefault="00C36346" w:rsidP="00C36346">
      <w:pPr>
        <w:pStyle w:val="ListParagraph"/>
        <w:numPr>
          <w:ilvl w:val="3"/>
          <w:numId w:val="13"/>
        </w:numPr>
        <w:rPr>
          <w:rFonts w:cs="Times New Roman"/>
          <w:sz w:val="24"/>
          <w:szCs w:val="24"/>
        </w:rPr>
      </w:pPr>
      <w:r>
        <w:rPr>
          <w:rFonts w:cs="Times New Roman"/>
          <w:sz w:val="24"/>
          <w:szCs w:val="24"/>
        </w:rPr>
        <w:t xml:space="preserve">The pill is typically adopted by the board of directors without any shareholder action. When adopted, the rights attach to the corporation’s outstanding common stock, cannot be traded separately from the common stock, and are priced so that exercise of the option would be economically irrational. </w:t>
      </w:r>
    </w:p>
    <w:p w14:paraId="74F8148A" w14:textId="0F6D68AE" w:rsidR="00C36346" w:rsidRDefault="00C36346" w:rsidP="00C36346">
      <w:pPr>
        <w:pStyle w:val="ListParagraph"/>
        <w:numPr>
          <w:ilvl w:val="3"/>
          <w:numId w:val="13"/>
        </w:numPr>
        <w:rPr>
          <w:rFonts w:cs="Times New Roman"/>
          <w:sz w:val="24"/>
          <w:szCs w:val="24"/>
        </w:rPr>
      </w:pPr>
      <w:r>
        <w:rPr>
          <w:rFonts w:cs="Times New Roman"/>
          <w:sz w:val="24"/>
          <w:szCs w:val="24"/>
        </w:rPr>
        <w:t>The rights become exercisable, and can be traded separately from the common stock, upon a so-called distribution e</w:t>
      </w:r>
      <w:r w:rsidR="00DA11AC">
        <w:rPr>
          <w:rFonts w:cs="Times New Roman"/>
          <w:sz w:val="24"/>
          <w:szCs w:val="24"/>
        </w:rPr>
        <w:t>vent, which is typically defined</w:t>
      </w:r>
      <w:r>
        <w:rPr>
          <w:rFonts w:cs="Times New Roman"/>
          <w:sz w:val="24"/>
          <w:szCs w:val="24"/>
        </w:rPr>
        <w:t xml:space="preserve"> as the acquisition of, or announcement of an intent to acquire, some specified percentage of the issuer’s stock by a prospective acquirer. (Twenty percent is a commonly used trigger level.) Although the rights are now exercisable, and will remain so for the remainder of their specified life (typically ten years), they remain “out of the money.”</w:t>
      </w:r>
    </w:p>
    <w:p w14:paraId="37383D73" w14:textId="7355A59D" w:rsidR="00C36346" w:rsidRDefault="00C36346" w:rsidP="00C36346">
      <w:pPr>
        <w:pStyle w:val="ListParagraph"/>
        <w:numPr>
          <w:ilvl w:val="3"/>
          <w:numId w:val="13"/>
        </w:numPr>
        <w:rPr>
          <w:rFonts w:cs="Times New Roman"/>
          <w:sz w:val="24"/>
          <w:szCs w:val="24"/>
        </w:rPr>
      </w:pPr>
      <w:r>
        <w:rPr>
          <w:rFonts w:cs="Times New Roman"/>
          <w:sz w:val="24"/>
          <w:szCs w:val="24"/>
        </w:rPr>
        <w:t xml:space="preserve">The pill’s flip-in element is triggered, typically, by the actual acquisition of some specified percentage of the issuer’s common stock. (Again, 20 percent is a commonly used trigger). If triggered, the flip-in pill entitled the holder of each right – except, and this </w:t>
      </w:r>
      <w:r w:rsidR="00DA11AC">
        <w:rPr>
          <w:rFonts w:cs="Times New Roman"/>
          <w:sz w:val="24"/>
          <w:szCs w:val="24"/>
        </w:rPr>
        <w:t xml:space="preserve">is </w:t>
      </w:r>
      <w:r>
        <w:rPr>
          <w:rFonts w:cs="Times New Roman"/>
          <w:sz w:val="24"/>
          <w:szCs w:val="24"/>
        </w:rPr>
        <w:t>key, the acquirer and its affiliates or associates – to buy two shares of the target issuer’s common stock or other securities at half price. In other words, the value of the stock received when the right is exercised is equal to two times the exercise price of the right. The deterrent effect of such a flip-in pill arises out of the massive dilution the pill causes to the value of the target stock owned by unwanted acquirer.</w:t>
      </w:r>
    </w:p>
    <w:p w14:paraId="4B1D9271" w14:textId="43D4179B" w:rsidR="00C36346" w:rsidRDefault="00C36346" w:rsidP="00C36346">
      <w:pPr>
        <w:pStyle w:val="ListParagraph"/>
        <w:numPr>
          <w:ilvl w:val="3"/>
          <w:numId w:val="13"/>
        </w:numPr>
        <w:rPr>
          <w:rFonts w:cs="Times New Roman"/>
          <w:sz w:val="24"/>
          <w:szCs w:val="24"/>
        </w:rPr>
      </w:pPr>
      <w:r>
        <w:rPr>
          <w:rFonts w:cs="Times New Roman"/>
          <w:sz w:val="24"/>
          <w:szCs w:val="24"/>
        </w:rPr>
        <w:t>The pill’s flip-over feature typically is triggered if, following the acquisition of a specified percentage of target’s common stock, the t</w:t>
      </w:r>
      <w:r w:rsidR="00DA11AC">
        <w:rPr>
          <w:rFonts w:cs="Times New Roman"/>
          <w:sz w:val="24"/>
          <w:szCs w:val="24"/>
        </w:rPr>
        <w:t>arget is subsequently merged in</w:t>
      </w:r>
      <w:r>
        <w:rPr>
          <w:rFonts w:cs="Times New Roman"/>
          <w:sz w:val="24"/>
          <w:szCs w:val="24"/>
        </w:rPr>
        <w:t xml:space="preserve">to the acquirer or one of its affiliates. In such an event, the holder of each right becomes entitled to purchase common stock of the acquiring company, again at half-price, thereby impairing the acquirer’s capital structure and drastically diluting the interest of the acquirer’s other stockholders. </w:t>
      </w:r>
    </w:p>
    <w:p w14:paraId="763426B9" w14:textId="554E9EF1" w:rsidR="006C7ED7" w:rsidRDefault="00C36346" w:rsidP="006C7ED7">
      <w:pPr>
        <w:pStyle w:val="ListParagraph"/>
        <w:numPr>
          <w:ilvl w:val="3"/>
          <w:numId w:val="13"/>
        </w:numPr>
        <w:rPr>
          <w:rFonts w:cs="Times New Roman"/>
          <w:sz w:val="24"/>
          <w:szCs w:val="24"/>
        </w:rPr>
      </w:pPr>
      <w:r>
        <w:rPr>
          <w:rFonts w:cs="Times New Roman"/>
          <w:sz w:val="24"/>
          <w:szCs w:val="24"/>
        </w:rPr>
        <w:t>Because the rights trade separately from the issuer’s common stock, an acquirer remains subject to the pill’s po</w:t>
      </w:r>
      <w:r w:rsidR="00DA11AC">
        <w:rPr>
          <w:rFonts w:cs="Times New Roman"/>
          <w:sz w:val="24"/>
          <w:szCs w:val="24"/>
        </w:rPr>
        <w:t>iso</w:t>
      </w:r>
      <w:r>
        <w:rPr>
          <w:rFonts w:cs="Times New Roman"/>
          <w:sz w:val="24"/>
          <w:szCs w:val="24"/>
        </w:rPr>
        <w:t>nous effects even if an overwhelmin</w:t>
      </w:r>
      <w:r w:rsidR="00DA11AC">
        <w:rPr>
          <w:rFonts w:cs="Times New Roman"/>
          <w:sz w:val="24"/>
          <w:szCs w:val="24"/>
        </w:rPr>
        <w:t>g majority of the target’s shar</w:t>
      </w:r>
      <w:r>
        <w:rPr>
          <w:rFonts w:cs="Times New Roman"/>
          <w:sz w:val="24"/>
          <w:szCs w:val="24"/>
        </w:rPr>
        <w:t>e</w:t>
      </w:r>
      <w:r w:rsidR="00DA11AC">
        <w:rPr>
          <w:rFonts w:cs="Times New Roman"/>
          <w:sz w:val="24"/>
          <w:szCs w:val="24"/>
        </w:rPr>
        <w:t>h</w:t>
      </w:r>
      <w:r>
        <w:rPr>
          <w:rFonts w:cs="Times New Roman"/>
          <w:sz w:val="24"/>
          <w:szCs w:val="24"/>
        </w:rPr>
        <w:t>olders accept the bidder’s tender offer. In the face of a pill, a prospective acquirer thus has a strong incentive to negotiate with the target’s board. Most pills include a redemption provision pursuant to which th</w:t>
      </w:r>
      <w:r w:rsidR="00DA11AC">
        <w:rPr>
          <w:rFonts w:cs="Times New Roman"/>
          <w:sz w:val="24"/>
          <w:szCs w:val="24"/>
        </w:rPr>
        <w:t>e board may redeem the rights a</w:t>
      </w:r>
      <w:r>
        <w:rPr>
          <w:rFonts w:cs="Times New Roman"/>
          <w:sz w:val="24"/>
          <w:szCs w:val="24"/>
        </w:rPr>
        <w:t>t a nominal price at any time prior to the right being exercised. (Some pills become non-redeemable after the triggering event.) Proponents of pills contend that these plans thus do not deter takeover bids, but rather simply give the target board</w:t>
      </w:r>
      <w:r w:rsidR="00DA11AC">
        <w:rPr>
          <w:rFonts w:cs="Times New Roman"/>
          <w:sz w:val="24"/>
          <w:szCs w:val="24"/>
        </w:rPr>
        <w:t xml:space="preserve"> </w:t>
      </w:r>
      <w:r>
        <w:rPr>
          <w:rFonts w:cs="Times New Roman"/>
          <w:sz w:val="24"/>
          <w:szCs w:val="24"/>
        </w:rPr>
        <w:t>leverage to negotiate the best possible deal for their shareholders.</w:t>
      </w:r>
    </w:p>
    <w:p w14:paraId="44346555" w14:textId="77777777" w:rsidR="00464335" w:rsidRPr="00464335" w:rsidRDefault="00464335" w:rsidP="00464335">
      <w:pPr>
        <w:pStyle w:val="ListParagraph"/>
        <w:ind w:left="1440"/>
        <w:rPr>
          <w:rFonts w:cs="Times New Roman"/>
          <w:sz w:val="24"/>
          <w:szCs w:val="24"/>
        </w:rPr>
      </w:pPr>
    </w:p>
    <w:p w14:paraId="1A68166D" w14:textId="0CFDDC4F" w:rsidR="006C7ED7" w:rsidRDefault="006C7ED7" w:rsidP="006C7ED7">
      <w:pPr>
        <w:rPr>
          <w:rFonts w:cs="Times New Roman"/>
          <w:szCs w:val="24"/>
        </w:rPr>
      </w:pPr>
      <w:r>
        <w:rPr>
          <w:rFonts w:cs="Times New Roman"/>
          <w:szCs w:val="24"/>
        </w:rPr>
        <w:t xml:space="preserve">Two-Tier Tender Offer </w:t>
      </w:r>
      <w:r w:rsidRPr="00992EF2">
        <w:rPr>
          <w:rFonts w:cs="Times New Roman"/>
          <w:szCs w:val="24"/>
        </w:rPr>
        <w:sym w:font="Wingdings" w:char="F0E0"/>
      </w:r>
      <w:r>
        <w:rPr>
          <w:rFonts w:cs="Times New Roman"/>
          <w:szCs w:val="24"/>
        </w:rPr>
        <w:t xml:space="preserve"> everyone tenders</w:t>
      </w:r>
    </w:p>
    <w:tbl>
      <w:tblPr>
        <w:tblStyle w:val="TableGrid"/>
        <w:tblW w:w="0" w:type="auto"/>
        <w:jc w:val="center"/>
        <w:tblLook w:val="04A0" w:firstRow="1" w:lastRow="0" w:firstColumn="1" w:lastColumn="0" w:noHBand="0" w:noVBand="1"/>
      </w:tblPr>
      <w:tblGrid>
        <w:gridCol w:w="1541"/>
        <w:gridCol w:w="2527"/>
        <w:gridCol w:w="2047"/>
      </w:tblGrid>
      <w:tr w:rsidR="006C7ED7" w14:paraId="173A7633" w14:textId="77777777" w:rsidTr="006C7ED7">
        <w:trPr>
          <w:trHeight w:val="270"/>
          <w:jc w:val="center"/>
        </w:trPr>
        <w:tc>
          <w:tcPr>
            <w:tcW w:w="1541" w:type="dxa"/>
          </w:tcPr>
          <w:p w14:paraId="2631129D" w14:textId="77777777" w:rsidR="006C7ED7" w:rsidRDefault="006C7ED7" w:rsidP="00FC29DA">
            <w:pPr>
              <w:rPr>
                <w:rFonts w:cs="Times New Roman"/>
                <w:szCs w:val="24"/>
              </w:rPr>
            </w:pPr>
          </w:p>
        </w:tc>
        <w:tc>
          <w:tcPr>
            <w:tcW w:w="2527" w:type="dxa"/>
          </w:tcPr>
          <w:p w14:paraId="43A3E1A8" w14:textId="77777777" w:rsidR="006C7ED7" w:rsidRDefault="006C7ED7" w:rsidP="00FC29DA">
            <w:pPr>
              <w:rPr>
                <w:rFonts w:cs="Times New Roman"/>
                <w:szCs w:val="24"/>
              </w:rPr>
            </w:pPr>
            <w:r>
              <w:rPr>
                <w:rFonts w:cs="Times New Roman"/>
                <w:szCs w:val="24"/>
              </w:rPr>
              <w:t>Tender offer succeeds</w:t>
            </w:r>
          </w:p>
        </w:tc>
        <w:tc>
          <w:tcPr>
            <w:tcW w:w="2047" w:type="dxa"/>
          </w:tcPr>
          <w:p w14:paraId="0114D4F5" w14:textId="77777777" w:rsidR="006C7ED7" w:rsidRDefault="006C7ED7" w:rsidP="00FC29DA">
            <w:pPr>
              <w:rPr>
                <w:rFonts w:cs="Times New Roman"/>
                <w:szCs w:val="24"/>
              </w:rPr>
            </w:pPr>
            <w:r>
              <w:rPr>
                <w:rFonts w:cs="Times New Roman"/>
                <w:szCs w:val="24"/>
              </w:rPr>
              <w:t>Tender offer fails</w:t>
            </w:r>
          </w:p>
        </w:tc>
      </w:tr>
      <w:tr w:rsidR="006C7ED7" w14:paraId="7849B367" w14:textId="77777777" w:rsidTr="006C7ED7">
        <w:trPr>
          <w:trHeight w:val="270"/>
          <w:jc w:val="center"/>
        </w:trPr>
        <w:tc>
          <w:tcPr>
            <w:tcW w:w="1541" w:type="dxa"/>
          </w:tcPr>
          <w:p w14:paraId="38D54909" w14:textId="77777777" w:rsidR="006C7ED7" w:rsidRDefault="006C7ED7" w:rsidP="00FC29DA">
            <w:pPr>
              <w:rPr>
                <w:rFonts w:cs="Times New Roman"/>
                <w:szCs w:val="24"/>
              </w:rPr>
            </w:pPr>
            <w:r>
              <w:rPr>
                <w:rFonts w:cs="Times New Roman"/>
                <w:szCs w:val="24"/>
              </w:rPr>
              <w:t>Tender</w:t>
            </w:r>
          </w:p>
        </w:tc>
        <w:tc>
          <w:tcPr>
            <w:tcW w:w="2527" w:type="dxa"/>
          </w:tcPr>
          <w:p w14:paraId="695FC0B0" w14:textId="77777777" w:rsidR="006C7ED7" w:rsidRDefault="006C7ED7" w:rsidP="00FC29DA">
            <w:pPr>
              <w:rPr>
                <w:rFonts w:cs="Times New Roman"/>
                <w:szCs w:val="24"/>
              </w:rPr>
            </w:pPr>
            <w:r>
              <w:rPr>
                <w:rFonts w:cs="Times New Roman"/>
                <w:szCs w:val="24"/>
              </w:rPr>
              <w:t>$47</w:t>
            </w:r>
          </w:p>
        </w:tc>
        <w:tc>
          <w:tcPr>
            <w:tcW w:w="2047" w:type="dxa"/>
          </w:tcPr>
          <w:p w14:paraId="196FFD00" w14:textId="77777777" w:rsidR="006C7ED7" w:rsidRDefault="006C7ED7" w:rsidP="00FC29DA">
            <w:pPr>
              <w:rPr>
                <w:rFonts w:cs="Times New Roman"/>
                <w:szCs w:val="24"/>
              </w:rPr>
            </w:pPr>
            <w:r>
              <w:rPr>
                <w:rFonts w:cs="Times New Roman"/>
                <w:szCs w:val="24"/>
              </w:rPr>
              <w:t>$33</w:t>
            </w:r>
          </w:p>
        </w:tc>
      </w:tr>
      <w:tr w:rsidR="006C7ED7" w14:paraId="1AE39337" w14:textId="77777777" w:rsidTr="006C7ED7">
        <w:trPr>
          <w:trHeight w:val="270"/>
          <w:jc w:val="center"/>
        </w:trPr>
        <w:tc>
          <w:tcPr>
            <w:tcW w:w="1541" w:type="dxa"/>
          </w:tcPr>
          <w:p w14:paraId="3E745E6B" w14:textId="77777777" w:rsidR="006C7ED7" w:rsidRDefault="006C7ED7" w:rsidP="00FC29DA">
            <w:pPr>
              <w:rPr>
                <w:rFonts w:cs="Times New Roman"/>
                <w:szCs w:val="24"/>
              </w:rPr>
            </w:pPr>
            <w:r>
              <w:rPr>
                <w:rFonts w:cs="Times New Roman"/>
                <w:szCs w:val="24"/>
              </w:rPr>
              <w:t>Don’t Tender</w:t>
            </w:r>
          </w:p>
        </w:tc>
        <w:tc>
          <w:tcPr>
            <w:tcW w:w="2527" w:type="dxa"/>
          </w:tcPr>
          <w:p w14:paraId="11570D36" w14:textId="77777777" w:rsidR="006C7ED7" w:rsidRDefault="006C7ED7" w:rsidP="00FC29DA">
            <w:pPr>
              <w:rPr>
                <w:rFonts w:cs="Times New Roman"/>
                <w:szCs w:val="24"/>
              </w:rPr>
            </w:pPr>
            <w:r>
              <w:rPr>
                <w:rFonts w:cs="Times New Roman"/>
                <w:szCs w:val="24"/>
              </w:rPr>
              <w:t>Less than $47, say $40</w:t>
            </w:r>
          </w:p>
        </w:tc>
        <w:tc>
          <w:tcPr>
            <w:tcW w:w="2047" w:type="dxa"/>
          </w:tcPr>
          <w:p w14:paraId="53A27807" w14:textId="77777777" w:rsidR="006C7ED7" w:rsidRDefault="006C7ED7" w:rsidP="00FC29DA">
            <w:pPr>
              <w:rPr>
                <w:rFonts w:cs="Times New Roman"/>
                <w:szCs w:val="24"/>
              </w:rPr>
            </w:pPr>
            <w:r>
              <w:rPr>
                <w:rFonts w:cs="Times New Roman"/>
                <w:szCs w:val="24"/>
              </w:rPr>
              <w:t>$33</w:t>
            </w:r>
          </w:p>
        </w:tc>
      </w:tr>
    </w:tbl>
    <w:p w14:paraId="27936353" w14:textId="77777777" w:rsidR="006C7ED7" w:rsidRDefault="006C7ED7" w:rsidP="006C7ED7">
      <w:pPr>
        <w:rPr>
          <w:rFonts w:cs="Times New Roman"/>
          <w:szCs w:val="24"/>
        </w:rPr>
      </w:pPr>
    </w:p>
    <w:p w14:paraId="5C561F6C" w14:textId="77777777" w:rsidR="006C7ED7" w:rsidRDefault="006C7ED7" w:rsidP="006C7ED7">
      <w:pPr>
        <w:rPr>
          <w:rFonts w:cs="Times New Roman"/>
          <w:szCs w:val="24"/>
        </w:rPr>
      </w:pPr>
      <w:r>
        <w:rPr>
          <w:rFonts w:cs="Times New Roman"/>
          <w:szCs w:val="24"/>
        </w:rPr>
        <w:lastRenderedPageBreak/>
        <w:t xml:space="preserve">With Poison Pill </w:t>
      </w:r>
      <w:r w:rsidRPr="00992EF2">
        <w:rPr>
          <w:rFonts w:cs="Times New Roman"/>
          <w:szCs w:val="24"/>
        </w:rPr>
        <w:sym w:font="Wingdings" w:char="F0E0"/>
      </w:r>
      <w:r>
        <w:rPr>
          <w:rFonts w:cs="Times New Roman"/>
          <w:szCs w:val="24"/>
        </w:rPr>
        <w:t xml:space="preserve"> nobody tenders</w:t>
      </w:r>
    </w:p>
    <w:tbl>
      <w:tblPr>
        <w:tblStyle w:val="TableGrid"/>
        <w:tblW w:w="0" w:type="auto"/>
        <w:jc w:val="center"/>
        <w:tblLook w:val="04A0" w:firstRow="1" w:lastRow="0" w:firstColumn="1" w:lastColumn="0" w:noHBand="0" w:noVBand="1"/>
      </w:tblPr>
      <w:tblGrid>
        <w:gridCol w:w="1671"/>
        <w:gridCol w:w="2837"/>
        <w:gridCol w:w="2062"/>
      </w:tblGrid>
      <w:tr w:rsidR="006C7ED7" w14:paraId="0C2F8AB4" w14:textId="77777777" w:rsidTr="006C7ED7">
        <w:trPr>
          <w:trHeight w:val="287"/>
          <w:jc w:val="center"/>
        </w:trPr>
        <w:tc>
          <w:tcPr>
            <w:tcW w:w="1671" w:type="dxa"/>
          </w:tcPr>
          <w:p w14:paraId="6F005BE1" w14:textId="77777777" w:rsidR="006C7ED7" w:rsidRDefault="006C7ED7" w:rsidP="00FC29DA">
            <w:pPr>
              <w:rPr>
                <w:rFonts w:cs="Times New Roman"/>
                <w:szCs w:val="24"/>
              </w:rPr>
            </w:pPr>
          </w:p>
        </w:tc>
        <w:tc>
          <w:tcPr>
            <w:tcW w:w="2837" w:type="dxa"/>
          </w:tcPr>
          <w:p w14:paraId="7BD1CB48" w14:textId="77777777" w:rsidR="006C7ED7" w:rsidRDefault="006C7ED7" w:rsidP="00FC29DA">
            <w:pPr>
              <w:rPr>
                <w:rFonts w:cs="Times New Roman"/>
                <w:szCs w:val="24"/>
              </w:rPr>
            </w:pPr>
            <w:r>
              <w:rPr>
                <w:rFonts w:cs="Times New Roman"/>
                <w:szCs w:val="24"/>
              </w:rPr>
              <w:t>Tender offer succeeds</w:t>
            </w:r>
          </w:p>
        </w:tc>
        <w:tc>
          <w:tcPr>
            <w:tcW w:w="2062" w:type="dxa"/>
          </w:tcPr>
          <w:p w14:paraId="3A7095CC" w14:textId="77777777" w:rsidR="006C7ED7" w:rsidRDefault="006C7ED7" w:rsidP="00FC29DA">
            <w:pPr>
              <w:rPr>
                <w:rFonts w:cs="Times New Roman"/>
                <w:szCs w:val="24"/>
              </w:rPr>
            </w:pPr>
            <w:r>
              <w:rPr>
                <w:rFonts w:cs="Times New Roman"/>
                <w:szCs w:val="24"/>
              </w:rPr>
              <w:t>Tender offer fails</w:t>
            </w:r>
          </w:p>
        </w:tc>
      </w:tr>
      <w:tr w:rsidR="006C7ED7" w14:paraId="4DE2E92A" w14:textId="77777777" w:rsidTr="006C7ED7">
        <w:trPr>
          <w:trHeight w:val="287"/>
          <w:jc w:val="center"/>
        </w:trPr>
        <w:tc>
          <w:tcPr>
            <w:tcW w:w="1671" w:type="dxa"/>
          </w:tcPr>
          <w:p w14:paraId="16E8DBD5" w14:textId="77777777" w:rsidR="006C7ED7" w:rsidRDefault="006C7ED7" w:rsidP="00FC29DA">
            <w:pPr>
              <w:rPr>
                <w:rFonts w:cs="Times New Roman"/>
                <w:szCs w:val="24"/>
              </w:rPr>
            </w:pPr>
            <w:r>
              <w:rPr>
                <w:rFonts w:cs="Times New Roman"/>
                <w:szCs w:val="24"/>
              </w:rPr>
              <w:t>Tender</w:t>
            </w:r>
          </w:p>
        </w:tc>
        <w:tc>
          <w:tcPr>
            <w:tcW w:w="2837" w:type="dxa"/>
          </w:tcPr>
          <w:p w14:paraId="7E4635F2" w14:textId="77777777" w:rsidR="006C7ED7" w:rsidRDefault="006C7ED7" w:rsidP="00FC29DA">
            <w:pPr>
              <w:rPr>
                <w:rFonts w:cs="Times New Roman"/>
                <w:szCs w:val="24"/>
              </w:rPr>
            </w:pPr>
            <w:r>
              <w:rPr>
                <w:rFonts w:cs="Times New Roman"/>
                <w:szCs w:val="24"/>
              </w:rPr>
              <w:t>$47</w:t>
            </w:r>
          </w:p>
        </w:tc>
        <w:tc>
          <w:tcPr>
            <w:tcW w:w="2062" w:type="dxa"/>
          </w:tcPr>
          <w:p w14:paraId="66906E43" w14:textId="77777777" w:rsidR="006C7ED7" w:rsidRDefault="006C7ED7" w:rsidP="00FC29DA">
            <w:pPr>
              <w:rPr>
                <w:rFonts w:cs="Times New Roman"/>
                <w:szCs w:val="24"/>
              </w:rPr>
            </w:pPr>
            <w:r>
              <w:rPr>
                <w:rFonts w:cs="Times New Roman"/>
                <w:szCs w:val="24"/>
              </w:rPr>
              <w:t>$33</w:t>
            </w:r>
          </w:p>
        </w:tc>
      </w:tr>
      <w:tr w:rsidR="006C7ED7" w14:paraId="56B9320D" w14:textId="77777777" w:rsidTr="006C7ED7">
        <w:trPr>
          <w:trHeight w:val="575"/>
          <w:jc w:val="center"/>
        </w:trPr>
        <w:tc>
          <w:tcPr>
            <w:tcW w:w="1671" w:type="dxa"/>
          </w:tcPr>
          <w:p w14:paraId="1517CE85" w14:textId="77777777" w:rsidR="006C7ED7" w:rsidRDefault="006C7ED7" w:rsidP="00FC29DA">
            <w:pPr>
              <w:rPr>
                <w:rFonts w:cs="Times New Roman"/>
                <w:szCs w:val="24"/>
              </w:rPr>
            </w:pPr>
            <w:r>
              <w:rPr>
                <w:rFonts w:cs="Times New Roman"/>
                <w:szCs w:val="24"/>
              </w:rPr>
              <w:t>Don’t Tender</w:t>
            </w:r>
          </w:p>
        </w:tc>
        <w:tc>
          <w:tcPr>
            <w:tcW w:w="2837" w:type="dxa"/>
          </w:tcPr>
          <w:p w14:paraId="4D5A8B20" w14:textId="77777777" w:rsidR="006C7ED7" w:rsidRDefault="006C7ED7" w:rsidP="00FC29DA">
            <w:pPr>
              <w:rPr>
                <w:rFonts w:cs="Times New Roman"/>
                <w:szCs w:val="24"/>
              </w:rPr>
            </w:pPr>
            <w:r>
              <w:rPr>
                <w:rFonts w:cs="Times New Roman"/>
                <w:szCs w:val="24"/>
              </w:rPr>
              <w:t>$65 (Company promises to buy back at higher price)</w:t>
            </w:r>
          </w:p>
        </w:tc>
        <w:tc>
          <w:tcPr>
            <w:tcW w:w="2062" w:type="dxa"/>
          </w:tcPr>
          <w:p w14:paraId="2598170E" w14:textId="77777777" w:rsidR="006C7ED7" w:rsidRDefault="006C7ED7" w:rsidP="00FC29DA">
            <w:pPr>
              <w:rPr>
                <w:rFonts w:cs="Times New Roman"/>
                <w:szCs w:val="24"/>
              </w:rPr>
            </w:pPr>
            <w:r>
              <w:rPr>
                <w:rFonts w:cs="Times New Roman"/>
                <w:szCs w:val="24"/>
              </w:rPr>
              <w:t>$33</w:t>
            </w:r>
          </w:p>
        </w:tc>
      </w:tr>
    </w:tbl>
    <w:p w14:paraId="53A9211C" w14:textId="77777777" w:rsidR="006C7ED7" w:rsidRDefault="006C7ED7" w:rsidP="006C7ED7">
      <w:pPr>
        <w:pStyle w:val="ListParagraph"/>
        <w:ind w:left="1440"/>
        <w:rPr>
          <w:rFonts w:cs="Times New Roman"/>
          <w:sz w:val="24"/>
          <w:szCs w:val="24"/>
        </w:rPr>
      </w:pPr>
    </w:p>
    <w:p w14:paraId="684BC5E7" w14:textId="0D79ABC3" w:rsidR="00DA11AC" w:rsidRPr="00DA11AC" w:rsidRDefault="0088757C" w:rsidP="00DA11AC">
      <w:pPr>
        <w:pStyle w:val="ListParagraph"/>
        <w:numPr>
          <w:ilvl w:val="2"/>
          <w:numId w:val="13"/>
        </w:numPr>
        <w:rPr>
          <w:rFonts w:cs="Times New Roman"/>
          <w:b/>
          <w:i/>
          <w:sz w:val="24"/>
          <w:szCs w:val="24"/>
        </w:rPr>
      </w:pPr>
      <w:r w:rsidRPr="0088757C">
        <w:rPr>
          <w:rFonts w:cs="Times New Roman"/>
          <w:sz w:val="24"/>
          <w:szCs w:val="24"/>
        </w:rPr>
        <w:t>Duty Changes Once Determined that Corporation will be Sold</w:t>
      </w:r>
      <w:r>
        <w:rPr>
          <w:rFonts w:cs="Times New Roman"/>
          <w:b/>
          <w:i/>
          <w:sz w:val="24"/>
          <w:szCs w:val="24"/>
        </w:rPr>
        <w:t xml:space="preserve"> – </w:t>
      </w:r>
      <w:r w:rsidR="00DA11AC" w:rsidRPr="00DA11AC">
        <w:rPr>
          <w:rFonts w:cs="Times New Roman"/>
          <w:b/>
          <w:i/>
          <w:sz w:val="24"/>
          <w:szCs w:val="24"/>
        </w:rPr>
        <w:t>Revlon, Inc. v. MacAndrews &amp; Forbes Holdings, Inc. (Del. 1985)</w:t>
      </w:r>
    </w:p>
    <w:p w14:paraId="0A6BDCD3" w14:textId="3DF42262" w:rsidR="00194BAC" w:rsidRDefault="00194BAC" w:rsidP="00DA11AC">
      <w:pPr>
        <w:pStyle w:val="ListParagraph"/>
        <w:numPr>
          <w:ilvl w:val="3"/>
          <w:numId w:val="13"/>
        </w:numPr>
        <w:rPr>
          <w:rFonts w:cs="Times New Roman"/>
          <w:sz w:val="24"/>
          <w:szCs w:val="24"/>
        </w:rPr>
      </w:pPr>
      <w:r>
        <w:rPr>
          <w:rFonts w:cs="Times New Roman"/>
          <w:sz w:val="24"/>
          <w:szCs w:val="24"/>
        </w:rPr>
        <w:t>Synopsis:</w:t>
      </w:r>
    </w:p>
    <w:p w14:paraId="4824DE26" w14:textId="14877478" w:rsidR="005E680C" w:rsidRDefault="00194BAC" w:rsidP="00194BAC">
      <w:pPr>
        <w:pStyle w:val="ListParagraph"/>
        <w:numPr>
          <w:ilvl w:val="4"/>
          <w:numId w:val="13"/>
        </w:numPr>
        <w:rPr>
          <w:rFonts w:cs="Times New Roman"/>
          <w:sz w:val="24"/>
          <w:szCs w:val="24"/>
        </w:rPr>
      </w:pPr>
      <w:r w:rsidRPr="00194BAC">
        <w:rPr>
          <w:rFonts w:cs="Times New Roman"/>
          <w:sz w:val="24"/>
          <w:szCs w:val="24"/>
        </w:rPr>
        <w:t>Pantry Pride’s CEO approached</w:t>
      </w:r>
      <w:r w:rsidR="00010898">
        <w:rPr>
          <w:rFonts w:cs="Times New Roman"/>
          <w:sz w:val="24"/>
          <w:szCs w:val="24"/>
        </w:rPr>
        <w:t xml:space="preserve"> Revlon’s CEO and offered a $</w:t>
      </w:r>
      <w:r w:rsidRPr="00194BAC">
        <w:rPr>
          <w:rFonts w:cs="Times New Roman"/>
          <w:sz w:val="24"/>
          <w:szCs w:val="24"/>
        </w:rPr>
        <w:t>42</w:t>
      </w:r>
      <w:r w:rsidR="00010898">
        <w:rPr>
          <w:rFonts w:cs="Times New Roman"/>
          <w:sz w:val="24"/>
          <w:szCs w:val="24"/>
        </w:rPr>
        <w:t>-43</w:t>
      </w:r>
      <w:r w:rsidRPr="00194BAC">
        <w:rPr>
          <w:rFonts w:cs="Times New Roman"/>
          <w:sz w:val="24"/>
          <w:szCs w:val="24"/>
        </w:rPr>
        <w:t xml:space="preserve"> per share price for Revlon, or $45 if it had to be a hostile takeover. </w:t>
      </w:r>
      <w:r w:rsidR="005E680C">
        <w:rPr>
          <w:rFonts w:cs="Times New Roman"/>
          <w:sz w:val="24"/>
          <w:szCs w:val="24"/>
        </w:rPr>
        <w:t xml:space="preserve">Revlon hired investment banker Lazard who opined that Revlon would yield $60-70 per share. </w:t>
      </w:r>
    </w:p>
    <w:p w14:paraId="2B8BCD87" w14:textId="49429E3A" w:rsidR="005E680C" w:rsidRDefault="005E680C" w:rsidP="00194BAC">
      <w:pPr>
        <w:pStyle w:val="ListParagraph"/>
        <w:numPr>
          <w:ilvl w:val="4"/>
          <w:numId w:val="13"/>
        </w:numPr>
        <w:rPr>
          <w:rFonts w:cs="Times New Roman"/>
          <w:sz w:val="24"/>
          <w:szCs w:val="24"/>
        </w:rPr>
      </w:pPr>
      <w:r>
        <w:rPr>
          <w:rFonts w:cs="Times New Roman"/>
          <w:sz w:val="24"/>
          <w:szCs w:val="24"/>
        </w:rPr>
        <w:t xml:space="preserve">Poison Pill: Revlon adopted a poison pill plan called the “Note Purchase Rights Plan,” which gave each shareholder a right to exchange a share for $65 Revlon note (debt) payable in one year. The pill took effect if and when someone acquired 20% or more of Revlon stock at a price below $65. The acquirer had no rights under the pill, and the Revlon board could redeem it for 10 cents apiece. In effect, if any hostile acquirer obtained a 20% foothold and did not cut a deal with incumbent Revlon managers, the firm paid the other shareholders $65 per share (in one year). </w:t>
      </w:r>
    </w:p>
    <w:p w14:paraId="171DE452" w14:textId="77777777" w:rsidR="005E680C" w:rsidRDefault="00194BAC" w:rsidP="005E680C">
      <w:pPr>
        <w:pStyle w:val="ListParagraph"/>
        <w:numPr>
          <w:ilvl w:val="4"/>
          <w:numId w:val="13"/>
        </w:numPr>
        <w:rPr>
          <w:rFonts w:cs="Times New Roman"/>
          <w:sz w:val="24"/>
          <w:szCs w:val="24"/>
        </w:rPr>
      </w:pPr>
      <w:r w:rsidRPr="00194BAC">
        <w:rPr>
          <w:rFonts w:cs="Times New Roman"/>
          <w:sz w:val="24"/>
          <w:szCs w:val="24"/>
        </w:rPr>
        <w:t>Pantry Pride countered with a $47.50 price</w:t>
      </w:r>
      <w:r w:rsidR="00010898">
        <w:rPr>
          <w:rFonts w:cs="Times New Roman"/>
          <w:sz w:val="24"/>
          <w:szCs w:val="24"/>
        </w:rPr>
        <w:t xml:space="preserve"> per common share </w:t>
      </w:r>
      <w:r w:rsidR="005E680C">
        <w:rPr>
          <w:rFonts w:cs="Times New Roman"/>
          <w:sz w:val="24"/>
          <w:szCs w:val="24"/>
        </w:rPr>
        <w:t xml:space="preserve">if Revlon board redeemed the pill. </w:t>
      </w:r>
    </w:p>
    <w:p w14:paraId="62283827" w14:textId="1350959C" w:rsidR="006C7ED7" w:rsidRDefault="006C7ED7" w:rsidP="005E680C">
      <w:pPr>
        <w:pStyle w:val="ListParagraph"/>
        <w:numPr>
          <w:ilvl w:val="4"/>
          <w:numId w:val="13"/>
        </w:numPr>
        <w:rPr>
          <w:rFonts w:cs="Times New Roman"/>
          <w:sz w:val="24"/>
          <w:szCs w:val="24"/>
        </w:rPr>
      </w:pPr>
      <w:r>
        <w:rPr>
          <w:rFonts w:cs="Times New Roman"/>
          <w:sz w:val="24"/>
          <w:szCs w:val="24"/>
        </w:rPr>
        <w:t xml:space="preserve">Buyback: </w:t>
      </w:r>
      <w:r w:rsidR="005E680C" w:rsidRPr="005E680C">
        <w:rPr>
          <w:rFonts w:cs="Times New Roman"/>
          <w:sz w:val="24"/>
          <w:szCs w:val="24"/>
        </w:rPr>
        <w:t>This</w:t>
      </w:r>
      <w:r w:rsidR="00194BAC" w:rsidRPr="005E680C">
        <w:rPr>
          <w:rFonts w:cs="Times New Roman"/>
          <w:sz w:val="24"/>
          <w:szCs w:val="24"/>
        </w:rPr>
        <w:t xml:space="preserve"> pushed Revlon to repurchase ten million shares </w:t>
      </w:r>
      <w:r w:rsidR="005E680C">
        <w:rPr>
          <w:rFonts w:cs="Times New Roman"/>
          <w:sz w:val="24"/>
          <w:szCs w:val="24"/>
        </w:rPr>
        <w:t>at about $57</w:t>
      </w:r>
      <w:r>
        <w:rPr>
          <w:rFonts w:cs="Times New Roman"/>
          <w:sz w:val="24"/>
          <w:szCs w:val="24"/>
        </w:rPr>
        <w:t xml:space="preserve"> ($47.50 in notes and $10 in preferred stock)</w:t>
      </w:r>
      <w:r w:rsidR="005E680C">
        <w:rPr>
          <w:rFonts w:cs="Times New Roman"/>
          <w:sz w:val="24"/>
          <w:szCs w:val="24"/>
        </w:rPr>
        <w:t xml:space="preserve">. </w:t>
      </w:r>
      <w:r w:rsidR="004F3E49" w:rsidRPr="005E680C">
        <w:rPr>
          <w:rFonts w:cs="Times New Roman"/>
          <w:sz w:val="24"/>
          <w:szCs w:val="24"/>
        </w:rPr>
        <w:t>87% shareholders tendered</w:t>
      </w:r>
      <w:r w:rsidR="00194BAC" w:rsidRPr="005E680C">
        <w:rPr>
          <w:rFonts w:cs="Times New Roman"/>
          <w:sz w:val="24"/>
          <w:szCs w:val="24"/>
        </w:rPr>
        <w:t xml:space="preserve">. </w:t>
      </w:r>
    </w:p>
    <w:p w14:paraId="5F0885EF" w14:textId="02D4B67A" w:rsidR="00194BAC" w:rsidRDefault="006C7ED7" w:rsidP="006C7ED7">
      <w:pPr>
        <w:pStyle w:val="ListParagraph"/>
        <w:numPr>
          <w:ilvl w:val="4"/>
          <w:numId w:val="13"/>
        </w:numPr>
        <w:rPr>
          <w:rFonts w:cs="Times New Roman"/>
          <w:sz w:val="24"/>
          <w:szCs w:val="24"/>
        </w:rPr>
      </w:pPr>
      <w:r>
        <w:rPr>
          <w:rFonts w:cs="Times New Roman"/>
          <w:sz w:val="24"/>
          <w:szCs w:val="24"/>
        </w:rPr>
        <w:t xml:space="preserve">Lockup, Cancellation Fee, and No-shop Agreement: </w:t>
      </w:r>
      <w:r w:rsidR="00194BAC" w:rsidRPr="005E680C">
        <w:rPr>
          <w:rFonts w:cs="Times New Roman"/>
          <w:sz w:val="24"/>
          <w:szCs w:val="24"/>
        </w:rPr>
        <w:t xml:space="preserve">Pantry Pride continued to increase their bids, and Revlon decided to seek another buyer in </w:t>
      </w:r>
      <w:proofErr w:type="spellStart"/>
      <w:r w:rsidR="00194BAC" w:rsidRPr="005E680C">
        <w:rPr>
          <w:rFonts w:cs="Times New Roman"/>
          <w:sz w:val="24"/>
          <w:szCs w:val="24"/>
        </w:rPr>
        <w:t>Forstmann</w:t>
      </w:r>
      <w:proofErr w:type="spellEnd"/>
      <w:r w:rsidR="00194BAC" w:rsidRPr="005E680C">
        <w:rPr>
          <w:rFonts w:cs="Times New Roman"/>
          <w:sz w:val="24"/>
          <w:szCs w:val="24"/>
        </w:rPr>
        <w:t xml:space="preserve">. </w:t>
      </w:r>
      <w:r w:rsidR="00194BAC" w:rsidRPr="00194BAC">
        <w:rPr>
          <w:rFonts w:cs="Times New Roman"/>
          <w:sz w:val="24"/>
          <w:szCs w:val="24"/>
        </w:rPr>
        <w:t xml:space="preserve">Revlon made an agreement to have </w:t>
      </w:r>
      <w:proofErr w:type="spellStart"/>
      <w:r w:rsidR="00194BAC" w:rsidRPr="00194BAC">
        <w:rPr>
          <w:rFonts w:cs="Times New Roman"/>
          <w:sz w:val="24"/>
          <w:szCs w:val="24"/>
        </w:rPr>
        <w:t>Forstmann</w:t>
      </w:r>
      <w:proofErr w:type="spellEnd"/>
      <w:r w:rsidR="00194BAC" w:rsidRPr="00194BAC">
        <w:rPr>
          <w:rFonts w:cs="Times New Roman"/>
          <w:sz w:val="24"/>
          <w:szCs w:val="24"/>
        </w:rPr>
        <w:t xml:space="preserve"> pay $57.25 per share subject to certain restrictions such as a</w:t>
      </w:r>
      <w:r w:rsidR="00194BAC">
        <w:rPr>
          <w:rFonts w:cs="Times New Roman"/>
          <w:sz w:val="24"/>
          <w:szCs w:val="24"/>
        </w:rPr>
        <w:t xml:space="preserve"> right to buy two of Revlon’s health-care product divisions for $525 million (a “lockup”) (below market price or else Perelman would not have cared and was way below valuation Revlon essentially paid investment </w:t>
      </w:r>
      <w:r w:rsidR="004F3E49">
        <w:rPr>
          <w:rFonts w:cs="Times New Roman"/>
          <w:sz w:val="24"/>
          <w:szCs w:val="24"/>
        </w:rPr>
        <w:t>banker</w:t>
      </w:r>
      <w:r w:rsidR="00194BAC">
        <w:rPr>
          <w:rFonts w:cs="Times New Roman"/>
          <w:sz w:val="24"/>
          <w:szCs w:val="24"/>
        </w:rPr>
        <w:t xml:space="preserve"> to give them beforehand in order to rationalize rejecting initial offer from Pantry Pride);</w:t>
      </w:r>
      <w:r w:rsidR="00194BAC" w:rsidRPr="00194BAC">
        <w:rPr>
          <w:rFonts w:cs="Times New Roman"/>
          <w:sz w:val="24"/>
          <w:szCs w:val="24"/>
        </w:rPr>
        <w:t xml:space="preserve"> $25 million cancellation fee for </w:t>
      </w:r>
      <w:proofErr w:type="spellStart"/>
      <w:r w:rsidR="00194BAC" w:rsidRPr="00194BAC">
        <w:rPr>
          <w:rFonts w:cs="Times New Roman"/>
          <w:sz w:val="24"/>
          <w:szCs w:val="24"/>
        </w:rPr>
        <w:t>Forstmann</w:t>
      </w:r>
      <w:proofErr w:type="spellEnd"/>
      <w:r w:rsidR="00194BAC">
        <w:rPr>
          <w:rFonts w:cs="Times New Roman"/>
          <w:sz w:val="24"/>
          <w:szCs w:val="24"/>
        </w:rPr>
        <w:t>;</w:t>
      </w:r>
      <w:r w:rsidR="00194BAC" w:rsidRPr="00194BAC">
        <w:rPr>
          <w:rFonts w:cs="Times New Roman"/>
          <w:sz w:val="24"/>
          <w:szCs w:val="24"/>
        </w:rPr>
        <w:t xml:space="preserve"> and a no-shop provision</w:t>
      </w:r>
      <w:r w:rsidR="00194BAC">
        <w:rPr>
          <w:rFonts w:cs="Times New Roman"/>
          <w:sz w:val="24"/>
          <w:szCs w:val="24"/>
        </w:rPr>
        <w:t xml:space="preserve"> (Revlon could not look for other buyers)</w:t>
      </w:r>
      <w:r w:rsidR="00194BAC" w:rsidRPr="00194BAC">
        <w:rPr>
          <w:rFonts w:cs="Times New Roman"/>
          <w:sz w:val="24"/>
          <w:szCs w:val="24"/>
        </w:rPr>
        <w:t xml:space="preserve">. </w:t>
      </w:r>
    </w:p>
    <w:p w14:paraId="26D9F39F" w14:textId="65070BFF" w:rsidR="00194BAC" w:rsidRDefault="00194BAC" w:rsidP="00194BAC">
      <w:pPr>
        <w:pStyle w:val="ListParagraph"/>
        <w:numPr>
          <w:ilvl w:val="4"/>
          <w:numId w:val="13"/>
        </w:numPr>
        <w:rPr>
          <w:rFonts w:cs="Times New Roman"/>
          <w:sz w:val="24"/>
          <w:szCs w:val="24"/>
        </w:rPr>
      </w:pPr>
      <w:r w:rsidRPr="00194BAC">
        <w:rPr>
          <w:rFonts w:cs="Times New Roman"/>
          <w:sz w:val="24"/>
          <w:szCs w:val="24"/>
        </w:rPr>
        <w:t xml:space="preserve">Plaintiffs, MacAndrews &amp; Forbes Holdings, Inc., sought to enjoin the agreement because it was not in the best interests of the shareholders. Defendants, Revlon, Inc. and its directors argued that they needed to also consider the best interests of the noteholders. Defendants, Revlon, Inc. and its directors, appealed a decision by the lower court to enjoin an option granted by Defendants to another Defendant, </w:t>
      </w:r>
      <w:proofErr w:type="spellStart"/>
      <w:r w:rsidRPr="00194BAC">
        <w:rPr>
          <w:rFonts w:cs="Times New Roman"/>
          <w:sz w:val="24"/>
          <w:szCs w:val="24"/>
        </w:rPr>
        <w:t>Forstmann</w:t>
      </w:r>
      <w:proofErr w:type="spellEnd"/>
      <w:r w:rsidRPr="00194BAC">
        <w:rPr>
          <w:rFonts w:cs="Times New Roman"/>
          <w:sz w:val="24"/>
          <w:szCs w:val="24"/>
        </w:rPr>
        <w:t xml:space="preserve"> Little &amp; Co.</w:t>
      </w:r>
    </w:p>
    <w:p w14:paraId="5516AC14" w14:textId="77777777" w:rsidR="004F2E67" w:rsidRDefault="00194BAC" w:rsidP="00194BAC">
      <w:pPr>
        <w:pStyle w:val="ListParagraph"/>
        <w:numPr>
          <w:ilvl w:val="3"/>
          <w:numId w:val="13"/>
        </w:numPr>
        <w:rPr>
          <w:rFonts w:cs="Times New Roman"/>
          <w:sz w:val="24"/>
          <w:szCs w:val="24"/>
        </w:rPr>
      </w:pPr>
      <w:r>
        <w:rPr>
          <w:rFonts w:cs="Times New Roman"/>
          <w:sz w:val="24"/>
          <w:szCs w:val="24"/>
        </w:rPr>
        <w:t xml:space="preserve">Tool: </w:t>
      </w:r>
    </w:p>
    <w:p w14:paraId="02292FFE" w14:textId="49B61DCD" w:rsidR="00194BAC" w:rsidRDefault="00194BAC" w:rsidP="004F2E67">
      <w:pPr>
        <w:pStyle w:val="ListParagraph"/>
        <w:numPr>
          <w:ilvl w:val="4"/>
          <w:numId w:val="13"/>
        </w:numPr>
        <w:rPr>
          <w:rFonts w:cs="Times New Roman"/>
          <w:sz w:val="24"/>
          <w:szCs w:val="24"/>
        </w:rPr>
      </w:pPr>
      <w:r w:rsidRPr="00194BAC">
        <w:rPr>
          <w:rFonts w:cs="Times New Roman"/>
          <w:sz w:val="24"/>
          <w:szCs w:val="24"/>
        </w:rPr>
        <w:t>When a takeover is inevitable, the directors’ duty is to achieve the best price for the shareholder.</w:t>
      </w:r>
      <w:r w:rsidR="0059424E">
        <w:rPr>
          <w:rFonts w:cs="Times New Roman"/>
          <w:sz w:val="24"/>
          <w:szCs w:val="24"/>
        </w:rPr>
        <w:t xml:space="preserve"> </w:t>
      </w:r>
    </w:p>
    <w:p w14:paraId="2B362E72" w14:textId="6333F5CF" w:rsidR="004F2E67" w:rsidRPr="00464335" w:rsidRDefault="004F2E67" w:rsidP="004F2E67">
      <w:pPr>
        <w:pStyle w:val="ListParagraph"/>
        <w:numPr>
          <w:ilvl w:val="4"/>
          <w:numId w:val="13"/>
        </w:numPr>
        <w:rPr>
          <w:rFonts w:cs="Times New Roman"/>
          <w:b/>
          <w:sz w:val="24"/>
          <w:szCs w:val="24"/>
          <w:u w:val="single"/>
        </w:rPr>
      </w:pPr>
      <w:r w:rsidRPr="00464335">
        <w:rPr>
          <w:rFonts w:cs="Times New Roman"/>
          <w:b/>
          <w:sz w:val="24"/>
          <w:szCs w:val="24"/>
          <w:u w:val="single"/>
        </w:rPr>
        <w:t>The court held that the Unocal doctrine that outlined a director’s duty to the corporation and the shareholder no longer extended to the corporation once it was determined that the corporation would be sold.</w:t>
      </w:r>
    </w:p>
    <w:p w14:paraId="52B1F8CF" w14:textId="5227C8DB" w:rsidR="004F2E67" w:rsidRDefault="004F2E67" w:rsidP="004F2E67">
      <w:pPr>
        <w:pStyle w:val="ListParagraph"/>
        <w:numPr>
          <w:ilvl w:val="4"/>
          <w:numId w:val="13"/>
        </w:numPr>
        <w:rPr>
          <w:rFonts w:cs="Times New Roman"/>
          <w:sz w:val="24"/>
          <w:szCs w:val="24"/>
        </w:rPr>
      </w:pPr>
      <w:r>
        <w:rPr>
          <w:rFonts w:cs="Times New Roman"/>
          <w:sz w:val="24"/>
          <w:szCs w:val="24"/>
        </w:rPr>
        <w:t>“</w:t>
      </w:r>
      <w:r w:rsidRPr="004F2E67">
        <w:rPr>
          <w:rFonts w:cs="Times New Roman"/>
          <w:sz w:val="24"/>
          <w:szCs w:val="24"/>
        </w:rPr>
        <w:t xml:space="preserve">A board may have regard for various constituencies in discharging its responsibilities, provided there are rationally related benefits accruing to the stockholders. Unocal, 493 A.2d at 955. However, </w:t>
      </w:r>
      <w:r w:rsidRPr="00464335">
        <w:rPr>
          <w:rFonts w:cs="Times New Roman"/>
          <w:b/>
          <w:sz w:val="24"/>
          <w:szCs w:val="24"/>
          <w:u w:val="single"/>
        </w:rPr>
        <w:t>such concern for non-stockholder interests is inappropriate when an auction among active bidders is in progress, and the object no longer is to protect or maintain the corporate enterprise but to sell it to the highest bidder.”</w:t>
      </w:r>
    </w:p>
    <w:p w14:paraId="4FD19011" w14:textId="3590C4ED" w:rsidR="00194BAC" w:rsidRDefault="00194BAC" w:rsidP="00194BAC">
      <w:pPr>
        <w:pStyle w:val="ListParagraph"/>
        <w:numPr>
          <w:ilvl w:val="3"/>
          <w:numId w:val="13"/>
        </w:numPr>
        <w:rPr>
          <w:rFonts w:cs="Times New Roman"/>
          <w:sz w:val="24"/>
          <w:szCs w:val="24"/>
        </w:rPr>
      </w:pPr>
      <w:r>
        <w:rPr>
          <w:rFonts w:cs="Times New Roman"/>
          <w:sz w:val="24"/>
          <w:szCs w:val="24"/>
        </w:rPr>
        <w:t xml:space="preserve">Holding: </w:t>
      </w:r>
    </w:p>
    <w:p w14:paraId="2A4EA622" w14:textId="00CDE76E" w:rsidR="00194BAC" w:rsidRDefault="00194BAC" w:rsidP="00194BAC">
      <w:pPr>
        <w:pStyle w:val="ListParagraph"/>
        <w:numPr>
          <w:ilvl w:val="4"/>
          <w:numId w:val="13"/>
        </w:numPr>
        <w:rPr>
          <w:rFonts w:cs="Times New Roman"/>
          <w:sz w:val="24"/>
          <w:szCs w:val="24"/>
        </w:rPr>
      </w:pPr>
      <w:r>
        <w:rPr>
          <w:rFonts w:cs="Times New Roman"/>
          <w:sz w:val="24"/>
          <w:szCs w:val="24"/>
        </w:rPr>
        <w:lastRenderedPageBreak/>
        <w:t xml:space="preserve">Poison pill and 10 million share buy-back – incumbent board reasonably concluded that Pantry Pride’s initial $45 per share offer was grossly inadequate. Court noted that board was aware that Pantry Pride CEO planned </w:t>
      </w:r>
      <w:r w:rsidR="004F2E67">
        <w:rPr>
          <w:rFonts w:cs="Times New Roman"/>
          <w:sz w:val="24"/>
          <w:szCs w:val="24"/>
        </w:rPr>
        <w:t>a bust</w:t>
      </w:r>
      <w:r>
        <w:rPr>
          <w:rFonts w:cs="Times New Roman"/>
          <w:sz w:val="24"/>
          <w:szCs w:val="24"/>
        </w:rPr>
        <w:t xml:space="preserve">-up takeover (he would jettison the firm’s health-care products divisions and return it to its core cosmetics business). Given these threats, the board acted in </w:t>
      </w:r>
      <w:r w:rsidR="006C7ED7">
        <w:rPr>
          <w:rFonts w:cs="Times New Roman"/>
          <w:sz w:val="24"/>
          <w:szCs w:val="24"/>
        </w:rPr>
        <w:t>“</w:t>
      </w:r>
      <w:r>
        <w:rPr>
          <w:rFonts w:cs="Times New Roman"/>
          <w:sz w:val="24"/>
          <w:szCs w:val="24"/>
        </w:rPr>
        <w:t xml:space="preserve">good faith and upon reasonable investigation.” It adopted tactics that were not unreasonable, considering the threat posed. It faced the Unocal standards, in short, and met them. </w:t>
      </w:r>
    </w:p>
    <w:p w14:paraId="59CE6630" w14:textId="4277A395" w:rsidR="00194BAC" w:rsidRPr="00194BAC" w:rsidRDefault="00194BAC" w:rsidP="00194BAC">
      <w:pPr>
        <w:pStyle w:val="ListParagraph"/>
        <w:numPr>
          <w:ilvl w:val="4"/>
          <w:numId w:val="13"/>
        </w:numPr>
        <w:rPr>
          <w:rFonts w:cs="Times New Roman"/>
          <w:sz w:val="24"/>
          <w:szCs w:val="24"/>
          <w:u w:val="single"/>
        </w:rPr>
      </w:pPr>
      <w:r>
        <w:rPr>
          <w:rFonts w:cs="Times New Roman"/>
          <w:sz w:val="24"/>
          <w:szCs w:val="24"/>
        </w:rPr>
        <w:t>Lockup, cancellation fee, and no-shop agreement – Court found these were illegal. “[W]</w:t>
      </w:r>
      <w:r w:rsidRPr="00194BAC">
        <w:rPr>
          <w:rFonts w:cs="Times New Roman"/>
          <w:sz w:val="24"/>
          <w:szCs w:val="24"/>
        </w:rPr>
        <w:t xml:space="preserve">hen Pantry Pride increased its offer to $50 per share, and then to $53, it became apparent to all that the break-up of the company was inevitable. The Revlon board's authorization permitting management to negotiate a merger or buyout with a third party was a recognition that the company was for sale. </w:t>
      </w:r>
      <w:r w:rsidRPr="00194BAC">
        <w:rPr>
          <w:rFonts w:cs="Times New Roman"/>
          <w:sz w:val="24"/>
          <w:szCs w:val="24"/>
          <w:u w:val="single"/>
        </w:rPr>
        <w:t>The duty of the board had thus changed from the preservation of Revlon as a corporate entity to the maximization of the company's value</w:t>
      </w:r>
      <w:r>
        <w:rPr>
          <w:rFonts w:cs="Times New Roman"/>
          <w:sz w:val="24"/>
          <w:szCs w:val="24"/>
          <w:u w:val="single"/>
        </w:rPr>
        <w:t xml:space="preserve"> at a sale for the stockholders’</w:t>
      </w:r>
      <w:r w:rsidRPr="00194BAC">
        <w:rPr>
          <w:rFonts w:cs="Times New Roman"/>
          <w:sz w:val="24"/>
          <w:szCs w:val="24"/>
          <w:u w:val="single"/>
        </w:rPr>
        <w:t xml:space="preserve"> benefit. This significantly altered the board's responsibilities under the Unocal standards.</w:t>
      </w:r>
      <w:r w:rsidRPr="00194BAC">
        <w:rPr>
          <w:rFonts w:cs="Times New Roman"/>
          <w:sz w:val="24"/>
          <w:szCs w:val="24"/>
        </w:rPr>
        <w:t xml:space="preserve"> It no longer faced threats to corporate policy and effectiveness, or to the stockholders' interests, from a grossly inadequate bid. The whole question of defensive measures became moot. </w:t>
      </w:r>
      <w:r w:rsidRPr="00194BAC">
        <w:rPr>
          <w:rFonts w:cs="Times New Roman"/>
          <w:sz w:val="24"/>
          <w:szCs w:val="24"/>
          <w:u w:val="single"/>
        </w:rPr>
        <w:t>The directors' role changed from defenders of the corporate bastion to auctioneers charged with getting the best price for the stockholders at a sale of the company.</w:t>
      </w:r>
      <w:r>
        <w:rPr>
          <w:rFonts w:cs="Times New Roman"/>
          <w:sz w:val="24"/>
          <w:szCs w:val="24"/>
        </w:rPr>
        <w:t>” Board’s tactics stopped an auction and thus violated its fiduciary duty to its shareholders.</w:t>
      </w:r>
    </w:p>
    <w:p w14:paraId="69AD8FEF" w14:textId="4DF98B32" w:rsidR="00194BAC" w:rsidRPr="001D4D42" w:rsidRDefault="00194BAC" w:rsidP="00194BAC">
      <w:pPr>
        <w:pStyle w:val="ListParagraph"/>
        <w:numPr>
          <w:ilvl w:val="4"/>
          <w:numId w:val="13"/>
        </w:numPr>
        <w:rPr>
          <w:rFonts w:cs="Times New Roman"/>
          <w:sz w:val="24"/>
          <w:szCs w:val="24"/>
          <w:u w:val="single"/>
        </w:rPr>
      </w:pPr>
      <w:r>
        <w:rPr>
          <w:rFonts w:cs="Times New Roman"/>
          <w:sz w:val="24"/>
          <w:szCs w:val="24"/>
        </w:rPr>
        <w:t xml:space="preserve">Noteholders – Revlon board claimed to favor </w:t>
      </w:r>
      <w:proofErr w:type="spellStart"/>
      <w:r>
        <w:rPr>
          <w:rFonts w:cs="Times New Roman"/>
          <w:sz w:val="24"/>
          <w:szCs w:val="24"/>
        </w:rPr>
        <w:t>Forstmann</w:t>
      </w:r>
      <w:proofErr w:type="spellEnd"/>
      <w:r>
        <w:rPr>
          <w:rFonts w:cs="Times New Roman"/>
          <w:sz w:val="24"/>
          <w:szCs w:val="24"/>
        </w:rPr>
        <w:t xml:space="preserve"> in part because it promised to protect the note holders. Doing so, the board explained, followed from its right under Unocal to protect “other constituencies.” In rejecting the board’s claim, the Revlon court explained: “</w:t>
      </w:r>
      <w:r w:rsidRPr="00194BAC">
        <w:rPr>
          <w:rFonts w:cs="Times New Roman"/>
          <w:sz w:val="24"/>
          <w:szCs w:val="24"/>
        </w:rPr>
        <w:t>Here, the rights of the noteholders were fixed by agreement, and there is nothing of substance to suggest that any of those terms were violated. The Notes covenants specifically contemplated a waiver to permit sale of the company at a fair price. The Notes were accepted by the holders on that basis, including the risk of an adverse market effect stemming from a waiver. Thus, nothing remained for Revlon to legitimately protect, and no rationally related benefit thereby accrued to the stockholders.</w:t>
      </w:r>
      <w:r w:rsidR="001D4D42">
        <w:rPr>
          <w:rFonts w:cs="Times New Roman"/>
          <w:sz w:val="24"/>
          <w:szCs w:val="24"/>
        </w:rPr>
        <w:t>”</w:t>
      </w:r>
    </w:p>
    <w:p w14:paraId="05A25785" w14:textId="1E21D585" w:rsidR="00AA77D3" w:rsidRPr="00591B6F" w:rsidRDefault="001D4D42" w:rsidP="00591B6F">
      <w:pPr>
        <w:pStyle w:val="ListParagraph"/>
        <w:numPr>
          <w:ilvl w:val="5"/>
          <w:numId w:val="13"/>
        </w:numPr>
        <w:rPr>
          <w:rFonts w:cs="Times New Roman"/>
          <w:sz w:val="24"/>
          <w:szCs w:val="24"/>
          <w:u w:val="single"/>
        </w:rPr>
      </w:pPr>
      <w:proofErr w:type="spellStart"/>
      <w:r>
        <w:rPr>
          <w:rFonts w:cs="Times New Roman"/>
          <w:sz w:val="24"/>
          <w:szCs w:val="24"/>
        </w:rPr>
        <w:t>Ramseyer</w:t>
      </w:r>
      <w:proofErr w:type="spellEnd"/>
      <w:r>
        <w:rPr>
          <w:rFonts w:cs="Times New Roman"/>
          <w:sz w:val="24"/>
          <w:szCs w:val="24"/>
        </w:rPr>
        <w:t xml:space="preserve"> finds this odd. Note holders either had a legitimate claim or they did not. The court could hardly mean that the board had an obligation to ignore its contractual promises to the note holders. Boards owe fiduciary duties to shareholders, but those duties do not extend to breaking contracts with their creditors. Even if claims were not legitimate, boards regularly manage litigation and can decide not to always fight “bogus” claims.</w:t>
      </w:r>
    </w:p>
    <w:p w14:paraId="56BB704F" w14:textId="77777777" w:rsidR="009052E6" w:rsidRPr="00443F62" w:rsidRDefault="009052E6" w:rsidP="003C0A28">
      <w:pPr>
        <w:ind w:firstLine="720"/>
        <w:rPr>
          <w:szCs w:val="24"/>
        </w:rPr>
      </w:pPr>
    </w:p>
    <w:sectPr w:rsidR="009052E6" w:rsidRPr="00443F62" w:rsidSect="007E4C54">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144FB" w14:textId="77777777" w:rsidR="00CB5A76" w:rsidRDefault="00CB5A76" w:rsidP="001E160F">
      <w:r>
        <w:separator/>
      </w:r>
    </w:p>
  </w:endnote>
  <w:endnote w:type="continuationSeparator" w:id="0">
    <w:p w14:paraId="52D7D11B" w14:textId="77777777" w:rsidR="00CB5A76" w:rsidRDefault="00CB5A76" w:rsidP="001E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724929"/>
      <w:docPartObj>
        <w:docPartGallery w:val="Page Numbers (Bottom of Page)"/>
        <w:docPartUnique/>
      </w:docPartObj>
    </w:sdtPr>
    <w:sdtEndPr>
      <w:rPr>
        <w:rFonts w:cs="Times New Roman"/>
        <w:noProof/>
      </w:rPr>
    </w:sdtEndPr>
    <w:sdtContent>
      <w:p w14:paraId="79FA2F0C" w14:textId="2B8DB8D7" w:rsidR="00724DE4" w:rsidRPr="001E160F" w:rsidRDefault="00724DE4">
        <w:pPr>
          <w:pStyle w:val="Footer"/>
          <w:jc w:val="center"/>
          <w:rPr>
            <w:rFonts w:cs="Times New Roman"/>
          </w:rPr>
        </w:pPr>
        <w:r w:rsidRPr="001E160F">
          <w:rPr>
            <w:rFonts w:cs="Times New Roman"/>
          </w:rPr>
          <w:fldChar w:fldCharType="begin"/>
        </w:r>
        <w:r w:rsidRPr="001E160F">
          <w:rPr>
            <w:rFonts w:cs="Times New Roman"/>
          </w:rPr>
          <w:instrText xml:space="preserve"> PAGE   \* MERGEFORMAT </w:instrText>
        </w:r>
        <w:r w:rsidRPr="001E160F">
          <w:rPr>
            <w:rFonts w:cs="Times New Roman"/>
          </w:rPr>
          <w:fldChar w:fldCharType="separate"/>
        </w:r>
        <w:r w:rsidR="00EA45DB">
          <w:rPr>
            <w:rFonts w:cs="Times New Roman"/>
            <w:noProof/>
          </w:rPr>
          <w:t>60</w:t>
        </w:r>
        <w:r w:rsidRPr="001E160F">
          <w:rPr>
            <w:rFonts w:cs="Times New Roman"/>
            <w:noProof/>
          </w:rPr>
          <w:fldChar w:fldCharType="end"/>
        </w:r>
      </w:p>
    </w:sdtContent>
  </w:sdt>
  <w:p w14:paraId="4F8486C6" w14:textId="77777777" w:rsidR="00724DE4" w:rsidRDefault="00724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8AD0B" w14:textId="77777777" w:rsidR="00CB5A76" w:rsidRDefault="00CB5A76" w:rsidP="001E160F">
      <w:r>
        <w:separator/>
      </w:r>
    </w:p>
  </w:footnote>
  <w:footnote w:type="continuationSeparator" w:id="0">
    <w:p w14:paraId="7BA571A8" w14:textId="77777777" w:rsidR="00CB5A76" w:rsidRDefault="00CB5A76" w:rsidP="001E1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44E5"/>
    <w:multiLevelType w:val="multilevel"/>
    <w:tmpl w:val="0409001D"/>
    <w:numStyleLink w:val="Style1"/>
  </w:abstractNum>
  <w:abstractNum w:abstractNumId="1" w15:restartNumberingAfterBreak="0">
    <w:nsid w:val="07EB04C8"/>
    <w:multiLevelType w:val="multilevel"/>
    <w:tmpl w:val="FA1ED3DA"/>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i w:val="0"/>
      </w:rPr>
    </w:lvl>
    <w:lvl w:ilvl="2">
      <w:start w:val="1"/>
      <w:numFmt w:val="decimal"/>
      <w:lvlText w:val="%3)"/>
      <w:lvlJc w:val="left"/>
      <w:pPr>
        <w:ind w:left="1080" w:hanging="360"/>
      </w:pPr>
      <w:rPr>
        <w:rFonts w:ascii="Times New Roman" w:hAnsi="Times New Roman"/>
        <w:i w:val="0"/>
        <w:sz w:val="24"/>
      </w:r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lvl>
  </w:abstractNum>
  <w:abstractNum w:abstractNumId="2" w15:restartNumberingAfterBreak="0">
    <w:nsid w:val="149C5752"/>
    <w:multiLevelType w:val="multilevel"/>
    <w:tmpl w:val="C9AC4D48"/>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lvl>
  </w:abstractNum>
  <w:abstractNum w:abstractNumId="3" w15:restartNumberingAfterBreak="0">
    <w:nsid w:val="190167AD"/>
    <w:multiLevelType w:val="multilevel"/>
    <w:tmpl w:val="0409001D"/>
    <w:numStyleLink w:val="Style1"/>
  </w:abstractNum>
  <w:abstractNum w:abstractNumId="4" w15:restartNumberingAfterBreak="0">
    <w:nsid w:val="1AE20D28"/>
    <w:multiLevelType w:val="multilevel"/>
    <w:tmpl w:val="0409001D"/>
    <w:numStyleLink w:val="Style1"/>
  </w:abstractNum>
  <w:abstractNum w:abstractNumId="5" w15:restartNumberingAfterBreak="0">
    <w:nsid w:val="1DD108B4"/>
    <w:multiLevelType w:val="multilevel"/>
    <w:tmpl w:val="0409001D"/>
    <w:numStyleLink w:val="Style1"/>
  </w:abstractNum>
  <w:abstractNum w:abstractNumId="6" w15:restartNumberingAfterBreak="0">
    <w:nsid w:val="3CB94B8A"/>
    <w:multiLevelType w:val="multilevel"/>
    <w:tmpl w:val="0409001D"/>
    <w:styleLink w:val="Style1"/>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lvl>
  </w:abstractNum>
  <w:abstractNum w:abstractNumId="7" w15:restartNumberingAfterBreak="0">
    <w:nsid w:val="3EF86908"/>
    <w:multiLevelType w:val="multilevel"/>
    <w:tmpl w:val="0409001D"/>
    <w:numStyleLink w:val="Style1"/>
  </w:abstractNum>
  <w:abstractNum w:abstractNumId="8" w15:restartNumberingAfterBreak="0">
    <w:nsid w:val="3FCF2EA0"/>
    <w:multiLevelType w:val="multilevel"/>
    <w:tmpl w:val="0409001D"/>
    <w:numStyleLink w:val="Style1"/>
  </w:abstractNum>
  <w:abstractNum w:abstractNumId="9" w15:restartNumberingAfterBreak="0">
    <w:nsid w:val="48650F7C"/>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48FF1274"/>
    <w:multiLevelType w:val="multilevel"/>
    <w:tmpl w:val="0409001D"/>
    <w:numStyleLink w:val="Style1"/>
  </w:abstractNum>
  <w:abstractNum w:abstractNumId="11" w15:restartNumberingAfterBreak="0">
    <w:nsid w:val="52A42E92"/>
    <w:multiLevelType w:val="multilevel"/>
    <w:tmpl w:val="0409001D"/>
    <w:numStyleLink w:val="Style1"/>
  </w:abstractNum>
  <w:abstractNum w:abstractNumId="12" w15:restartNumberingAfterBreak="0">
    <w:nsid w:val="570F3083"/>
    <w:multiLevelType w:val="hybridMultilevel"/>
    <w:tmpl w:val="0DCCA80A"/>
    <w:lvl w:ilvl="0" w:tplc="3DF0988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1A146F"/>
    <w:multiLevelType w:val="multilevel"/>
    <w:tmpl w:val="0409001D"/>
    <w:numStyleLink w:val="Style1"/>
  </w:abstractNum>
  <w:abstractNum w:abstractNumId="14" w15:restartNumberingAfterBreak="0">
    <w:nsid w:val="74052460"/>
    <w:multiLevelType w:val="hybridMultilevel"/>
    <w:tmpl w:val="9A180202"/>
    <w:lvl w:ilvl="0" w:tplc="FE0CD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43B07"/>
    <w:multiLevelType w:val="hybridMultilevel"/>
    <w:tmpl w:val="95F67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7B4255"/>
    <w:multiLevelType w:val="multilevel"/>
    <w:tmpl w:val="0409001D"/>
    <w:numStyleLink w:val="Style1"/>
  </w:abstractNum>
  <w:abstractNum w:abstractNumId="17" w15:restartNumberingAfterBreak="0">
    <w:nsid w:val="7B304593"/>
    <w:multiLevelType w:val="multilevel"/>
    <w:tmpl w:val="0409001D"/>
    <w:numStyleLink w:val="Style1"/>
  </w:abstractNum>
  <w:abstractNum w:abstractNumId="18" w15:restartNumberingAfterBreak="0">
    <w:nsid w:val="7E543E1E"/>
    <w:multiLevelType w:val="multilevel"/>
    <w:tmpl w:val="0409001D"/>
    <w:numStyleLink w:val="Style1"/>
  </w:abstractNum>
  <w:num w:numId="1">
    <w:abstractNumId w:val="6"/>
  </w:num>
  <w:num w:numId="2">
    <w:abstractNumId w:val="6"/>
  </w:num>
  <w:num w:numId="3">
    <w:abstractNumId w:val="9"/>
  </w:num>
  <w:num w:numId="4">
    <w:abstractNumId w:val="8"/>
    <w:lvlOverride w:ilvl="0">
      <w:lvl w:ilvl="0">
        <w:start w:val="1"/>
        <w:numFmt w:val="upperRoman"/>
        <w:lvlText w:val="%1)"/>
        <w:lvlJc w:val="left"/>
        <w:pPr>
          <w:ind w:left="360" w:hanging="360"/>
        </w:pPr>
        <w:rPr>
          <w:rFonts w:asciiTheme="majorHAnsi" w:hAnsiTheme="majorHAnsi" w:hint="default"/>
          <w:sz w:val="32"/>
          <w:szCs w:val="32"/>
        </w:rPr>
      </w:lvl>
    </w:lvlOverride>
  </w:num>
  <w:num w:numId="5">
    <w:abstractNumId w:val="3"/>
    <w:lvlOverride w:ilvl="0">
      <w:lvl w:ilvl="0">
        <w:start w:val="1"/>
        <w:numFmt w:val="upperRoman"/>
        <w:lvlText w:val="%1)"/>
        <w:lvlJc w:val="left"/>
        <w:pPr>
          <w:ind w:left="360" w:hanging="360"/>
        </w:pPr>
        <w:rPr>
          <w:rFonts w:ascii="Times New Roman" w:hAnsi="Times New Roman"/>
          <w:sz w:val="24"/>
        </w:rPr>
      </w:lvl>
    </w:lvlOverride>
    <w:lvlOverride w:ilvl="1">
      <w:lvl w:ilvl="1">
        <w:start w:val="1"/>
        <w:numFmt w:val="upperLetter"/>
        <w:lvlText w:val="%2)"/>
        <w:lvlJc w:val="left"/>
        <w:pPr>
          <w:ind w:left="720" w:hanging="360"/>
        </w:pPr>
      </w:lvl>
    </w:lvlOverride>
    <w:lvlOverride w:ilvl="2">
      <w:lvl w:ilvl="2">
        <w:start w:val="1"/>
        <w:numFmt w:val="decimal"/>
        <w:lvlText w:val="%3)"/>
        <w:lvlJc w:val="left"/>
        <w:pPr>
          <w:ind w:left="1080" w:hanging="360"/>
        </w:pPr>
        <w:rPr>
          <w:i w:val="0"/>
        </w:rPr>
      </w:lvl>
    </w:lvlOverride>
    <w:lvlOverride w:ilvl="3">
      <w:lvl w:ilvl="3">
        <w:start w:val="1"/>
        <w:numFmt w:val="lowerLetter"/>
        <w:lvlText w:val="(%4)"/>
        <w:lvlJc w:val="left"/>
        <w:pPr>
          <w:ind w:left="1440" w:hanging="360"/>
        </w:pPr>
        <w:rPr>
          <w:i w:val="0"/>
        </w:rPr>
      </w:lvl>
    </w:lvlOverride>
    <w:lvlOverride w:ilvl="4">
      <w:lvl w:ilvl="4">
        <w:start w:val="1"/>
        <w:numFmt w:val="lowerRoman"/>
        <w:lvlText w:val="(%5)"/>
        <w:lvlJc w:val="left"/>
        <w:pPr>
          <w:ind w:left="1800" w:hanging="360"/>
        </w:pPr>
      </w:lvl>
    </w:lvlOverride>
    <w:lvlOverride w:ilvl="5">
      <w:lvl w:ilvl="5">
        <w:start w:val="1"/>
        <w:numFmt w:val="bullet"/>
        <w:lvlText w:val=""/>
        <w:lvlJc w:val="left"/>
        <w:pPr>
          <w:ind w:left="2160" w:hanging="360"/>
        </w:pPr>
        <w:rPr>
          <w:rFonts w:ascii="Symbol" w:hAnsi="Symbol" w:hint="default"/>
        </w:rPr>
      </w:lvl>
    </w:lvlOverride>
    <w:lvlOverride w:ilvl="6">
      <w:lvl w:ilvl="6">
        <w:start w:val="1"/>
        <w:numFmt w:val="bullet"/>
        <w:lvlText w:val="o"/>
        <w:lvlJc w:val="left"/>
        <w:pPr>
          <w:ind w:left="2520" w:hanging="360"/>
        </w:pPr>
        <w:rPr>
          <w:rFonts w:ascii="Courier New" w:hAnsi="Courier New" w:hint="default"/>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lowerRoman"/>
        <w:lvlText w:val="%9."/>
        <w:lvlJc w:val="left"/>
        <w:pPr>
          <w:ind w:left="3240" w:hanging="360"/>
        </w:pPr>
      </w:lvl>
    </w:lvlOverride>
  </w:num>
  <w:num w:numId="6">
    <w:abstractNumId w:val="18"/>
    <w:lvlOverride w:ilvl="0">
      <w:lvl w:ilvl="0">
        <w:start w:val="1"/>
        <w:numFmt w:val="upperRoman"/>
        <w:lvlText w:val="%1)"/>
        <w:lvlJc w:val="left"/>
        <w:pPr>
          <w:ind w:left="360" w:hanging="360"/>
        </w:pPr>
        <w:rPr>
          <w:rFonts w:ascii="Times New Roman" w:hAnsi="Times New Roman"/>
          <w:b w:val="0"/>
          <w:color w:val="auto"/>
          <w:sz w:val="24"/>
        </w:rPr>
      </w:lvl>
    </w:lvlOverride>
    <w:lvlOverride w:ilvl="1">
      <w:lvl w:ilvl="1">
        <w:start w:val="1"/>
        <w:numFmt w:val="upperLetter"/>
        <w:lvlText w:val="%2)"/>
        <w:lvlJc w:val="left"/>
        <w:pPr>
          <w:ind w:left="720" w:hanging="360"/>
        </w:pPr>
        <w:rPr>
          <w:b w:val="0"/>
          <w:color w:val="auto"/>
          <w:sz w:val="24"/>
          <w:szCs w:val="24"/>
        </w:rPr>
      </w:lvl>
    </w:lvlOverride>
    <w:lvlOverride w:ilvl="2">
      <w:lvl w:ilvl="2">
        <w:start w:val="1"/>
        <w:numFmt w:val="decimal"/>
        <w:lvlText w:val="%3)"/>
        <w:lvlJc w:val="left"/>
        <w:pPr>
          <w:ind w:left="1080" w:hanging="360"/>
        </w:pPr>
        <w:rPr>
          <w:b w:val="0"/>
          <w:i w:val="0"/>
          <w:color w:val="auto"/>
          <w:sz w:val="24"/>
          <w:szCs w:val="24"/>
        </w:rPr>
      </w:lvl>
    </w:lvlOverride>
    <w:lvlOverride w:ilvl="3">
      <w:lvl w:ilvl="3">
        <w:start w:val="1"/>
        <w:numFmt w:val="lowerLetter"/>
        <w:lvlText w:val="(%4)"/>
        <w:lvlJc w:val="left"/>
        <w:pPr>
          <w:ind w:left="1440" w:hanging="360"/>
        </w:pPr>
      </w:lvl>
    </w:lvlOverride>
    <w:lvlOverride w:ilvl="4">
      <w:lvl w:ilvl="4">
        <w:start w:val="1"/>
        <w:numFmt w:val="lowerRoman"/>
        <w:lvlText w:val="(%5)"/>
        <w:lvlJc w:val="left"/>
        <w:pPr>
          <w:ind w:left="1800" w:hanging="360"/>
        </w:pPr>
      </w:lvl>
    </w:lvlOverride>
    <w:lvlOverride w:ilvl="5">
      <w:lvl w:ilvl="5">
        <w:start w:val="1"/>
        <w:numFmt w:val="bullet"/>
        <w:lvlText w:val=""/>
        <w:lvlJc w:val="left"/>
        <w:pPr>
          <w:ind w:left="2160" w:hanging="360"/>
        </w:pPr>
        <w:rPr>
          <w:rFonts w:ascii="Symbol" w:hAnsi="Symbol" w:hint="default"/>
        </w:r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7">
    <w:abstractNumId w:val="16"/>
    <w:lvlOverride w:ilvl="0">
      <w:lvl w:ilvl="0">
        <w:start w:val="1"/>
        <w:numFmt w:val="upperRoman"/>
        <w:lvlText w:val="%1)"/>
        <w:lvlJc w:val="left"/>
        <w:pPr>
          <w:ind w:left="360" w:hanging="360"/>
        </w:pPr>
        <w:rPr>
          <w:rFonts w:ascii="Times New Roman" w:hAnsi="Times New Roman"/>
          <w:sz w:val="24"/>
        </w:rPr>
      </w:lvl>
    </w:lvlOverride>
    <w:lvlOverride w:ilvl="1">
      <w:lvl w:ilvl="1">
        <w:start w:val="1"/>
        <w:numFmt w:val="upperLetter"/>
        <w:lvlText w:val="%2)"/>
        <w:lvlJc w:val="left"/>
        <w:pPr>
          <w:ind w:left="720" w:hanging="360"/>
        </w:pPr>
      </w:lvl>
    </w:lvlOverride>
    <w:lvlOverride w:ilvl="2">
      <w:lvl w:ilvl="2">
        <w:start w:val="1"/>
        <w:numFmt w:val="decimal"/>
        <w:lvlText w:val="%3)"/>
        <w:lvlJc w:val="left"/>
        <w:pPr>
          <w:ind w:left="1080" w:hanging="360"/>
        </w:pPr>
        <w:rPr>
          <w:b w:val="0"/>
          <w:i w:val="0"/>
        </w:rPr>
      </w:lvl>
    </w:lvlOverride>
    <w:lvlOverride w:ilvl="3">
      <w:lvl w:ilvl="3">
        <w:start w:val="1"/>
        <w:numFmt w:val="lowerLetter"/>
        <w:lvlText w:val="(%4)"/>
        <w:lvlJc w:val="left"/>
        <w:pPr>
          <w:ind w:left="1440" w:hanging="360"/>
        </w:pPr>
      </w:lvl>
    </w:lvlOverride>
    <w:lvlOverride w:ilvl="4">
      <w:lvl w:ilvl="4">
        <w:start w:val="1"/>
        <w:numFmt w:val="lowerRoman"/>
        <w:lvlText w:val="(%5)"/>
        <w:lvlJc w:val="left"/>
        <w:pPr>
          <w:ind w:left="1800" w:hanging="360"/>
        </w:pPr>
      </w:lvl>
    </w:lvlOverride>
    <w:lvlOverride w:ilvl="5">
      <w:lvl w:ilvl="5">
        <w:start w:val="1"/>
        <w:numFmt w:val="bullet"/>
        <w:lvlText w:val=""/>
        <w:lvlJc w:val="left"/>
        <w:pPr>
          <w:ind w:left="2160" w:hanging="360"/>
        </w:pPr>
        <w:rPr>
          <w:rFonts w:ascii="Symbol" w:hAnsi="Symbol" w:hint="default"/>
        </w:rPr>
      </w:lvl>
    </w:lvlOverride>
    <w:lvlOverride w:ilvl="6">
      <w:lvl w:ilvl="6">
        <w:start w:val="1"/>
        <w:numFmt w:val="bullet"/>
        <w:lvlText w:val="o"/>
        <w:lvlJc w:val="left"/>
        <w:pPr>
          <w:ind w:left="2520" w:hanging="360"/>
        </w:pPr>
        <w:rPr>
          <w:rFonts w:ascii="Courier New" w:hAnsi="Courier New" w:hint="default"/>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lowerRoman"/>
        <w:lvlText w:val="%9."/>
        <w:lvlJc w:val="left"/>
        <w:pPr>
          <w:ind w:left="3240" w:hanging="360"/>
        </w:pPr>
      </w:lvl>
    </w:lvlOverride>
  </w:num>
  <w:num w:numId="8">
    <w:abstractNumId w:val="15"/>
  </w:num>
  <w:num w:numId="9">
    <w:abstractNumId w:val="17"/>
    <w:lvlOverride w:ilvl="0">
      <w:lvl w:ilvl="0">
        <w:start w:val="1"/>
        <w:numFmt w:val="upperRoman"/>
        <w:lvlText w:val="%1)"/>
        <w:lvlJc w:val="left"/>
        <w:pPr>
          <w:ind w:left="360" w:hanging="360"/>
        </w:pPr>
        <w:rPr>
          <w:rFonts w:ascii="Times New Roman" w:hAnsi="Times New Roman"/>
          <w:sz w:val="24"/>
        </w:rPr>
      </w:lvl>
    </w:lvlOverride>
    <w:lvlOverride w:ilvl="1">
      <w:lvl w:ilvl="1">
        <w:start w:val="1"/>
        <w:numFmt w:val="upperLetter"/>
        <w:lvlText w:val="%2)"/>
        <w:lvlJc w:val="left"/>
        <w:pPr>
          <w:ind w:left="720" w:hanging="360"/>
        </w:pPr>
      </w:lvl>
    </w:lvlOverride>
    <w:lvlOverride w:ilvl="2">
      <w:lvl w:ilvl="2">
        <w:start w:val="1"/>
        <w:numFmt w:val="decimal"/>
        <w:lvlText w:val="%3)"/>
        <w:lvlJc w:val="left"/>
        <w:pPr>
          <w:ind w:left="1080" w:hanging="360"/>
        </w:pPr>
        <w:rPr>
          <w:b w:val="0"/>
          <w:i w:val="0"/>
        </w:rPr>
      </w:lvl>
    </w:lvlOverride>
    <w:lvlOverride w:ilvl="3">
      <w:lvl w:ilvl="3">
        <w:start w:val="1"/>
        <w:numFmt w:val="lowerLetter"/>
        <w:lvlText w:val="(%4)"/>
        <w:lvlJc w:val="left"/>
        <w:pPr>
          <w:ind w:left="1440" w:hanging="360"/>
        </w:pPr>
        <w:rPr>
          <w:b w:val="0"/>
          <w:i w:val="0"/>
        </w:rPr>
      </w:lvl>
    </w:lvlOverride>
    <w:lvlOverride w:ilvl="4">
      <w:lvl w:ilvl="4">
        <w:start w:val="1"/>
        <w:numFmt w:val="lowerRoman"/>
        <w:lvlText w:val="(%5)"/>
        <w:lvlJc w:val="left"/>
        <w:pPr>
          <w:ind w:left="1800" w:hanging="360"/>
        </w:pPr>
      </w:lvl>
    </w:lvlOverride>
    <w:lvlOverride w:ilvl="5">
      <w:lvl w:ilvl="5">
        <w:start w:val="1"/>
        <w:numFmt w:val="bullet"/>
        <w:lvlText w:val=""/>
        <w:lvlJc w:val="left"/>
        <w:pPr>
          <w:ind w:left="2160" w:hanging="360"/>
        </w:pPr>
        <w:rPr>
          <w:rFonts w:ascii="Symbol" w:hAnsi="Symbol" w:hint="default"/>
        </w:rPr>
      </w:lvl>
    </w:lvlOverride>
    <w:lvlOverride w:ilvl="6">
      <w:lvl w:ilvl="6">
        <w:start w:val="1"/>
        <w:numFmt w:val="bullet"/>
        <w:lvlText w:val="o"/>
        <w:lvlJc w:val="left"/>
        <w:pPr>
          <w:ind w:left="2520" w:hanging="360"/>
        </w:pPr>
        <w:rPr>
          <w:rFonts w:ascii="Courier New" w:hAnsi="Courier New" w:hint="default"/>
        </w:r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0">
    <w:abstractNumId w:val="0"/>
    <w:lvlOverride w:ilvl="0">
      <w:lvl w:ilvl="0">
        <w:start w:val="1"/>
        <w:numFmt w:val="upperRoman"/>
        <w:lvlText w:val="%1)"/>
        <w:lvlJc w:val="left"/>
        <w:pPr>
          <w:ind w:left="360" w:hanging="360"/>
        </w:pPr>
        <w:rPr>
          <w:rFonts w:ascii="Times New Roman" w:hAnsi="Times New Roman"/>
          <w:sz w:val="24"/>
        </w:rPr>
      </w:lvl>
    </w:lvlOverride>
    <w:lvlOverride w:ilvl="1">
      <w:lvl w:ilvl="1">
        <w:start w:val="1"/>
        <w:numFmt w:val="upperLetter"/>
        <w:lvlText w:val="%2)"/>
        <w:lvlJc w:val="left"/>
        <w:pPr>
          <w:ind w:left="720" w:hanging="360"/>
        </w:pPr>
      </w:lvl>
    </w:lvlOverride>
    <w:lvlOverride w:ilvl="2">
      <w:lvl w:ilvl="2">
        <w:start w:val="1"/>
        <w:numFmt w:val="decimal"/>
        <w:lvlText w:val="%3)"/>
        <w:lvlJc w:val="left"/>
        <w:pPr>
          <w:ind w:left="1080" w:hanging="360"/>
        </w:pPr>
        <w:rPr>
          <w:rFonts w:ascii="Times New Roman" w:hAnsi="Times New Roman"/>
          <w:b w:val="0"/>
          <w:i w:val="0"/>
          <w:sz w:val="24"/>
        </w:rPr>
      </w:lvl>
    </w:lvlOverride>
    <w:lvlOverride w:ilvl="3">
      <w:lvl w:ilvl="3">
        <w:start w:val="1"/>
        <w:numFmt w:val="lowerLetter"/>
        <w:lvlText w:val="(%4)"/>
        <w:lvlJc w:val="left"/>
        <w:pPr>
          <w:ind w:left="1440" w:hanging="360"/>
        </w:pPr>
        <w:rPr>
          <w:b w:val="0"/>
        </w:rPr>
      </w:lvl>
    </w:lvlOverride>
    <w:lvlOverride w:ilvl="4">
      <w:lvl w:ilvl="4">
        <w:start w:val="1"/>
        <w:numFmt w:val="lowerRoman"/>
        <w:lvlText w:val="(%5)"/>
        <w:lvlJc w:val="left"/>
        <w:pPr>
          <w:ind w:left="1800" w:hanging="360"/>
        </w:pPr>
      </w:lvl>
    </w:lvlOverride>
    <w:lvlOverride w:ilvl="5">
      <w:lvl w:ilvl="5">
        <w:start w:val="1"/>
        <w:numFmt w:val="bullet"/>
        <w:lvlText w:val=""/>
        <w:lvlJc w:val="left"/>
        <w:pPr>
          <w:ind w:left="2160" w:hanging="360"/>
        </w:pPr>
        <w:rPr>
          <w:rFonts w:ascii="Symbol" w:hAnsi="Symbol" w:hint="default"/>
        </w:rPr>
      </w:lvl>
    </w:lvlOverride>
    <w:lvlOverride w:ilvl="6">
      <w:lvl w:ilvl="6">
        <w:start w:val="1"/>
        <w:numFmt w:val="bullet"/>
        <w:lvlText w:val="o"/>
        <w:lvlJc w:val="left"/>
        <w:pPr>
          <w:ind w:left="2520" w:hanging="360"/>
        </w:pPr>
        <w:rPr>
          <w:rFonts w:ascii="Courier New" w:hAnsi="Courier New" w:hint="default"/>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lowerRoman"/>
        <w:lvlText w:val="%9."/>
        <w:lvlJc w:val="left"/>
        <w:pPr>
          <w:ind w:left="3240" w:hanging="360"/>
        </w:pPr>
      </w:lvl>
    </w:lvlOverride>
  </w:num>
  <w:num w:numId="11">
    <w:abstractNumId w:val="14"/>
  </w:num>
  <w:num w:numId="12">
    <w:abstractNumId w:val="7"/>
    <w:lvlOverride w:ilvl="0">
      <w:lvl w:ilvl="0">
        <w:start w:val="1"/>
        <w:numFmt w:val="upperRoman"/>
        <w:lvlText w:val="%1)"/>
        <w:lvlJc w:val="left"/>
        <w:pPr>
          <w:ind w:left="360" w:hanging="360"/>
        </w:pPr>
        <w:rPr>
          <w:rFonts w:ascii="Times New Roman" w:eastAsiaTheme="majorEastAsia" w:hAnsi="Times New Roman" w:cstheme="majorBidi"/>
          <w:sz w:val="24"/>
        </w:rPr>
      </w:lvl>
    </w:lvlOverride>
    <w:lvlOverride w:ilvl="1">
      <w:lvl w:ilvl="1">
        <w:start w:val="1"/>
        <w:numFmt w:val="upperLetter"/>
        <w:lvlText w:val="%2)"/>
        <w:lvlJc w:val="left"/>
        <w:pPr>
          <w:ind w:left="720" w:hanging="360"/>
        </w:pPr>
        <w:rPr>
          <w:rFonts w:ascii="Times New Roman" w:eastAsiaTheme="majorEastAsia" w:hAnsi="Times New Roman" w:cs="Times New Roman" w:hint="default"/>
        </w:rPr>
      </w:lvl>
    </w:lvlOverride>
    <w:lvlOverride w:ilvl="2">
      <w:lvl w:ilvl="2">
        <w:start w:val="1"/>
        <w:numFmt w:val="decimal"/>
        <w:lvlText w:val="%3)"/>
        <w:lvlJc w:val="left"/>
        <w:pPr>
          <w:ind w:left="1080" w:hanging="360"/>
        </w:pPr>
        <w:rPr>
          <w:b w:val="0"/>
          <w:i w:val="0"/>
        </w:rPr>
      </w:lvl>
    </w:lvlOverride>
    <w:lvlOverride w:ilvl="3">
      <w:lvl w:ilvl="3">
        <w:start w:val="1"/>
        <w:numFmt w:val="lowerLetter"/>
        <w:lvlText w:val="(%4)"/>
        <w:lvlJc w:val="left"/>
        <w:pPr>
          <w:ind w:left="1440" w:hanging="360"/>
        </w:pPr>
      </w:lvl>
    </w:lvlOverride>
    <w:lvlOverride w:ilvl="4">
      <w:lvl w:ilvl="4">
        <w:start w:val="1"/>
        <w:numFmt w:val="lowerRoman"/>
        <w:lvlText w:val="(%5)"/>
        <w:lvlJc w:val="left"/>
        <w:pPr>
          <w:ind w:left="1800" w:hanging="360"/>
        </w:pPr>
      </w:lvl>
    </w:lvlOverride>
    <w:lvlOverride w:ilvl="5">
      <w:lvl w:ilvl="5">
        <w:start w:val="1"/>
        <w:numFmt w:val="bullet"/>
        <w:lvlText w:val=""/>
        <w:lvlJc w:val="left"/>
        <w:pPr>
          <w:ind w:left="2160" w:hanging="360"/>
        </w:pPr>
        <w:rPr>
          <w:rFonts w:ascii="Symbol" w:hAnsi="Symbol" w:hint="default"/>
        </w:rPr>
      </w:lvl>
    </w:lvlOverride>
    <w:lvlOverride w:ilvl="6">
      <w:lvl w:ilvl="6">
        <w:start w:val="1"/>
        <w:numFmt w:val="bullet"/>
        <w:lvlText w:val="o"/>
        <w:lvlJc w:val="left"/>
        <w:pPr>
          <w:ind w:left="2520" w:hanging="360"/>
        </w:pPr>
        <w:rPr>
          <w:rFonts w:ascii="Courier New" w:hAnsi="Courier New" w:hint="default"/>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lowerRoman"/>
        <w:lvlText w:val="%9."/>
        <w:lvlJc w:val="left"/>
        <w:pPr>
          <w:ind w:left="3240" w:hanging="360"/>
        </w:pPr>
      </w:lvl>
    </w:lvlOverride>
  </w:num>
  <w:num w:numId="13">
    <w:abstractNumId w:val="10"/>
    <w:lvlOverride w:ilvl="1">
      <w:lvl w:ilvl="1">
        <w:start w:val="1"/>
        <w:numFmt w:val="upperLetter"/>
        <w:lvlText w:val="%2)"/>
        <w:lvlJc w:val="left"/>
        <w:pPr>
          <w:ind w:left="720" w:hanging="360"/>
        </w:pPr>
        <w:rPr>
          <w:b w:val="0"/>
          <w:i w:val="0"/>
        </w:rPr>
      </w:lvl>
    </w:lvlOverride>
    <w:lvlOverride w:ilvl="2">
      <w:lvl w:ilvl="2">
        <w:start w:val="1"/>
        <w:numFmt w:val="decimal"/>
        <w:lvlText w:val="%3)"/>
        <w:lvlJc w:val="left"/>
        <w:pPr>
          <w:ind w:left="1080" w:hanging="360"/>
        </w:pPr>
        <w:rPr>
          <w:b w:val="0"/>
          <w:i w:val="0"/>
        </w:rPr>
      </w:lvl>
    </w:lvlOverride>
    <w:lvlOverride w:ilvl="3">
      <w:lvl w:ilvl="3">
        <w:start w:val="1"/>
        <w:numFmt w:val="lowerLetter"/>
        <w:lvlText w:val="(%4)"/>
        <w:lvlJc w:val="left"/>
        <w:pPr>
          <w:ind w:left="1440" w:hanging="360"/>
        </w:pPr>
        <w:rPr>
          <w:b w:val="0"/>
          <w:i w:val="0"/>
        </w:rPr>
      </w:lvl>
    </w:lvlOverride>
  </w:num>
  <w:num w:numId="14">
    <w:abstractNumId w:val="12"/>
  </w:num>
  <w:num w:numId="15">
    <w:abstractNumId w:val="13"/>
  </w:num>
  <w:num w:numId="16">
    <w:abstractNumId w:val="4"/>
  </w:num>
  <w:num w:numId="17">
    <w:abstractNumId w:val="11"/>
  </w:num>
  <w:num w:numId="18">
    <w:abstractNumId w:val="5"/>
  </w:num>
  <w:num w:numId="19">
    <w:abstractNumId w:val="0"/>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AE"/>
    <w:rsid w:val="00010898"/>
    <w:rsid w:val="00012D89"/>
    <w:rsid w:val="00016F33"/>
    <w:rsid w:val="000234C9"/>
    <w:rsid w:val="00023D20"/>
    <w:rsid w:val="00031627"/>
    <w:rsid w:val="000511FC"/>
    <w:rsid w:val="00055090"/>
    <w:rsid w:val="0005751B"/>
    <w:rsid w:val="00060D45"/>
    <w:rsid w:val="000611AE"/>
    <w:rsid w:val="00070EEF"/>
    <w:rsid w:val="00077A54"/>
    <w:rsid w:val="00080BD7"/>
    <w:rsid w:val="000819AB"/>
    <w:rsid w:val="00095025"/>
    <w:rsid w:val="0009595C"/>
    <w:rsid w:val="000A24A3"/>
    <w:rsid w:val="000A2D38"/>
    <w:rsid w:val="000A7995"/>
    <w:rsid w:val="000B3354"/>
    <w:rsid w:val="000B3893"/>
    <w:rsid w:val="000C0D7F"/>
    <w:rsid w:val="000C4C49"/>
    <w:rsid w:val="000C75C7"/>
    <w:rsid w:val="000D09F9"/>
    <w:rsid w:val="000D0EDE"/>
    <w:rsid w:val="000D7CBD"/>
    <w:rsid w:val="000E116E"/>
    <w:rsid w:val="000E35DF"/>
    <w:rsid w:val="000F39A7"/>
    <w:rsid w:val="000F4E4F"/>
    <w:rsid w:val="000F5468"/>
    <w:rsid w:val="00103881"/>
    <w:rsid w:val="00104768"/>
    <w:rsid w:val="00107827"/>
    <w:rsid w:val="0012001B"/>
    <w:rsid w:val="00120149"/>
    <w:rsid w:val="00124AC9"/>
    <w:rsid w:val="0014447E"/>
    <w:rsid w:val="00144C0C"/>
    <w:rsid w:val="00144C98"/>
    <w:rsid w:val="00152CF3"/>
    <w:rsid w:val="001630B1"/>
    <w:rsid w:val="00172C1C"/>
    <w:rsid w:val="00172D2E"/>
    <w:rsid w:val="00174805"/>
    <w:rsid w:val="00177E95"/>
    <w:rsid w:val="001811FB"/>
    <w:rsid w:val="00181F8C"/>
    <w:rsid w:val="00193B65"/>
    <w:rsid w:val="00194BAC"/>
    <w:rsid w:val="00195A01"/>
    <w:rsid w:val="001A67EE"/>
    <w:rsid w:val="001A7B8D"/>
    <w:rsid w:val="001B23D2"/>
    <w:rsid w:val="001B3D9E"/>
    <w:rsid w:val="001B4CDE"/>
    <w:rsid w:val="001C11F1"/>
    <w:rsid w:val="001C1AF9"/>
    <w:rsid w:val="001C21DD"/>
    <w:rsid w:val="001C23E5"/>
    <w:rsid w:val="001C28AF"/>
    <w:rsid w:val="001C65D9"/>
    <w:rsid w:val="001C66A8"/>
    <w:rsid w:val="001D22F5"/>
    <w:rsid w:val="001D4D42"/>
    <w:rsid w:val="001E1082"/>
    <w:rsid w:val="001E160F"/>
    <w:rsid w:val="001E7260"/>
    <w:rsid w:val="001F1210"/>
    <w:rsid w:val="001F2C48"/>
    <w:rsid w:val="001F370C"/>
    <w:rsid w:val="00202338"/>
    <w:rsid w:val="00211D23"/>
    <w:rsid w:val="00214316"/>
    <w:rsid w:val="00216FC8"/>
    <w:rsid w:val="002306FC"/>
    <w:rsid w:val="00234005"/>
    <w:rsid w:val="00234194"/>
    <w:rsid w:val="00234CDF"/>
    <w:rsid w:val="002400AE"/>
    <w:rsid w:val="00244B0C"/>
    <w:rsid w:val="002527F7"/>
    <w:rsid w:val="0025308F"/>
    <w:rsid w:val="00254155"/>
    <w:rsid w:val="00265DBD"/>
    <w:rsid w:val="00276A65"/>
    <w:rsid w:val="00281947"/>
    <w:rsid w:val="00284E47"/>
    <w:rsid w:val="00295046"/>
    <w:rsid w:val="0029523C"/>
    <w:rsid w:val="002A60DF"/>
    <w:rsid w:val="002B16E0"/>
    <w:rsid w:val="002B1F40"/>
    <w:rsid w:val="002B2F0C"/>
    <w:rsid w:val="002B381C"/>
    <w:rsid w:val="002B3F68"/>
    <w:rsid w:val="002D4351"/>
    <w:rsid w:val="002D4CDA"/>
    <w:rsid w:val="002E416A"/>
    <w:rsid w:val="002E727A"/>
    <w:rsid w:val="002F1D66"/>
    <w:rsid w:val="002F2637"/>
    <w:rsid w:val="002F5104"/>
    <w:rsid w:val="002F6D84"/>
    <w:rsid w:val="002F7EB1"/>
    <w:rsid w:val="00300DD6"/>
    <w:rsid w:val="00301983"/>
    <w:rsid w:val="00301DD0"/>
    <w:rsid w:val="00307E8F"/>
    <w:rsid w:val="003124DB"/>
    <w:rsid w:val="0031309D"/>
    <w:rsid w:val="003170FC"/>
    <w:rsid w:val="0032017F"/>
    <w:rsid w:val="003219F9"/>
    <w:rsid w:val="00322677"/>
    <w:rsid w:val="0032331E"/>
    <w:rsid w:val="00327261"/>
    <w:rsid w:val="003275BF"/>
    <w:rsid w:val="00341BDA"/>
    <w:rsid w:val="00344D14"/>
    <w:rsid w:val="00347323"/>
    <w:rsid w:val="00351D80"/>
    <w:rsid w:val="00351F79"/>
    <w:rsid w:val="00352719"/>
    <w:rsid w:val="00353B91"/>
    <w:rsid w:val="00356AD7"/>
    <w:rsid w:val="00357BB9"/>
    <w:rsid w:val="0036073B"/>
    <w:rsid w:val="003612BB"/>
    <w:rsid w:val="00361389"/>
    <w:rsid w:val="00363D5E"/>
    <w:rsid w:val="00364B22"/>
    <w:rsid w:val="00372004"/>
    <w:rsid w:val="00372579"/>
    <w:rsid w:val="00377511"/>
    <w:rsid w:val="003A0231"/>
    <w:rsid w:val="003A13FC"/>
    <w:rsid w:val="003A75EC"/>
    <w:rsid w:val="003B1860"/>
    <w:rsid w:val="003B2702"/>
    <w:rsid w:val="003B3831"/>
    <w:rsid w:val="003B61FA"/>
    <w:rsid w:val="003C0A28"/>
    <w:rsid w:val="003C5C0F"/>
    <w:rsid w:val="003C6B63"/>
    <w:rsid w:val="003D1A95"/>
    <w:rsid w:val="003D2304"/>
    <w:rsid w:val="003D2F2B"/>
    <w:rsid w:val="003E2159"/>
    <w:rsid w:val="003E3C77"/>
    <w:rsid w:val="003E468C"/>
    <w:rsid w:val="003F4754"/>
    <w:rsid w:val="00400AD6"/>
    <w:rsid w:val="00411394"/>
    <w:rsid w:val="004120C1"/>
    <w:rsid w:val="0041483A"/>
    <w:rsid w:val="004156B0"/>
    <w:rsid w:val="00416DE9"/>
    <w:rsid w:val="004216B9"/>
    <w:rsid w:val="00427713"/>
    <w:rsid w:val="004313A2"/>
    <w:rsid w:val="004414CF"/>
    <w:rsid w:val="00441891"/>
    <w:rsid w:val="00442404"/>
    <w:rsid w:val="00442412"/>
    <w:rsid w:val="00443F62"/>
    <w:rsid w:val="004527A8"/>
    <w:rsid w:val="004626AA"/>
    <w:rsid w:val="00464335"/>
    <w:rsid w:val="00471FFF"/>
    <w:rsid w:val="00475A19"/>
    <w:rsid w:val="00486EA1"/>
    <w:rsid w:val="004900B0"/>
    <w:rsid w:val="004976D0"/>
    <w:rsid w:val="004A4E75"/>
    <w:rsid w:val="004B56AC"/>
    <w:rsid w:val="004B6AFF"/>
    <w:rsid w:val="004B7A88"/>
    <w:rsid w:val="004C0CC1"/>
    <w:rsid w:val="004C2265"/>
    <w:rsid w:val="004C3F61"/>
    <w:rsid w:val="004D0528"/>
    <w:rsid w:val="004D2E8C"/>
    <w:rsid w:val="004E1D0F"/>
    <w:rsid w:val="004E26A2"/>
    <w:rsid w:val="004E425A"/>
    <w:rsid w:val="004F2E67"/>
    <w:rsid w:val="004F3E49"/>
    <w:rsid w:val="004F68A2"/>
    <w:rsid w:val="00500D72"/>
    <w:rsid w:val="00506A0D"/>
    <w:rsid w:val="005102A7"/>
    <w:rsid w:val="005137E9"/>
    <w:rsid w:val="0051544E"/>
    <w:rsid w:val="00515D4E"/>
    <w:rsid w:val="00516A4C"/>
    <w:rsid w:val="00525875"/>
    <w:rsid w:val="005373CE"/>
    <w:rsid w:val="00542DA6"/>
    <w:rsid w:val="00545342"/>
    <w:rsid w:val="005501D6"/>
    <w:rsid w:val="00554EA2"/>
    <w:rsid w:val="00554ED0"/>
    <w:rsid w:val="0055709A"/>
    <w:rsid w:val="00560A59"/>
    <w:rsid w:val="005645F0"/>
    <w:rsid w:val="005731B8"/>
    <w:rsid w:val="0057794B"/>
    <w:rsid w:val="00581F35"/>
    <w:rsid w:val="005835CE"/>
    <w:rsid w:val="00584FAA"/>
    <w:rsid w:val="005856C3"/>
    <w:rsid w:val="00585C8E"/>
    <w:rsid w:val="00591B6F"/>
    <w:rsid w:val="0059424E"/>
    <w:rsid w:val="005A1058"/>
    <w:rsid w:val="005A4E92"/>
    <w:rsid w:val="005A7562"/>
    <w:rsid w:val="005B06B1"/>
    <w:rsid w:val="005B5BB9"/>
    <w:rsid w:val="005B659F"/>
    <w:rsid w:val="005B736B"/>
    <w:rsid w:val="005C347B"/>
    <w:rsid w:val="005C36B1"/>
    <w:rsid w:val="005D36F8"/>
    <w:rsid w:val="005D6252"/>
    <w:rsid w:val="005E012D"/>
    <w:rsid w:val="005E3DE5"/>
    <w:rsid w:val="005E49CF"/>
    <w:rsid w:val="005E55B8"/>
    <w:rsid w:val="005E680C"/>
    <w:rsid w:val="005E6862"/>
    <w:rsid w:val="005F3048"/>
    <w:rsid w:val="00601645"/>
    <w:rsid w:val="00601AF0"/>
    <w:rsid w:val="00602ACA"/>
    <w:rsid w:val="00612B45"/>
    <w:rsid w:val="00612BB4"/>
    <w:rsid w:val="00614038"/>
    <w:rsid w:val="00615937"/>
    <w:rsid w:val="00616E9F"/>
    <w:rsid w:val="00620D5A"/>
    <w:rsid w:val="006241AD"/>
    <w:rsid w:val="0062583D"/>
    <w:rsid w:val="00626677"/>
    <w:rsid w:val="006277EA"/>
    <w:rsid w:val="00630515"/>
    <w:rsid w:val="00631CF5"/>
    <w:rsid w:val="00632CF3"/>
    <w:rsid w:val="006337D4"/>
    <w:rsid w:val="006412F8"/>
    <w:rsid w:val="00641A29"/>
    <w:rsid w:val="0064216E"/>
    <w:rsid w:val="00643E0E"/>
    <w:rsid w:val="00645111"/>
    <w:rsid w:val="006709EA"/>
    <w:rsid w:val="00677ED4"/>
    <w:rsid w:val="006920E6"/>
    <w:rsid w:val="00692F4B"/>
    <w:rsid w:val="00693B0B"/>
    <w:rsid w:val="00695E64"/>
    <w:rsid w:val="006A3B45"/>
    <w:rsid w:val="006A41B4"/>
    <w:rsid w:val="006A4487"/>
    <w:rsid w:val="006B169D"/>
    <w:rsid w:val="006B2EE1"/>
    <w:rsid w:val="006C37D2"/>
    <w:rsid w:val="006C7C45"/>
    <w:rsid w:val="006C7ED7"/>
    <w:rsid w:val="006E0A19"/>
    <w:rsid w:val="006E5179"/>
    <w:rsid w:val="006F0911"/>
    <w:rsid w:val="006F6765"/>
    <w:rsid w:val="00703047"/>
    <w:rsid w:val="0070652C"/>
    <w:rsid w:val="007110E1"/>
    <w:rsid w:val="00714487"/>
    <w:rsid w:val="007238ED"/>
    <w:rsid w:val="00723911"/>
    <w:rsid w:val="00723F8D"/>
    <w:rsid w:val="00724DE4"/>
    <w:rsid w:val="007267BF"/>
    <w:rsid w:val="007270F8"/>
    <w:rsid w:val="007276A3"/>
    <w:rsid w:val="0073027F"/>
    <w:rsid w:val="00742BB8"/>
    <w:rsid w:val="00756888"/>
    <w:rsid w:val="00763D07"/>
    <w:rsid w:val="007647CE"/>
    <w:rsid w:val="007672FB"/>
    <w:rsid w:val="0077023C"/>
    <w:rsid w:val="007755F4"/>
    <w:rsid w:val="00787632"/>
    <w:rsid w:val="00794263"/>
    <w:rsid w:val="007942F0"/>
    <w:rsid w:val="007A428F"/>
    <w:rsid w:val="007A5AE6"/>
    <w:rsid w:val="007A67FD"/>
    <w:rsid w:val="007B0D8E"/>
    <w:rsid w:val="007C055A"/>
    <w:rsid w:val="007C5634"/>
    <w:rsid w:val="007C7C7E"/>
    <w:rsid w:val="007D6FB3"/>
    <w:rsid w:val="007D7D91"/>
    <w:rsid w:val="007E04A5"/>
    <w:rsid w:val="007E0A4E"/>
    <w:rsid w:val="007E4309"/>
    <w:rsid w:val="007E4C54"/>
    <w:rsid w:val="007F01C2"/>
    <w:rsid w:val="007F12D4"/>
    <w:rsid w:val="00806D9E"/>
    <w:rsid w:val="0081289F"/>
    <w:rsid w:val="00815DBC"/>
    <w:rsid w:val="00816752"/>
    <w:rsid w:val="008256C6"/>
    <w:rsid w:val="008358C7"/>
    <w:rsid w:val="00841F7B"/>
    <w:rsid w:val="00844A4C"/>
    <w:rsid w:val="008511BB"/>
    <w:rsid w:val="00854822"/>
    <w:rsid w:val="0086223D"/>
    <w:rsid w:val="008716F6"/>
    <w:rsid w:val="00874DA9"/>
    <w:rsid w:val="00876E2B"/>
    <w:rsid w:val="00882F56"/>
    <w:rsid w:val="0088343D"/>
    <w:rsid w:val="008837FE"/>
    <w:rsid w:val="00885D16"/>
    <w:rsid w:val="0088757C"/>
    <w:rsid w:val="00887CAE"/>
    <w:rsid w:val="00887E6B"/>
    <w:rsid w:val="00891101"/>
    <w:rsid w:val="008921EC"/>
    <w:rsid w:val="008A0CCA"/>
    <w:rsid w:val="008A306D"/>
    <w:rsid w:val="008B1F49"/>
    <w:rsid w:val="008B6809"/>
    <w:rsid w:val="008B73FF"/>
    <w:rsid w:val="008C08CA"/>
    <w:rsid w:val="008D3B46"/>
    <w:rsid w:val="008E013E"/>
    <w:rsid w:val="008E40A8"/>
    <w:rsid w:val="008F0173"/>
    <w:rsid w:val="008F6D68"/>
    <w:rsid w:val="00903296"/>
    <w:rsid w:val="009052E6"/>
    <w:rsid w:val="00907D2A"/>
    <w:rsid w:val="00916D22"/>
    <w:rsid w:val="0093103F"/>
    <w:rsid w:val="009316FC"/>
    <w:rsid w:val="009319D0"/>
    <w:rsid w:val="0093321B"/>
    <w:rsid w:val="0094289D"/>
    <w:rsid w:val="00946F80"/>
    <w:rsid w:val="00957672"/>
    <w:rsid w:val="00957772"/>
    <w:rsid w:val="0095783F"/>
    <w:rsid w:val="00960582"/>
    <w:rsid w:val="0096420B"/>
    <w:rsid w:val="0096514D"/>
    <w:rsid w:val="00970BA9"/>
    <w:rsid w:val="00986193"/>
    <w:rsid w:val="00986CBB"/>
    <w:rsid w:val="00991F87"/>
    <w:rsid w:val="00994CB3"/>
    <w:rsid w:val="009976C7"/>
    <w:rsid w:val="009A1B69"/>
    <w:rsid w:val="009A5CC6"/>
    <w:rsid w:val="009C19B6"/>
    <w:rsid w:val="009C6979"/>
    <w:rsid w:val="009D4FAE"/>
    <w:rsid w:val="009E2D8D"/>
    <w:rsid w:val="009F0B0F"/>
    <w:rsid w:val="009F273E"/>
    <w:rsid w:val="009F3231"/>
    <w:rsid w:val="00A014CE"/>
    <w:rsid w:val="00A02604"/>
    <w:rsid w:val="00A060E0"/>
    <w:rsid w:val="00A07147"/>
    <w:rsid w:val="00A0786E"/>
    <w:rsid w:val="00A110D3"/>
    <w:rsid w:val="00A135CE"/>
    <w:rsid w:val="00A150B3"/>
    <w:rsid w:val="00A17CCC"/>
    <w:rsid w:val="00A20FA2"/>
    <w:rsid w:val="00A24956"/>
    <w:rsid w:val="00A352CE"/>
    <w:rsid w:val="00A41C61"/>
    <w:rsid w:val="00A451E7"/>
    <w:rsid w:val="00A756E1"/>
    <w:rsid w:val="00A75BCF"/>
    <w:rsid w:val="00A75FC6"/>
    <w:rsid w:val="00A9056B"/>
    <w:rsid w:val="00A92192"/>
    <w:rsid w:val="00A923BC"/>
    <w:rsid w:val="00A970F5"/>
    <w:rsid w:val="00AA2F14"/>
    <w:rsid w:val="00AA76A0"/>
    <w:rsid w:val="00AA77D3"/>
    <w:rsid w:val="00AB2072"/>
    <w:rsid w:val="00AB3C53"/>
    <w:rsid w:val="00AD7FD5"/>
    <w:rsid w:val="00AE482F"/>
    <w:rsid w:val="00AF045F"/>
    <w:rsid w:val="00AF35B7"/>
    <w:rsid w:val="00B15934"/>
    <w:rsid w:val="00B212F9"/>
    <w:rsid w:val="00B334A6"/>
    <w:rsid w:val="00B351D1"/>
    <w:rsid w:val="00B555CE"/>
    <w:rsid w:val="00B613E6"/>
    <w:rsid w:val="00B654A8"/>
    <w:rsid w:val="00B71143"/>
    <w:rsid w:val="00B717B4"/>
    <w:rsid w:val="00B776BC"/>
    <w:rsid w:val="00B77A5D"/>
    <w:rsid w:val="00B9085E"/>
    <w:rsid w:val="00B91F88"/>
    <w:rsid w:val="00B928E9"/>
    <w:rsid w:val="00B977D7"/>
    <w:rsid w:val="00BA0E6B"/>
    <w:rsid w:val="00BA250C"/>
    <w:rsid w:val="00BA3D79"/>
    <w:rsid w:val="00BA7832"/>
    <w:rsid w:val="00BB4AF6"/>
    <w:rsid w:val="00BB6FA2"/>
    <w:rsid w:val="00BC017C"/>
    <w:rsid w:val="00BC3C1C"/>
    <w:rsid w:val="00BC6202"/>
    <w:rsid w:val="00BC6450"/>
    <w:rsid w:val="00BD0390"/>
    <w:rsid w:val="00BD0996"/>
    <w:rsid w:val="00BE05AA"/>
    <w:rsid w:val="00BE0C5F"/>
    <w:rsid w:val="00BE5D52"/>
    <w:rsid w:val="00BE6AD3"/>
    <w:rsid w:val="00BF36E9"/>
    <w:rsid w:val="00BF6492"/>
    <w:rsid w:val="00BF68FA"/>
    <w:rsid w:val="00BF77B3"/>
    <w:rsid w:val="00C05B81"/>
    <w:rsid w:val="00C118C2"/>
    <w:rsid w:val="00C12E4A"/>
    <w:rsid w:val="00C170EC"/>
    <w:rsid w:val="00C212D1"/>
    <w:rsid w:val="00C22E4C"/>
    <w:rsid w:val="00C26F0C"/>
    <w:rsid w:val="00C313B4"/>
    <w:rsid w:val="00C36346"/>
    <w:rsid w:val="00C5134B"/>
    <w:rsid w:val="00C54F3F"/>
    <w:rsid w:val="00C61144"/>
    <w:rsid w:val="00C61A23"/>
    <w:rsid w:val="00C63035"/>
    <w:rsid w:val="00C6367E"/>
    <w:rsid w:val="00C71466"/>
    <w:rsid w:val="00C73A32"/>
    <w:rsid w:val="00C77051"/>
    <w:rsid w:val="00C77664"/>
    <w:rsid w:val="00C84A9E"/>
    <w:rsid w:val="00C90A62"/>
    <w:rsid w:val="00C91F7D"/>
    <w:rsid w:val="00C93741"/>
    <w:rsid w:val="00C94348"/>
    <w:rsid w:val="00CA0C1D"/>
    <w:rsid w:val="00CA1326"/>
    <w:rsid w:val="00CB1AC9"/>
    <w:rsid w:val="00CB43F2"/>
    <w:rsid w:val="00CB499B"/>
    <w:rsid w:val="00CB50CC"/>
    <w:rsid w:val="00CB5A76"/>
    <w:rsid w:val="00CB6749"/>
    <w:rsid w:val="00CC4578"/>
    <w:rsid w:val="00CC5E96"/>
    <w:rsid w:val="00CD1273"/>
    <w:rsid w:val="00CE2A4A"/>
    <w:rsid w:val="00CF0A8A"/>
    <w:rsid w:val="00CF5C39"/>
    <w:rsid w:val="00D0202B"/>
    <w:rsid w:val="00D0772D"/>
    <w:rsid w:val="00D108C0"/>
    <w:rsid w:val="00D12B66"/>
    <w:rsid w:val="00D14674"/>
    <w:rsid w:val="00D153D8"/>
    <w:rsid w:val="00D1672E"/>
    <w:rsid w:val="00D2005A"/>
    <w:rsid w:val="00D200F0"/>
    <w:rsid w:val="00D200FC"/>
    <w:rsid w:val="00D20513"/>
    <w:rsid w:val="00D22404"/>
    <w:rsid w:val="00D22435"/>
    <w:rsid w:val="00D239D4"/>
    <w:rsid w:val="00D3298C"/>
    <w:rsid w:val="00D36D9C"/>
    <w:rsid w:val="00D50250"/>
    <w:rsid w:val="00D50300"/>
    <w:rsid w:val="00D50A4B"/>
    <w:rsid w:val="00D55312"/>
    <w:rsid w:val="00D57479"/>
    <w:rsid w:val="00D57C1D"/>
    <w:rsid w:val="00D63E34"/>
    <w:rsid w:val="00D7387B"/>
    <w:rsid w:val="00D7639C"/>
    <w:rsid w:val="00D76C1C"/>
    <w:rsid w:val="00D85B93"/>
    <w:rsid w:val="00D85BEA"/>
    <w:rsid w:val="00D86A4D"/>
    <w:rsid w:val="00D90791"/>
    <w:rsid w:val="00D926F0"/>
    <w:rsid w:val="00D9445A"/>
    <w:rsid w:val="00D9445B"/>
    <w:rsid w:val="00DA11AC"/>
    <w:rsid w:val="00DA6EDA"/>
    <w:rsid w:val="00DB4BFD"/>
    <w:rsid w:val="00DC7BB5"/>
    <w:rsid w:val="00DD411F"/>
    <w:rsid w:val="00DD555C"/>
    <w:rsid w:val="00DD6345"/>
    <w:rsid w:val="00DE1861"/>
    <w:rsid w:val="00DE2BAC"/>
    <w:rsid w:val="00E0019D"/>
    <w:rsid w:val="00E0142B"/>
    <w:rsid w:val="00E01B12"/>
    <w:rsid w:val="00E03722"/>
    <w:rsid w:val="00E04A3E"/>
    <w:rsid w:val="00E050BC"/>
    <w:rsid w:val="00E0645C"/>
    <w:rsid w:val="00E240AE"/>
    <w:rsid w:val="00E2794F"/>
    <w:rsid w:val="00E32C83"/>
    <w:rsid w:val="00E35DE9"/>
    <w:rsid w:val="00E35E9F"/>
    <w:rsid w:val="00E361D6"/>
    <w:rsid w:val="00E37E52"/>
    <w:rsid w:val="00E40E8B"/>
    <w:rsid w:val="00E46FA9"/>
    <w:rsid w:val="00E5052D"/>
    <w:rsid w:val="00E50EDE"/>
    <w:rsid w:val="00E51424"/>
    <w:rsid w:val="00E51FCD"/>
    <w:rsid w:val="00E70D69"/>
    <w:rsid w:val="00E71C29"/>
    <w:rsid w:val="00E8316D"/>
    <w:rsid w:val="00E849D4"/>
    <w:rsid w:val="00E87324"/>
    <w:rsid w:val="00E9074C"/>
    <w:rsid w:val="00E93F11"/>
    <w:rsid w:val="00E942FF"/>
    <w:rsid w:val="00EA0113"/>
    <w:rsid w:val="00EA45DB"/>
    <w:rsid w:val="00EA6DD3"/>
    <w:rsid w:val="00EB3AB8"/>
    <w:rsid w:val="00EB59CC"/>
    <w:rsid w:val="00EB6D34"/>
    <w:rsid w:val="00EC442C"/>
    <w:rsid w:val="00ED3E9C"/>
    <w:rsid w:val="00EE19A4"/>
    <w:rsid w:val="00EF1F87"/>
    <w:rsid w:val="00EF2907"/>
    <w:rsid w:val="00EF30C0"/>
    <w:rsid w:val="00EF76C0"/>
    <w:rsid w:val="00F01707"/>
    <w:rsid w:val="00F074A0"/>
    <w:rsid w:val="00F108D1"/>
    <w:rsid w:val="00F20CE2"/>
    <w:rsid w:val="00F30612"/>
    <w:rsid w:val="00F34B46"/>
    <w:rsid w:val="00F43134"/>
    <w:rsid w:val="00F44A92"/>
    <w:rsid w:val="00F4769E"/>
    <w:rsid w:val="00F50836"/>
    <w:rsid w:val="00F537AF"/>
    <w:rsid w:val="00F5581B"/>
    <w:rsid w:val="00F65F45"/>
    <w:rsid w:val="00F73C7E"/>
    <w:rsid w:val="00F84697"/>
    <w:rsid w:val="00F87059"/>
    <w:rsid w:val="00F902F8"/>
    <w:rsid w:val="00F90A23"/>
    <w:rsid w:val="00F94937"/>
    <w:rsid w:val="00F94DE6"/>
    <w:rsid w:val="00F97D88"/>
    <w:rsid w:val="00FA4373"/>
    <w:rsid w:val="00FA446B"/>
    <w:rsid w:val="00FA6391"/>
    <w:rsid w:val="00FA67E8"/>
    <w:rsid w:val="00FA6D3F"/>
    <w:rsid w:val="00FB0D90"/>
    <w:rsid w:val="00FB446D"/>
    <w:rsid w:val="00FB673D"/>
    <w:rsid w:val="00FB77B8"/>
    <w:rsid w:val="00FC00E6"/>
    <w:rsid w:val="00FC29DA"/>
    <w:rsid w:val="00FC363D"/>
    <w:rsid w:val="00FC4DC1"/>
    <w:rsid w:val="00FD0C32"/>
    <w:rsid w:val="00FE3FFB"/>
    <w:rsid w:val="00FF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F27D"/>
  <w15:chartTrackingRefBased/>
  <w15:docId w15:val="{DBA162A3-E906-4ECA-B9F3-D44BC086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1C2"/>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53B91"/>
    <w:pPr>
      <w:keepNext/>
      <w:keepLines/>
      <w:outlineLvl w:val="0"/>
    </w:pPr>
    <w:rPr>
      <w:rFonts w:eastAsiaTheme="majorEastAsia" w:cstheme="majorBidi"/>
      <w:caps/>
      <w:color w:val="2E74B5" w:themeColor="accent1" w:themeShade="BF"/>
      <w:sz w:val="32"/>
      <w:szCs w:val="32"/>
    </w:rPr>
  </w:style>
  <w:style w:type="paragraph" w:styleId="Heading2">
    <w:name w:val="heading 2"/>
    <w:basedOn w:val="Normal"/>
    <w:next w:val="Normal"/>
    <w:link w:val="Heading2Char"/>
    <w:uiPriority w:val="9"/>
    <w:unhideWhenUsed/>
    <w:qFormat/>
    <w:rsid w:val="003D2F2B"/>
    <w:pPr>
      <w:keepNext/>
      <w:keepLines/>
      <w:spacing w:before="240"/>
      <w:contextualSpacing/>
      <w:outlineLvl w:val="1"/>
    </w:pPr>
    <w:rPr>
      <w:rFonts w:eastAsiaTheme="majorEastAsia" w:cstheme="majorBidi"/>
      <w:caps/>
      <w:color w:val="1F4E79" w:themeColor="accent1" w:themeShade="80"/>
      <w:sz w:val="26"/>
      <w:szCs w:val="26"/>
    </w:rPr>
  </w:style>
  <w:style w:type="paragraph" w:styleId="Heading3">
    <w:name w:val="heading 3"/>
    <w:basedOn w:val="Normal"/>
    <w:next w:val="Normal"/>
    <w:link w:val="Heading3Char"/>
    <w:uiPriority w:val="9"/>
    <w:unhideWhenUsed/>
    <w:qFormat/>
    <w:rsid w:val="000F39A7"/>
    <w:pPr>
      <w:keepNext/>
      <w:keepLines/>
      <w:outlineLvl w:val="2"/>
    </w:pPr>
    <w:rPr>
      <w:rFonts w:eastAsiaTheme="majorEastAsia" w:cstheme="majorBidi"/>
      <w:b/>
      <w:color w:val="3B3838" w:themeColor="background2" w:themeShade="40"/>
      <w:szCs w:val="24"/>
    </w:rPr>
  </w:style>
  <w:style w:type="paragraph" w:styleId="Heading4">
    <w:name w:val="heading 4"/>
    <w:basedOn w:val="Normal"/>
    <w:next w:val="Normal"/>
    <w:link w:val="Heading4Char"/>
    <w:uiPriority w:val="9"/>
    <w:unhideWhenUsed/>
    <w:qFormat/>
    <w:rsid w:val="00124AC9"/>
    <w:pPr>
      <w:keepNext/>
      <w:keepLines/>
      <w:numPr>
        <w:ilvl w:val="3"/>
        <w:numId w:val="3"/>
      </w:numPr>
      <w:outlineLvl w:val="3"/>
    </w:pPr>
    <w:rPr>
      <w:rFonts w:asciiTheme="majorHAnsi" w:eastAsiaTheme="majorEastAsia" w:hAnsiTheme="majorHAnsi" w:cstheme="majorBidi"/>
      <w:i/>
      <w:iCs/>
      <w:color w:val="3B3838" w:themeColor="background2" w:themeShade="40"/>
    </w:rPr>
  </w:style>
  <w:style w:type="paragraph" w:styleId="Heading5">
    <w:name w:val="heading 5"/>
    <w:basedOn w:val="Normal"/>
    <w:next w:val="Normal"/>
    <w:link w:val="Heading5Char"/>
    <w:uiPriority w:val="9"/>
    <w:semiHidden/>
    <w:unhideWhenUsed/>
    <w:qFormat/>
    <w:rsid w:val="009052E6"/>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052E6"/>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052E6"/>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052E6"/>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052E6"/>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976C7"/>
    <w:pPr>
      <w:numPr>
        <w:numId w:val="1"/>
      </w:numPr>
    </w:pPr>
  </w:style>
  <w:style w:type="paragraph" w:customStyle="1" w:styleId="Style2">
    <w:name w:val="Style2"/>
    <w:basedOn w:val="Normal"/>
    <w:qFormat/>
    <w:rsid w:val="009052E6"/>
    <w:rPr>
      <w:rFonts w:cs="Times New Roman"/>
      <w:szCs w:val="24"/>
    </w:rPr>
  </w:style>
  <w:style w:type="character" w:customStyle="1" w:styleId="Heading1Char">
    <w:name w:val="Heading 1 Char"/>
    <w:basedOn w:val="DefaultParagraphFont"/>
    <w:link w:val="Heading1"/>
    <w:uiPriority w:val="9"/>
    <w:rsid w:val="00353B91"/>
    <w:rPr>
      <w:rFonts w:ascii="Times New Roman" w:eastAsiaTheme="majorEastAsia" w:hAnsi="Times New Roman" w:cstheme="majorBidi"/>
      <w:caps/>
      <w:color w:val="2E74B5" w:themeColor="accent1" w:themeShade="BF"/>
      <w:sz w:val="32"/>
      <w:szCs w:val="32"/>
    </w:rPr>
  </w:style>
  <w:style w:type="character" w:customStyle="1" w:styleId="Heading2Char">
    <w:name w:val="Heading 2 Char"/>
    <w:basedOn w:val="DefaultParagraphFont"/>
    <w:link w:val="Heading2"/>
    <w:uiPriority w:val="9"/>
    <w:rsid w:val="003D2F2B"/>
    <w:rPr>
      <w:rFonts w:ascii="Times New Roman" w:eastAsiaTheme="majorEastAsia" w:hAnsi="Times New Roman" w:cstheme="majorBidi"/>
      <w:caps/>
      <w:color w:val="1F4E79" w:themeColor="accent1" w:themeShade="80"/>
      <w:sz w:val="26"/>
      <w:szCs w:val="26"/>
    </w:rPr>
  </w:style>
  <w:style w:type="character" w:customStyle="1" w:styleId="Heading3Char">
    <w:name w:val="Heading 3 Char"/>
    <w:basedOn w:val="DefaultParagraphFont"/>
    <w:link w:val="Heading3"/>
    <w:uiPriority w:val="9"/>
    <w:rsid w:val="000F39A7"/>
    <w:rPr>
      <w:rFonts w:ascii="Times New Roman" w:eastAsiaTheme="majorEastAsia" w:hAnsi="Times New Roman" w:cstheme="majorBidi"/>
      <w:b/>
      <w:color w:val="3B3838" w:themeColor="background2" w:themeShade="40"/>
      <w:sz w:val="24"/>
      <w:szCs w:val="24"/>
    </w:rPr>
  </w:style>
  <w:style w:type="character" w:customStyle="1" w:styleId="Heading4Char">
    <w:name w:val="Heading 4 Char"/>
    <w:basedOn w:val="DefaultParagraphFont"/>
    <w:link w:val="Heading4"/>
    <w:uiPriority w:val="9"/>
    <w:rsid w:val="00124AC9"/>
    <w:rPr>
      <w:rFonts w:asciiTheme="majorHAnsi" w:eastAsiaTheme="majorEastAsia" w:hAnsiTheme="majorHAnsi" w:cstheme="majorBidi"/>
      <w:i/>
      <w:iCs/>
      <w:color w:val="3B3838" w:themeColor="background2" w:themeShade="40"/>
    </w:rPr>
  </w:style>
  <w:style w:type="character" w:customStyle="1" w:styleId="Heading5Char">
    <w:name w:val="Heading 5 Char"/>
    <w:basedOn w:val="DefaultParagraphFont"/>
    <w:link w:val="Heading5"/>
    <w:uiPriority w:val="9"/>
    <w:semiHidden/>
    <w:rsid w:val="009052E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052E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052E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052E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52E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1E1082"/>
    <w:pPr>
      <w:ind w:left="720"/>
      <w:contextualSpacing/>
    </w:pPr>
    <w:rPr>
      <w:sz w:val="22"/>
    </w:rPr>
  </w:style>
  <w:style w:type="paragraph" w:styleId="Title">
    <w:name w:val="Title"/>
    <w:basedOn w:val="Normal"/>
    <w:next w:val="Normal"/>
    <w:link w:val="TitleChar"/>
    <w:uiPriority w:val="10"/>
    <w:qFormat/>
    <w:rsid w:val="00CB1AC9"/>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B1AC9"/>
    <w:rPr>
      <w:rFonts w:ascii="Times New Roman" w:eastAsiaTheme="majorEastAsia" w:hAnsi="Times New Roman" w:cstheme="majorBidi"/>
      <w:spacing w:val="-10"/>
      <w:kern w:val="28"/>
      <w:sz w:val="56"/>
      <w:szCs w:val="56"/>
    </w:rPr>
  </w:style>
  <w:style w:type="character" w:styleId="CommentReference">
    <w:name w:val="annotation reference"/>
    <w:basedOn w:val="DefaultParagraphFont"/>
    <w:uiPriority w:val="99"/>
    <w:semiHidden/>
    <w:unhideWhenUsed/>
    <w:rsid w:val="00D200F0"/>
    <w:rPr>
      <w:sz w:val="16"/>
      <w:szCs w:val="16"/>
    </w:rPr>
  </w:style>
  <w:style w:type="paragraph" w:styleId="CommentText">
    <w:name w:val="annotation text"/>
    <w:basedOn w:val="Normal"/>
    <w:link w:val="CommentTextChar"/>
    <w:uiPriority w:val="99"/>
    <w:semiHidden/>
    <w:unhideWhenUsed/>
    <w:rsid w:val="00D200F0"/>
    <w:rPr>
      <w:sz w:val="20"/>
      <w:szCs w:val="20"/>
    </w:rPr>
  </w:style>
  <w:style w:type="character" w:customStyle="1" w:styleId="CommentTextChar">
    <w:name w:val="Comment Text Char"/>
    <w:basedOn w:val="DefaultParagraphFont"/>
    <w:link w:val="CommentText"/>
    <w:uiPriority w:val="99"/>
    <w:semiHidden/>
    <w:rsid w:val="00D200F0"/>
    <w:rPr>
      <w:sz w:val="20"/>
      <w:szCs w:val="20"/>
    </w:rPr>
  </w:style>
  <w:style w:type="paragraph" w:styleId="CommentSubject">
    <w:name w:val="annotation subject"/>
    <w:basedOn w:val="CommentText"/>
    <w:next w:val="CommentText"/>
    <w:link w:val="CommentSubjectChar"/>
    <w:uiPriority w:val="99"/>
    <w:semiHidden/>
    <w:unhideWhenUsed/>
    <w:rsid w:val="00D200F0"/>
    <w:rPr>
      <w:b/>
      <w:bCs/>
    </w:rPr>
  </w:style>
  <w:style w:type="character" w:customStyle="1" w:styleId="CommentSubjectChar">
    <w:name w:val="Comment Subject Char"/>
    <w:basedOn w:val="CommentTextChar"/>
    <w:link w:val="CommentSubject"/>
    <w:uiPriority w:val="99"/>
    <w:semiHidden/>
    <w:rsid w:val="00D200F0"/>
    <w:rPr>
      <w:b/>
      <w:bCs/>
      <w:sz w:val="20"/>
      <w:szCs w:val="20"/>
    </w:rPr>
  </w:style>
  <w:style w:type="paragraph" w:styleId="BalloonText">
    <w:name w:val="Balloon Text"/>
    <w:basedOn w:val="Normal"/>
    <w:link w:val="BalloonTextChar"/>
    <w:uiPriority w:val="99"/>
    <w:semiHidden/>
    <w:unhideWhenUsed/>
    <w:rsid w:val="00D20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0F0"/>
    <w:rPr>
      <w:rFonts w:ascii="Segoe UI" w:hAnsi="Segoe UI" w:cs="Segoe UI"/>
      <w:sz w:val="18"/>
      <w:szCs w:val="18"/>
    </w:rPr>
  </w:style>
  <w:style w:type="table" w:styleId="TableGrid">
    <w:name w:val="Table Grid"/>
    <w:basedOn w:val="TableNormal"/>
    <w:uiPriority w:val="39"/>
    <w:rsid w:val="00C90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160F"/>
    <w:pPr>
      <w:tabs>
        <w:tab w:val="center" w:pos="4680"/>
        <w:tab w:val="right" w:pos="9360"/>
      </w:tabs>
    </w:pPr>
  </w:style>
  <w:style w:type="character" w:customStyle="1" w:styleId="HeaderChar">
    <w:name w:val="Header Char"/>
    <w:basedOn w:val="DefaultParagraphFont"/>
    <w:link w:val="Header"/>
    <w:uiPriority w:val="99"/>
    <w:rsid w:val="001E160F"/>
  </w:style>
  <w:style w:type="paragraph" w:styleId="Footer">
    <w:name w:val="footer"/>
    <w:basedOn w:val="Normal"/>
    <w:link w:val="FooterChar"/>
    <w:uiPriority w:val="99"/>
    <w:unhideWhenUsed/>
    <w:rsid w:val="001E160F"/>
    <w:pPr>
      <w:tabs>
        <w:tab w:val="center" w:pos="4680"/>
        <w:tab w:val="right" w:pos="9360"/>
      </w:tabs>
    </w:pPr>
  </w:style>
  <w:style w:type="character" w:customStyle="1" w:styleId="FooterChar">
    <w:name w:val="Footer Char"/>
    <w:basedOn w:val="DefaultParagraphFont"/>
    <w:link w:val="Footer"/>
    <w:uiPriority w:val="99"/>
    <w:rsid w:val="001E1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764795">
      <w:bodyDiv w:val="1"/>
      <w:marLeft w:val="0"/>
      <w:marRight w:val="0"/>
      <w:marTop w:val="0"/>
      <w:marBottom w:val="0"/>
      <w:divBdr>
        <w:top w:val="none" w:sz="0" w:space="0" w:color="auto"/>
        <w:left w:val="none" w:sz="0" w:space="0" w:color="auto"/>
        <w:bottom w:val="none" w:sz="0" w:space="0" w:color="auto"/>
        <w:right w:val="none" w:sz="0" w:space="0" w:color="auto"/>
      </w:divBdr>
    </w:div>
    <w:div w:id="159758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3A1DA3-E731-42CA-B499-345DE790F871}" type="doc">
      <dgm:prSet loTypeId="urn:microsoft.com/office/officeart/2005/8/layout/hierarchy2" loCatId="hierarchy" qsTypeId="urn:microsoft.com/office/officeart/2005/8/quickstyle/simple3" qsCatId="simple" csTypeId="urn:microsoft.com/office/officeart/2005/8/colors/accent0_1" csCatId="mainScheme" phldr="1"/>
      <dgm:spPr/>
      <dgm:t>
        <a:bodyPr/>
        <a:lstStyle/>
        <a:p>
          <a:endParaRPr lang="en-US"/>
        </a:p>
      </dgm:t>
    </dgm:pt>
    <dgm:pt modelId="{3D54FC3B-AF3D-4159-B419-757B012C1D48}">
      <dgm:prSet phldrT="[Text]" custT="1"/>
      <dgm:spPr/>
      <dgm:t>
        <a:bodyPr/>
        <a:lstStyle/>
        <a:p>
          <a:pPr algn="ctr"/>
          <a:r>
            <a:rPr lang="en-US" sz="800">
              <a:latin typeface="Times New Roman" panose="02020603050405020304" pitchFamily="18" charset="0"/>
              <a:cs typeface="Times New Roman" panose="02020603050405020304" pitchFamily="18" charset="0"/>
            </a:rPr>
            <a:t>Hirer</a:t>
          </a:r>
        </a:p>
      </dgm:t>
    </dgm:pt>
    <dgm:pt modelId="{681EE166-C538-4C8A-BD4E-97EBA8FA75F7}" type="parTrans" cxnId="{B7C78F05-AA78-4C08-90E1-05778679EA83}">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161D55A6-5FF7-4690-B31A-D841D9897CFF}" type="sibTrans" cxnId="{B7C78F05-AA78-4C08-90E1-05778679EA83}">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32F1FB1C-1849-4DCD-886D-5D5AE5E466E6}">
      <dgm:prSet phldrT="[Text]" custT="1"/>
      <dgm:spPr/>
      <dgm:t>
        <a:bodyPr/>
        <a:lstStyle/>
        <a:p>
          <a:pPr algn="ctr"/>
          <a:r>
            <a:rPr lang="en-US" sz="800">
              <a:latin typeface="Times New Roman" panose="02020603050405020304" pitchFamily="18" charset="0"/>
              <a:cs typeface="Times New Roman" panose="02020603050405020304" pitchFamily="18" charset="0"/>
            </a:rPr>
            <a:t>Agent</a:t>
          </a:r>
        </a:p>
      </dgm:t>
    </dgm:pt>
    <dgm:pt modelId="{106D9991-9692-493E-965F-4D0F6D9BD6EE}" type="parTrans" cxnId="{D1F16B2F-760C-427F-AA85-8D1EC7003DD8}">
      <dgm:prSet custT="1"/>
      <dgm:spPr/>
      <dgm:t>
        <a:bodyPr/>
        <a:lstStyle/>
        <a:p>
          <a:pPr algn="ctr"/>
          <a:endParaRPr lang="en-US" sz="800">
            <a:latin typeface="Times New Roman" panose="02020603050405020304" pitchFamily="18" charset="0"/>
            <a:cs typeface="Times New Roman" panose="02020603050405020304" pitchFamily="18" charset="0"/>
          </a:endParaRPr>
        </a:p>
      </dgm:t>
    </dgm:pt>
    <dgm:pt modelId="{C27BEEE6-C25F-4F94-B7C0-368BB156BCBB}" type="sibTrans" cxnId="{D1F16B2F-760C-427F-AA85-8D1EC7003DD8}">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7D42AA29-8464-475B-A996-A175F32DF752}">
      <dgm:prSet phldrT="[Text]" custT="1"/>
      <dgm:spPr/>
      <dgm:t>
        <a:bodyPr/>
        <a:lstStyle/>
        <a:p>
          <a:pPr algn="ctr"/>
          <a:r>
            <a:rPr lang="en-US" sz="800">
              <a:latin typeface="Times New Roman" panose="02020603050405020304" pitchFamily="18" charset="0"/>
              <a:cs typeface="Times New Roman" panose="02020603050405020304" pitchFamily="18" charset="0"/>
            </a:rPr>
            <a:t>Servant (contractual and tort liability)</a:t>
          </a:r>
        </a:p>
      </dgm:t>
    </dgm:pt>
    <dgm:pt modelId="{79A96B3A-5496-43DA-8717-3DAD389245AA}" type="parTrans" cxnId="{EBCC6FE1-68F6-4812-8035-C0D87F840993}">
      <dgm:prSet custT="1"/>
      <dgm:spPr/>
      <dgm:t>
        <a:bodyPr/>
        <a:lstStyle/>
        <a:p>
          <a:pPr algn="ctr"/>
          <a:endParaRPr lang="en-US" sz="800">
            <a:latin typeface="Times New Roman" panose="02020603050405020304" pitchFamily="18" charset="0"/>
            <a:cs typeface="Times New Roman" panose="02020603050405020304" pitchFamily="18" charset="0"/>
          </a:endParaRPr>
        </a:p>
      </dgm:t>
    </dgm:pt>
    <dgm:pt modelId="{DDF3D37B-2641-4144-94A3-FA780F9112AE}" type="sibTrans" cxnId="{EBCC6FE1-68F6-4812-8035-C0D87F840993}">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3E05E433-F8C2-4897-BE4B-F2F9E2160BA1}">
      <dgm:prSet phldrT="[Text]" custT="1"/>
      <dgm:spPr/>
      <dgm:t>
        <a:bodyPr/>
        <a:lstStyle/>
        <a:p>
          <a:pPr algn="ctr"/>
          <a:r>
            <a:rPr lang="en-US" sz="800">
              <a:latin typeface="Times New Roman" panose="02020603050405020304" pitchFamily="18" charset="0"/>
              <a:cs typeface="Times New Roman" panose="02020603050405020304" pitchFamily="18" charset="0"/>
            </a:rPr>
            <a:t>Non-agent</a:t>
          </a:r>
        </a:p>
      </dgm:t>
    </dgm:pt>
    <dgm:pt modelId="{07625E04-B659-4140-93E4-9C4598C49C08}" type="parTrans" cxnId="{83B3ADBB-1E44-4685-9DB3-CA03CBACDC70}">
      <dgm:prSet custT="1"/>
      <dgm:spPr/>
      <dgm:t>
        <a:bodyPr/>
        <a:lstStyle/>
        <a:p>
          <a:pPr algn="ctr"/>
          <a:endParaRPr lang="en-US" sz="800">
            <a:latin typeface="Times New Roman" panose="02020603050405020304" pitchFamily="18" charset="0"/>
            <a:cs typeface="Times New Roman" panose="02020603050405020304" pitchFamily="18" charset="0"/>
          </a:endParaRPr>
        </a:p>
      </dgm:t>
    </dgm:pt>
    <dgm:pt modelId="{DB22EF39-49CE-4A7C-9397-9B91DB28B485}" type="sibTrans" cxnId="{83B3ADBB-1E44-4685-9DB3-CA03CBACDC70}">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6B0679B7-5754-44B7-ADA4-E2E9E6F9DD4E}">
      <dgm:prSet phldrT="[Text]" custT="1"/>
      <dgm:spPr/>
      <dgm:t>
        <a:bodyPr/>
        <a:lstStyle/>
        <a:p>
          <a:pPr algn="ctr"/>
          <a:r>
            <a:rPr lang="en-US" sz="800">
              <a:latin typeface="Times New Roman" panose="02020603050405020304" pitchFamily="18" charset="0"/>
              <a:cs typeface="Times New Roman" panose="02020603050405020304" pitchFamily="18" charset="0"/>
            </a:rPr>
            <a:t>Independent Contractor</a:t>
          </a:r>
        </a:p>
      </dgm:t>
    </dgm:pt>
    <dgm:pt modelId="{18532AE4-23B2-4D09-9016-A746280C63C8}" type="parTrans" cxnId="{82027B06-43F7-4FD5-91E0-3CC3A59EAFB3}">
      <dgm:prSet custT="1"/>
      <dgm:spPr/>
      <dgm:t>
        <a:bodyPr/>
        <a:lstStyle/>
        <a:p>
          <a:pPr algn="ctr"/>
          <a:endParaRPr lang="en-US" sz="800">
            <a:latin typeface="Times New Roman" panose="02020603050405020304" pitchFamily="18" charset="0"/>
            <a:cs typeface="Times New Roman" panose="02020603050405020304" pitchFamily="18" charset="0"/>
          </a:endParaRPr>
        </a:p>
      </dgm:t>
    </dgm:pt>
    <dgm:pt modelId="{A7A65736-0238-468C-995B-F4F4F75CDBC6}" type="sibTrans" cxnId="{82027B06-43F7-4FD5-91E0-3CC3A59EAFB3}">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B6983B9A-9A84-4630-A8DE-551E87D1AF8E}">
      <dgm:prSet phldrT="[Text]" custT="1"/>
      <dgm:spPr/>
      <dgm:t>
        <a:bodyPr/>
        <a:lstStyle/>
        <a:p>
          <a:pPr algn="ctr"/>
          <a:r>
            <a:rPr lang="en-US" sz="800">
              <a:latin typeface="Times New Roman" panose="02020603050405020304" pitchFamily="18" charset="0"/>
              <a:cs typeface="Times New Roman" panose="02020603050405020304" pitchFamily="18" charset="0"/>
            </a:rPr>
            <a:t>Independent Contractor (contractual liability)</a:t>
          </a:r>
        </a:p>
      </dgm:t>
    </dgm:pt>
    <dgm:pt modelId="{22AAB448-0BEE-485B-BC48-31A73167388E}" type="parTrans" cxnId="{73A5EA84-ED94-4052-925E-97D45456EC9C}">
      <dgm:prSet custT="1"/>
      <dgm:spPr/>
      <dgm:t>
        <a:bodyPr/>
        <a:lstStyle/>
        <a:p>
          <a:pPr algn="ctr"/>
          <a:endParaRPr lang="en-US" sz="800">
            <a:latin typeface="Times New Roman" panose="02020603050405020304" pitchFamily="18" charset="0"/>
            <a:cs typeface="Times New Roman" panose="02020603050405020304" pitchFamily="18" charset="0"/>
          </a:endParaRPr>
        </a:p>
      </dgm:t>
    </dgm:pt>
    <dgm:pt modelId="{AB5FD617-4372-4B02-9851-F457589CABFB}" type="sibTrans" cxnId="{73A5EA84-ED94-4052-925E-97D45456EC9C}">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D15B2912-E886-416D-905B-6BA63578E351}">
      <dgm:prSet phldrT="[Text]" custT="1"/>
      <dgm:spPr/>
      <dgm:t>
        <a:bodyPr/>
        <a:lstStyle/>
        <a:p>
          <a:pPr algn="ctr"/>
          <a:r>
            <a:rPr lang="en-US" sz="800">
              <a:latin typeface="Times New Roman" panose="02020603050405020304" pitchFamily="18" charset="0"/>
              <a:cs typeface="Times New Roman" panose="02020603050405020304" pitchFamily="18" charset="0"/>
            </a:rPr>
            <a:t>Other</a:t>
          </a:r>
        </a:p>
      </dgm:t>
    </dgm:pt>
    <dgm:pt modelId="{D448C703-EFCF-4C8A-88B8-B20E16D9BB00}" type="parTrans" cxnId="{C5E59D0A-0CE6-4DFF-A339-15073B516F02}">
      <dgm:prSet custT="1"/>
      <dgm:spPr/>
      <dgm:t>
        <a:bodyPr/>
        <a:lstStyle/>
        <a:p>
          <a:pPr algn="ctr"/>
          <a:endParaRPr lang="en-US" sz="800">
            <a:latin typeface="Times New Roman" panose="02020603050405020304" pitchFamily="18" charset="0"/>
            <a:cs typeface="Times New Roman" panose="02020603050405020304" pitchFamily="18" charset="0"/>
          </a:endParaRPr>
        </a:p>
      </dgm:t>
    </dgm:pt>
    <dgm:pt modelId="{FB541DB4-7E21-420B-82DE-BE89CEC0F015}" type="sibTrans" cxnId="{C5E59D0A-0CE6-4DFF-A339-15073B516F02}">
      <dgm:prSet/>
      <dgm:spPr/>
      <dgm:t>
        <a:bodyPr/>
        <a:lstStyle/>
        <a:p>
          <a:pPr algn="ctr"/>
          <a:endParaRPr lang="en-US" sz="800">
            <a:latin typeface="Times New Roman" panose="02020603050405020304" pitchFamily="18" charset="0"/>
            <a:cs typeface="Times New Roman" panose="02020603050405020304" pitchFamily="18" charset="0"/>
          </a:endParaRPr>
        </a:p>
      </dgm:t>
    </dgm:pt>
    <dgm:pt modelId="{CB7146DE-ED1A-4C8A-BA43-33DE8DDA8FB3}" type="pres">
      <dgm:prSet presAssocID="{DC3A1DA3-E731-42CA-B499-345DE790F871}" presName="diagram" presStyleCnt="0">
        <dgm:presLayoutVars>
          <dgm:chPref val="1"/>
          <dgm:dir/>
          <dgm:animOne val="branch"/>
          <dgm:animLvl val="lvl"/>
          <dgm:resizeHandles val="exact"/>
        </dgm:presLayoutVars>
      </dgm:prSet>
      <dgm:spPr/>
      <dgm:t>
        <a:bodyPr/>
        <a:lstStyle/>
        <a:p>
          <a:endParaRPr lang="en-US"/>
        </a:p>
      </dgm:t>
    </dgm:pt>
    <dgm:pt modelId="{A9E5E810-42FE-4580-810A-6BBC06BBB795}" type="pres">
      <dgm:prSet presAssocID="{3D54FC3B-AF3D-4159-B419-757B012C1D48}" presName="root1" presStyleCnt="0"/>
      <dgm:spPr/>
    </dgm:pt>
    <dgm:pt modelId="{C5B4D90D-BF43-42B5-A84F-0DAD0340A6E4}" type="pres">
      <dgm:prSet presAssocID="{3D54FC3B-AF3D-4159-B419-757B012C1D48}" presName="LevelOneTextNode" presStyleLbl="node0" presStyleIdx="0" presStyleCnt="1">
        <dgm:presLayoutVars>
          <dgm:chPref val="3"/>
        </dgm:presLayoutVars>
      </dgm:prSet>
      <dgm:spPr/>
      <dgm:t>
        <a:bodyPr/>
        <a:lstStyle/>
        <a:p>
          <a:endParaRPr lang="en-US"/>
        </a:p>
      </dgm:t>
    </dgm:pt>
    <dgm:pt modelId="{95205CCE-CDC9-49F7-8C6B-EA82A79356B6}" type="pres">
      <dgm:prSet presAssocID="{3D54FC3B-AF3D-4159-B419-757B012C1D48}" presName="level2hierChild" presStyleCnt="0"/>
      <dgm:spPr/>
    </dgm:pt>
    <dgm:pt modelId="{E18C24E5-5506-4C8A-AE5F-F720CBE9B65D}" type="pres">
      <dgm:prSet presAssocID="{106D9991-9692-493E-965F-4D0F6D9BD6EE}" presName="conn2-1" presStyleLbl="parChTrans1D2" presStyleIdx="0" presStyleCnt="2"/>
      <dgm:spPr/>
      <dgm:t>
        <a:bodyPr/>
        <a:lstStyle/>
        <a:p>
          <a:endParaRPr lang="en-US"/>
        </a:p>
      </dgm:t>
    </dgm:pt>
    <dgm:pt modelId="{4ABB466A-F395-455A-968E-5ED244D53690}" type="pres">
      <dgm:prSet presAssocID="{106D9991-9692-493E-965F-4D0F6D9BD6EE}" presName="connTx" presStyleLbl="parChTrans1D2" presStyleIdx="0" presStyleCnt="2"/>
      <dgm:spPr/>
      <dgm:t>
        <a:bodyPr/>
        <a:lstStyle/>
        <a:p>
          <a:endParaRPr lang="en-US"/>
        </a:p>
      </dgm:t>
    </dgm:pt>
    <dgm:pt modelId="{068E9E2C-6B63-4D20-8E85-2004B734A548}" type="pres">
      <dgm:prSet presAssocID="{32F1FB1C-1849-4DCD-886D-5D5AE5E466E6}" presName="root2" presStyleCnt="0"/>
      <dgm:spPr/>
    </dgm:pt>
    <dgm:pt modelId="{C3449AAE-D1F0-4796-9D8D-8192489087A6}" type="pres">
      <dgm:prSet presAssocID="{32F1FB1C-1849-4DCD-886D-5D5AE5E466E6}" presName="LevelTwoTextNode" presStyleLbl="node2" presStyleIdx="0" presStyleCnt="2">
        <dgm:presLayoutVars>
          <dgm:chPref val="3"/>
        </dgm:presLayoutVars>
      </dgm:prSet>
      <dgm:spPr/>
      <dgm:t>
        <a:bodyPr/>
        <a:lstStyle/>
        <a:p>
          <a:endParaRPr lang="en-US"/>
        </a:p>
      </dgm:t>
    </dgm:pt>
    <dgm:pt modelId="{5C6F30E5-4B82-46B1-9E54-580AD6AE1CD0}" type="pres">
      <dgm:prSet presAssocID="{32F1FB1C-1849-4DCD-886D-5D5AE5E466E6}" presName="level3hierChild" presStyleCnt="0"/>
      <dgm:spPr/>
    </dgm:pt>
    <dgm:pt modelId="{43E9E87C-3E9A-4D2C-A89E-157D04936E48}" type="pres">
      <dgm:prSet presAssocID="{79A96B3A-5496-43DA-8717-3DAD389245AA}" presName="conn2-1" presStyleLbl="parChTrans1D3" presStyleIdx="0" presStyleCnt="4"/>
      <dgm:spPr/>
      <dgm:t>
        <a:bodyPr/>
        <a:lstStyle/>
        <a:p>
          <a:endParaRPr lang="en-US"/>
        </a:p>
      </dgm:t>
    </dgm:pt>
    <dgm:pt modelId="{10293D82-4225-48EC-89BA-A531EE31F8CA}" type="pres">
      <dgm:prSet presAssocID="{79A96B3A-5496-43DA-8717-3DAD389245AA}" presName="connTx" presStyleLbl="parChTrans1D3" presStyleIdx="0" presStyleCnt="4"/>
      <dgm:spPr/>
      <dgm:t>
        <a:bodyPr/>
        <a:lstStyle/>
        <a:p>
          <a:endParaRPr lang="en-US"/>
        </a:p>
      </dgm:t>
    </dgm:pt>
    <dgm:pt modelId="{01242D4A-74ED-44DA-BC6C-23D681FA96D1}" type="pres">
      <dgm:prSet presAssocID="{7D42AA29-8464-475B-A996-A175F32DF752}" presName="root2" presStyleCnt="0"/>
      <dgm:spPr/>
    </dgm:pt>
    <dgm:pt modelId="{E47AE6C8-24B1-440E-BCBF-EE7E5D7EEBD7}" type="pres">
      <dgm:prSet presAssocID="{7D42AA29-8464-475B-A996-A175F32DF752}" presName="LevelTwoTextNode" presStyleLbl="node3" presStyleIdx="0" presStyleCnt="4" custScaleX="161897">
        <dgm:presLayoutVars>
          <dgm:chPref val="3"/>
        </dgm:presLayoutVars>
      </dgm:prSet>
      <dgm:spPr/>
      <dgm:t>
        <a:bodyPr/>
        <a:lstStyle/>
        <a:p>
          <a:endParaRPr lang="en-US"/>
        </a:p>
      </dgm:t>
    </dgm:pt>
    <dgm:pt modelId="{F5284F9A-6AAC-4EFD-9DB3-817504B5184E}" type="pres">
      <dgm:prSet presAssocID="{7D42AA29-8464-475B-A996-A175F32DF752}" presName="level3hierChild" presStyleCnt="0"/>
      <dgm:spPr/>
    </dgm:pt>
    <dgm:pt modelId="{C20240D1-0B81-41B3-B525-3945819ACF4E}" type="pres">
      <dgm:prSet presAssocID="{22AAB448-0BEE-485B-BC48-31A73167388E}" presName="conn2-1" presStyleLbl="parChTrans1D3" presStyleIdx="1" presStyleCnt="4"/>
      <dgm:spPr/>
      <dgm:t>
        <a:bodyPr/>
        <a:lstStyle/>
        <a:p>
          <a:endParaRPr lang="en-US"/>
        </a:p>
      </dgm:t>
    </dgm:pt>
    <dgm:pt modelId="{BC91080A-A77C-4650-BB02-B961CDAD3AE5}" type="pres">
      <dgm:prSet presAssocID="{22AAB448-0BEE-485B-BC48-31A73167388E}" presName="connTx" presStyleLbl="parChTrans1D3" presStyleIdx="1" presStyleCnt="4"/>
      <dgm:spPr/>
      <dgm:t>
        <a:bodyPr/>
        <a:lstStyle/>
        <a:p>
          <a:endParaRPr lang="en-US"/>
        </a:p>
      </dgm:t>
    </dgm:pt>
    <dgm:pt modelId="{4383E1D7-6F90-464F-8F19-AB2A38F36D63}" type="pres">
      <dgm:prSet presAssocID="{B6983B9A-9A84-4630-A8DE-551E87D1AF8E}" presName="root2" presStyleCnt="0"/>
      <dgm:spPr/>
    </dgm:pt>
    <dgm:pt modelId="{3C87442D-93F1-4B70-91F9-5FF5872F96BD}" type="pres">
      <dgm:prSet presAssocID="{B6983B9A-9A84-4630-A8DE-551E87D1AF8E}" presName="LevelTwoTextNode" presStyleLbl="node3" presStyleIdx="1" presStyleCnt="4" custScaleX="214474">
        <dgm:presLayoutVars>
          <dgm:chPref val="3"/>
        </dgm:presLayoutVars>
      </dgm:prSet>
      <dgm:spPr/>
      <dgm:t>
        <a:bodyPr/>
        <a:lstStyle/>
        <a:p>
          <a:endParaRPr lang="en-US"/>
        </a:p>
      </dgm:t>
    </dgm:pt>
    <dgm:pt modelId="{E226198F-1233-406C-8B65-892471E8F789}" type="pres">
      <dgm:prSet presAssocID="{B6983B9A-9A84-4630-A8DE-551E87D1AF8E}" presName="level3hierChild" presStyleCnt="0"/>
      <dgm:spPr/>
    </dgm:pt>
    <dgm:pt modelId="{6374CB21-7234-4991-94A4-421D22E65AAD}" type="pres">
      <dgm:prSet presAssocID="{07625E04-B659-4140-93E4-9C4598C49C08}" presName="conn2-1" presStyleLbl="parChTrans1D2" presStyleIdx="1" presStyleCnt="2"/>
      <dgm:spPr/>
      <dgm:t>
        <a:bodyPr/>
        <a:lstStyle/>
        <a:p>
          <a:endParaRPr lang="en-US"/>
        </a:p>
      </dgm:t>
    </dgm:pt>
    <dgm:pt modelId="{0C26AB9C-769C-455F-A526-ED0569E22297}" type="pres">
      <dgm:prSet presAssocID="{07625E04-B659-4140-93E4-9C4598C49C08}" presName="connTx" presStyleLbl="parChTrans1D2" presStyleIdx="1" presStyleCnt="2"/>
      <dgm:spPr/>
      <dgm:t>
        <a:bodyPr/>
        <a:lstStyle/>
        <a:p>
          <a:endParaRPr lang="en-US"/>
        </a:p>
      </dgm:t>
    </dgm:pt>
    <dgm:pt modelId="{2B6CEA73-367F-4E71-A553-66907F80AC71}" type="pres">
      <dgm:prSet presAssocID="{3E05E433-F8C2-4897-BE4B-F2F9E2160BA1}" presName="root2" presStyleCnt="0"/>
      <dgm:spPr/>
    </dgm:pt>
    <dgm:pt modelId="{3B17B014-F9CA-4774-9B66-362E0B1BE8D6}" type="pres">
      <dgm:prSet presAssocID="{3E05E433-F8C2-4897-BE4B-F2F9E2160BA1}" presName="LevelTwoTextNode" presStyleLbl="node2" presStyleIdx="1" presStyleCnt="2">
        <dgm:presLayoutVars>
          <dgm:chPref val="3"/>
        </dgm:presLayoutVars>
      </dgm:prSet>
      <dgm:spPr/>
      <dgm:t>
        <a:bodyPr/>
        <a:lstStyle/>
        <a:p>
          <a:endParaRPr lang="en-US"/>
        </a:p>
      </dgm:t>
    </dgm:pt>
    <dgm:pt modelId="{DDD7EDC0-024D-4D61-8A50-26382589CAB7}" type="pres">
      <dgm:prSet presAssocID="{3E05E433-F8C2-4897-BE4B-F2F9E2160BA1}" presName="level3hierChild" presStyleCnt="0"/>
      <dgm:spPr/>
    </dgm:pt>
    <dgm:pt modelId="{93E1F177-34B2-4704-8AC1-B5104C4A2BFB}" type="pres">
      <dgm:prSet presAssocID="{18532AE4-23B2-4D09-9016-A746280C63C8}" presName="conn2-1" presStyleLbl="parChTrans1D3" presStyleIdx="2" presStyleCnt="4"/>
      <dgm:spPr/>
      <dgm:t>
        <a:bodyPr/>
        <a:lstStyle/>
        <a:p>
          <a:endParaRPr lang="en-US"/>
        </a:p>
      </dgm:t>
    </dgm:pt>
    <dgm:pt modelId="{903EF700-2AE1-46F7-975E-B224B373B347}" type="pres">
      <dgm:prSet presAssocID="{18532AE4-23B2-4D09-9016-A746280C63C8}" presName="connTx" presStyleLbl="parChTrans1D3" presStyleIdx="2" presStyleCnt="4"/>
      <dgm:spPr/>
      <dgm:t>
        <a:bodyPr/>
        <a:lstStyle/>
        <a:p>
          <a:endParaRPr lang="en-US"/>
        </a:p>
      </dgm:t>
    </dgm:pt>
    <dgm:pt modelId="{F67367F4-62F8-4B66-962B-96206C0C5ED8}" type="pres">
      <dgm:prSet presAssocID="{6B0679B7-5754-44B7-ADA4-E2E9E6F9DD4E}" presName="root2" presStyleCnt="0"/>
      <dgm:spPr/>
    </dgm:pt>
    <dgm:pt modelId="{42B22EF3-CBF6-4AA8-8729-0A2B17728C62}" type="pres">
      <dgm:prSet presAssocID="{6B0679B7-5754-44B7-ADA4-E2E9E6F9DD4E}" presName="LevelTwoTextNode" presStyleLbl="node3" presStyleIdx="2" presStyleCnt="4" custScaleX="136166">
        <dgm:presLayoutVars>
          <dgm:chPref val="3"/>
        </dgm:presLayoutVars>
      </dgm:prSet>
      <dgm:spPr/>
      <dgm:t>
        <a:bodyPr/>
        <a:lstStyle/>
        <a:p>
          <a:endParaRPr lang="en-US"/>
        </a:p>
      </dgm:t>
    </dgm:pt>
    <dgm:pt modelId="{6F1E2D1A-C2C6-4C27-8906-01B7D779B2BB}" type="pres">
      <dgm:prSet presAssocID="{6B0679B7-5754-44B7-ADA4-E2E9E6F9DD4E}" presName="level3hierChild" presStyleCnt="0"/>
      <dgm:spPr/>
    </dgm:pt>
    <dgm:pt modelId="{11618078-3ABB-47AE-9DE5-165E32C7FC5C}" type="pres">
      <dgm:prSet presAssocID="{D448C703-EFCF-4C8A-88B8-B20E16D9BB00}" presName="conn2-1" presStyleLbl="parChTrans1D3" presStyleIdx="3" presStyleCnt="4"/>
      <dgm:spPr/>
      <dgm:t>
        <a:bodyPr/>
        <a:lstStyle/>
        <a:p>
          <a:endParaRPr lang="en-US"/>
        </a:p>
      </dgm:t>
    </dgm:pt>
    <dgm:pt modelId="{06306244-B1A0-4E0E-9F7A-07442D52F45D}" type="pres">
      <dgm:prSet presAssocID="{D448C703-EFCF-4C8A-88B8-B20E16D9BB00}" presName="connTx" presStyleLbl="parChTrans1D3" presStyleIdx="3" presStyleCnt="4"/>
      <dgm:spPr/>
      <dgm:t>
        <a:bodyPr/>
        <a:lstStyle/>
        <a:p>
          <a:endParaRPr lang="en-US"/>
        </a:p>
      </dgm:t>
    </dgm:pt>
    <dgm:pt modelId="{BECBE1B0-7502-441E-9F3D-0879736A5458}" type="pres">
      <dgm:prSet presAssocID="{D15B2912-E886-416D-905B-6BA63578E351}" presName="root2" presStyleCnt="0"/>
      <dgm:spPr/>
    </dgm:pt>
    <dgm:pt modelId="{097F059D-C90B-4E9D-8C1B-EF74628322EF}" type="pres">
      <dgm:prSet presAssocID="{D15B2912-E886-416D-905B-6BA63578E351}" presName="LevelTwoTextNode" presStyleLbl="node3" presStyleIdx="3" presStyleCnt="4">
        <dgm:presLayoutVars>
          <dgm:chPref val="3"/>
        </dgm:presLayoutVars>
      </dgm:prSet>
      <dgm:spPr/>
      <dgm:t>
        <a:bodyPr/>
        <a:lstStyle/>
        <a:p>
          <a:endParaRPr lang="en-US"/>
        </a:p>
      </dgm:t>
    </dgm:pt>
    <dgm:pt modelId="{4C600F8A-E9A6-42B1-AD17-578EF4791DBB}" type="pres">
      <dgm:prSet presAssocID="{D15B2912-E886-416D-905B-6BA63578E351}" presName="level3hierChild" presStyleCnt="0"/>
      <dgm:spPr/>
    </dgm:pt>
  </dgm:ptLst>
  <dgm:cxnLst>
    <dgm:cxn modelId="{1051E045-6BFF-4C74-8A56-D6E786D2C0B4}" type="presOf" srcId="{D448C703-EFCF-4C8A-88B8-B20E16D9BB00}" destId="{06306244-B1A0-4E0E-9F7A-07442D52F45D}" srcOrd="1" destOrd="0" presId="urn:microsoft.com/office/officeart/2005/8/layout/hierarchy2"/>
    <dgm:cxn modelId="{2531F7B8-E8E9-452F-8A9A-7124FA032646}" type="presOf" srcId="{7D42AA29-8464-475B-A996-A175F32DF752}" destId="{E47AE6C8-24B1-440E-BCBF-EE7E5D7EEBD7}" srcOrd="0" destOrd="0" presId="urn:microsoft.com/office/officeart/2005/8/layout/hierarchy2"/>
    <dgm:cxn modelId="{EBCC6FE1-68F6-4812-8035-C0D87F840993}" srcId="{32F1FB1C-1849-4DCD-886D-5D5AE5E466E6}" destId="{7D42AA29-8464-475B-A996-A175F32DF752}" srcOrd="0" destOrd="0" parTransId="{79A96B3A-5496-43DA-8717-3DAD389245AA}" sibTransId="{DDF3D37B-2641-4144-94A3-FA780F9112AE}"/>
    <dgm:cxn modelId="{6F165C58-7AD9-48FC-93F6-7EBA17CA67E8}" type="presOf" srcId="{D448C703-EFCF-4C8A-88B8-B20E16D9BB00}" destId="{11618078-3ABB-47AE-9DE5-165E32C7FC5C}" srcOrd="0" destOrd="0" presId="urn:microsoft.com/office/officeart/2005/8/layout/hierarchy2"/>
    <dgm:cxn modelId="{DF250B4D-EB68-4660-8D59-FCF484C3BC19}" type="presOf" srcId="{22AAB448-0BEE-485B-BC48-31A73167388E}" destId="{BC91080A-A77C-4650-BB02-B961CDAD3AE5}" srcOrd="1" destOrd="0" presId="urn:microsoft.com/office/officeart/2005/8/layout/hierarchy2"/>
    <dgm:cxn modelId="{B8B09801-F4BB-48ED-A998-4D8FC6A02AB8}" type="presOf" srcId="{D15B2912-E886-416D-905B-6BA63578E351}" destId="{097F059D-C90B-4E9D-8C1B-EF74628322EF}" srcOrd="0" destOrd="0" presId="urn:microsoft.com/office/officeart/2005/8/layout/hierarchy2"/>
    <dgm:cxn modelId="{DB4250AE-42F6-4DCD-9809-74AE0F09D121}" type="presOf" srcId="{07625E04-B659-4140-93E4-9C4598C49C08}" destId="{6374CB21-7234-4991-94A4-421D22E65AAD}" srcOrd="0" destOrd="0" presId="urn:microsoft.com/office/officeart/2005/8/layout/hierarchy2"/>
    <dgm:cxn modelId="{50F8EFD3-E8D9-4B95-87E4-536B200CC6A2}" type="presOf" srcId="{3E05E433-F8C2-4897-BE4B-F2F9E2160BA1}" destId="{3B17B014-F9CA-4774-9B66-362E0B1BE8D6}" srcOrd="0" destOrd="0" presId="urn:microsoft.com/office/officeart/2005/8/layout/hierarchy2"/>
    <dgm:cxn modelId="{EEE14DDA-CD43-4CF0-899D-BF2456A1886D}" type="presOf" srcId="{106D9991-9692-493E-965F-4D0F6D9BD6EE}" destId="{E18C24E5-5506-4C8A-AE5F-F720CBE9B65D}" srcOrd="0" destOrd="0" presId="urn:microsoft.com/office/officeart/2005/8/layout/hierarchy2"/>
    <dgm:cxn modelId="{AC0F7B32-58E4-4ECC-9CEC-A4323FAB39DC}" type="presOf" srcId="{6B0679B7-5754-44B7-ADA4-E2E9E6F9DD4E}" destId="{42B22EF3-CBF6-4AA8-8729-0A2B17728C62}" srcOrd="0" destOrd="0" presId="urn:microsoft.com/office/officeart/2005/8/layout/hierarchy2"/>
    <dgm:cxn modelId="{B909F6DD-A193-46EE-8612-CBB62104A74A}" type="presOf" srcId="{106D9991-9692-493E-965F-4D0F6D9BD6EE}" destId="{4ABB466A-F395-455A-968E-5ED244D53690}" srcOrd="1" destOrd="0" presId="urn:microsoft.com/office/officeart/2005/8/layout/hierarchy2"/>
    <dgm:cxn modelId="{B7C78F05-AA78-4C08-90E1-05778679EA83}" srcId="{DC3A1DA3-E731-42CA-B499-345DE790F871}" destId="{3D54FC3B-AF3D-4159-B419-757B012C1D48}" srcOrd="0" destOrd="0" parTransId="{681EE166-C538-4C8A-BD4E-97EBA8FA75F7}" sibTransId="{161D55A6-5FF7-4690-B31A-D841D9897CFF}"/>
    <dgm:cxn modelId="{789B3D36-7F36-4F5E-BA91-6CA79564D9CF}" type="presOf" srcId="{3D54FC3B-AF3D-4159-B419-757B012C1D48}" destId="{C5B4D90D-BF43-42B5-A84F-0DAD0340A6E4}" srcOrd="0" destOrd="0" presId="urn:microsoft.com/office/officeart/2005/8/layout/hierarchy2"/>
    <dgm:cxn modelId="{1D489CED-9167-4DAC-BD95-DC4749A09663}" type="presOf" srcId="{79A96B3A-5496-43DA-8717-3DAD389245AA}" destId="{43E9E87C-3E9A-4D2C-A89E-157D04936E48}" srcOrd="0" destOrd="0" presId="urn:microsoft.com/office/officeart/2005/8/layout/hierarchy2"/>
    <dgm:cxn modelId="{C5E59D0A-0CE6-4DFF-A339-15073B516F02}" srcId="{3E05E433-F8C2-4897-BE4B-F2F9E2160BA1}" destId="{D15B2912-E886-416D-905B-6BA63578E351}" srcOrd="1" destOrd="0" parTransId="{D448C703-EFCF-4C8A-88B8-B20E16D9BB00}" sibTransId="{FB541DB4-7E21-420B-82DE-BE89CEC0F015}"/>
    <dgm:cxn modelId="{29F10CCF-28EE-4BC4-84B0-1015767031E6}" type="presOf" srcId="{79A96B3A-5496-43DA-8717-3DAD389245AA}" destId="{10293D82-4225-48EC-89BA-A531EE31F8CA}" srcOrd="1" destOrd="0" presId="urn:microsoft.com/office/officeart/2005/8/layout/hierarchy2"/>
    <dgm:cxn modelId="{73A5EA84-ED94-4052-925E-97D45456EC9C}" srcId="{32F1FB1C-1849-4DCD-886D-5D5AE5E466E6}" destId="{B6983B9A-9A84-4630-A8DE-551E87D1AF8E}" srcOrd="1" destOrd="0" parTransId="{22AAB448-0BEE-485B-BC48-31A73167388E}" sibTransId="{AB5FD617-4372-4B02-9851-F457589CABFB}"/>
    <dgm:cxn modelId="{A78641FC-AD62-4FA3-8979-19170F6E78C3}" type="presOf" srcId="{18532AE4-23B2-4D09-9016-A746280C63C8}" destId="{93E1F177-34B2-4704-8AC1-B5104C4A2BFB}" srcOrd="0" destOrd="0" presId="urn:microsoft.com/office/officeart/2005/8/layout/hierarchy2"/>
    <dgm:cxn modelId="{D1F16B2F-760C-427F-AA85-8D1EC7003DD8}" srcId="{3D54FC3B-AF3D-4159-B419-757B012C1D48}" destId="{32F1FB1C-1849-4DCD-886D-5D5AE5E466E6}" srcOrd="0" destOrd="0" parTransId="{106D9991-9692-493E-965F-4D0F6D9BD6EE}" sibTransId="{C27BEEE6-C25F-4F94-B7C0-368BB156BCBB}"/>
    <dgm:cxn modelId="{42DBEEB7-4241-4EC5-8A63-C526EFC1D455}" type="presOf" srcId="{22AAB448-0BEE-485B-BC48-31A73167388E}" destId="{C20240D1-0B81-41B3-B525-3945819ACF4E}" srcOrd="0" destOrd="0" presId="urn:microsoft.com/office/officeart/2005/8/layout/hierarchy2"/>
    <dgm:cxn modelId="{83B3ADBB-1E44-4685-9DB3-CA03CBACDC70}" srcId="{3D54FC3B-AF3D-4159-B419-757B012C1D48}" destId="{3E05E433-F8C2-4897-BE4B-F2F9E2160BA1}" srcOrd="1" destOrd="0" parTransId="{07625E04-B659-4140-93E4-9C4598C49C08}" sibTransId="{DB22EF39-49CE-4A7C-9397-9B91DB28B485}"/>
    <dgm:cxn modelId="{F6DFCF29-D88C-40A8-B417-139F647E8477}" type="presOf" srcId="{18532AE4-23B2-4D09-9016-A746280C63C8}" destId="{903EF700-2AE1-46F7-975E-B224B373B347}" srcOrd="1" destOrd="0" presId="urn:microsoft.com/office/officeart/2005/8/layout/hierarchy2"/>
    <dgm:cxn modelId="{82027B06-43F7-4FD5-91E0-3CC3A59EAFB3}" srcId="{3E05E433-F8C2-4897-BE4B-F2F9E2160BA1}" destId="{6B0679B7-5754-44B7-ADA4-E2E9E6F9DD4E}" srcOrd="0" destOrd="0" parTransId="{18532AE4-23B2-4D09-9016-A746280C63C8}" sibTransId="{A7A65736-0238-468C-995B-F4F4F75CDBC6}"/>
    <dgm:cxn modelId="{F7F93DA2-FC1E-4AA3-A9AE-13FFA9F06AE7}" type="presOf" srcId="{DC3A1DA3-E731-42CA-B499-345DE790F871}" destId="{CB7146DE-ED1A-4C8A-BA43-33DE8DDA8FB3}" srcOrd="0" destOrd="0" presId="urn:microsoft.com/office/officeart/2005/8/layout/hierarchy2"/>
    <dgm:cxn modelId="{CCE653EB-DC29-48BC-B8DB-F54E4E1FD901}" type="presOf" srcId="{32F1FB1C-1849-4DCD-886D-5D5AE5E466E6}" destId="{C3449AAE-D1F0-4796-9D8D-8192489087A6}" srcOrd="0" destOrd="0" presId="urn:microsoft.com/office/officeart/2005/8/layout/hierarchy2"/>
    <dgm:cxn modelId="{E4A9DA7C-089E-43B6-90C9-4BE8A5B6743A}" type="presOf" srcId="{B6983B9A-9A84-4630-A8DE-551E87D1AF8E}" destId="{3C87442D-93F1-4B70-91F9-5FF5872F96BD}" srcOrd="0" destOrd="0" presId="urn:microsoft.com/office/officeart/2005/8/layout/hierarchy2"/>
    <dgm:cxn modelId="{678C5FD1-101F-4F65-83D4-5DCB106FA5B4}" type="presOf" srcId="{07625E04-B659-4140-93E4-9C4598C49C08}" destId="{0C26AB9C-769C-455F-A526-ED0569E22297}" srcOrd="1" destOrd="0" presId="urn:microsoft.com/office/officeart/2005/8/layout/hierarchy2"/>
    <dgm:cxn modelId="{5B4D3C52-4017-49C7-8BE7-848911563DD4}" type="presParOf" srcId="{CB7146DE-ED1A-4C8A-BA43-33DE8DDA8FB3}" destId="{A9E5E810-42FE-4580-810A-6BBC06BBB795}" srcOrd="0" destOrd="0" presId="urn:microsoft.com/office/officeart/2005/8/layout/hierarchy2"/>
    <dgm:cxn modelId="{2E914BF7-D407-4231-BEEB-938238CE02E3}" type="presParOf" srcId="{A9E5E810-42FE-4580-810A-6BBC06BBB795}" destId="{C5B4D90D-BF43-42B5-A84F-0DAD0340A6E4}" srcOrd="0" destOrd="0" presId="urn:microsoft.com/office/officeart/2005/8/layout/hierarchy2"/>
    <dgm:cxn modelId="{16F3E137-C266-4B73-9FF0-942E9CA802DE}" type="presParOf" srcId="{A9E5E810-42FE-4580-810A-6BBC06BBB795}" destId="{95205CCE-CDC9-49F7-8C6B-EA82A79356B6}" srcOrd="1" destOrd="0" presId="urn:microsoft.com/office/officeart/2005/8/layout/hierarchy2"/>
    <dgm:cxn modelId="{5C221617-BA0A-48DB-84AF-147CD0CAE71B}" type="presParOf" srcId="{95205CCE-CDC9-49F7-8C6B-EA82A79356B6}" destId="{E18C24E5-5506-4C8A-AE5F-F720CBE9B65D}" srcOrd="0" destOrd="0" presId="urn:microsoft.com/office/officeart/2005/8/layout/hierarchy2"/>
    <dgm:cxn modelId="{86627A6E-5C28-46A1-8AC7-82705CFA327C}" type="presParOf" srcId="{E18C24E5-5506-4C8A-AE5F-F720CBE9B65D}" destId="{4ABB466A-F395-455A-968E-5ED244D53690}" srcOrd="0" destOrd="0" presId="urn:microsoft.com/office/officeart/2005/8/layout/hierarchy2"/>
    <dgm:cxn modelId="{19E1E22B-D127-413C-B8AF-6F63D679B71E}" type="presParOf" srcId="{95205CCE-CDC9-49F7-8C6B-EA82A79356B6}" destId="{068E9E2C-6B63-4D20-8E85-2004B734A548}" srcOrd="1" destOrd="0" presId="urn:microsoft.com/office/officeart/2005/8/layout/hierarchy2"/>
    <dgm:cxn modelId="{FA2FEDA1-0FDD-4755-9966-7C9A3D679E0B}" type="presParOf" srcId="{068E9E2C-6B63-4D20-8E85-2004B734A548}" destId="{C3449AAE-D1F0-4796-9D8D-8192489087A6}" srcOrd="0" destOrd="0" presId="urn:microsoft.com/office/officeart/2005/8/layout/hierarchy2"/>
    <dgm:cxn modelId="{88068DF2-E3FA-45EA-8444-A11AC04329E7}" type="presParOf" srcId="{068E9E2C-6B63-4D20-8E85-2004B734A548}" destId="{5C6F30E5-4B82-46B1-9E54-580AD6AE1CD0}" srcOrd="1" destOrd="0" presId="urn:microsoft.com/office/officeart/2005/8/layout/hierarchy2"/>
    <dgm:cxn modelId="{A1E678FA-FCE7-4B7A-A57C-A116FFD2767D}" type="presParOf" srcId="{5C6F30E5-4B82-46B1-9E54-580AD6AE1CD0}" destId="{43E9E87C-3E9A-4D2C-A89E-157D04936E48}" srcOrd="0" destOrd="0" presId="urn:microsoft.com/office/officeart/2005/8/layout/hierarchy2"/>
    <dgm:cxn modelId="{98B50247-D915-4985-80D6-72C48F204BC9}" type="presParOf" srcId="{43E9E87C-3E9A-4D2C-A89E-157D04936E48}" destId="{10293D82-4225-48EC-89BA-A531EE31F8CA}" srcOrd="0" destOrd="0" presId="urn:microsoft.com/office/officeart/2005/8/layout/hierarchy2"/>
    <dgm:cxn modelId="{EEDF2DB4-3FD6-4D58-9780-5740490BA0B1}" type="presParOf" srcId="{5C6F30E5-4B82-46B1-9E54-580AD6AE1CD0}" destId="{01242D4A-74ED-44DA-BC6C-23D681FA96D1}" srcOrd="1" destOrd="0" presId="urn:microsoft.com/office/officeart/2005/8/layout/hierarchy2"/>
    <dgm:cxn modelId="{F0290A3D-3B4D-493E-AFB7-A92B5DC805E7}" type="presParOf" srcId="{01242D4A-74ED-44DA-BC6C-23D681FA96D1}" destId="{E47AE6C8-24B1-440E-BCBF-EE7E5D7EEBD7}" srcOrd="0" destOrd="0" presId="urn:microsoft.com/office/officeart/2005/8/layout/hierarchy2"/>
    <dgm:cxn modelId="{AC7675D4-205C-4388-9C1E-BC5FE6ECCE81}" type="presParOf" srcId="{01242D4A-74ED-44DA-BC6C-23D681FA96D1}" destId="{F5284F9A-6AAC-4EFD-9DB3-817504B5184E}" srcOrd="1" destOrd="0" presId="urn:microsoft.com/office/officeart/2005/8/layout/hierarchy2"/>
    <dgm:cxn modelId="{B36E4934-D7EF-42D7-9EB8-E126FD6F4E05}" type="presParOf" srcId="{5C6F30E5-4B82-46B1-9E54-580AD6AE1CD0}" destId="{C20240D1-0B81-41B3-B525-3945819ACF4E}" srcOrd="2" destOrd="0" presId="urn:microsoft.com/office/officeart/2005/8/layout/hierarchy2"/>
    <dgm:cxn modelId="{130E8C54-8E54-42CC-A6D2-671F09432D8B}" type="presParOf" srcId="{C20240D1-0B81-41B3-B525-3945819ACF4E}" destId="{BC91080A-A77C-4650-BB02-B961CDAD3AE5}" srcOrd="0" destOrd="0" presId="urn:microsoft.com/office/officeart/2005/8/layout/hierarchy2"/>
    <dgm:cxn modelId="{8FE6F051-1D27-47C0-8155-55B54152FD8C}" type="presParOf" srcId="{5C6F30E5-4B82-46B1-9E54-580AD6AE1CD0}" destId="{4383E1D7-6F90-464F-8F19-AB2A38F36D63}" srcOrd="3" destOrd="0" presId="urn:microsoft.com/office/officeart/2005/8/layout/hierarchy2"/>
    <dgm:cxn modelId="{A431B42A-D424-48E8-93C7-5EE1694EEE3F}" type="presParOf" srcId="{4383E1D7-6F90-464F-8F19-AB2A38F36D63}" destId="{3C87442D-93F1-4B70-91F9-5FF5872F96BD}" srcOrd="0" destOrd="0" presId="urn:microsoft.com/office/officeart/2005/8/layout/hierarchy2"/>
    <dgm:cxn modelId="{AB7BB7F9-47D9-4311-9A8E-4C556B7A8095}" type="presParOf" srcId="{4383E1D7-6F90-464F-8F19-AB2A38F36D63}" destId="{E226198F-1233-406C-8B65-892471E8F789}" srcOrd="1" destOrd="0" presId="urn:microsoft.com/office/officeart/2005/8/layout/hierarchy2"/>
    <dgm:cxn modelId="{CB94423B-AD6B-488C-BD4A-57FD146C66DF}" type="presParOf" srcId="{95205CCE-CDC9-49F7-8C6B-EA82A79356B6}" destId="{6374CB21-7234-4991-94A4-421D22E65AAD}" srcOrd="2" destOrd="0" presId="urn:microsoft.com/office/officeart/2005/8/layout/hierarchy2"/>
    <dgm:cxn modelId="{E610941C-3527-4427-A2E3-6BCA9EB8F691}" type="presParOf" srcId="{6374CB21-7234-4991-94A4-421D22E65AAD}" destId="{0C26AB9C-769C-455F-A526-ED0569E22297}" srcOrd="0" destOrd="0" presId="urn:microsoft.com/office/officeart/2005/8/layout/hierarchy2"/>
    <dgm:cxn modelId="{97154E3E-03AB-43D5-A3CB-042C3A9FC6E7}" type="presParOf" srcId="{95205CCE-CDC9-49F7-8C6B-EA82A79356B6}" destId="{2B6CEA73-367F-4E71-A553-66907F80AC71}" srcOrd="3" destOrd="0" presId="urn:microsoft.com/office/officeart/2005/8/layout/hierarchy2"/>
    <dgm:cxn modelId="{5B23EED4-0DC9-49C0-8574-4182B6E403CC}" type="presParOf" srcId="{2B6CEA73-367F-4E71-A553-66907F80AC71}" destId="{3B17B014-F9CA-4774-9B66-362E0B1BE8D6}" srcOrd="0" destOrd="0" presId="urn:microsoft.com/office/officeart/2005/8/layout/hierarchy2"/>
    <dgm:cxn modelId="{042CF4F1-89F3-4466-9267-A192B48C6BA4}" type="presParOf" srcId="{2B6CEA73-367F-4E71-A553-66907F80AC71}" destId="{DDD7EDC0-024D-4D61-8A50-26382589CAB7}" srcOrd="1" destOrd="0" presId="urn:microsoft.com/office/officeart/2005/8/layout/hierarchy2"/>
    <dgm:cxn modelId="{88FFF79D-6C1F-4783-A6EB-FD32E08D56DA}" type="presParOf" srcId="{DDD7EDC0-024D-4D61-8A50-26382589CAB7}" destId="{93E1F177-34B2-4704-8AC1-B5104C4A2BFB}" srcOrd="0" destOrd="0" presId="urn:microsoft.com/office/officeart/2005/8/layout/hierarchy2"/>
    <dgm:cxn modelId="{56557258-CA63-4F9F-991E-3B2EC594BEE2}" type="presParOf" srcId="{93E1F177-34B2-4704-8AC1-B5104C4A2BFB}" destId="{903EF700-2AE1-46F7-975E-B224B373B347}" srcOrd="0" destOrd="0" presId="urn:microsoft.com/office/officeart/2005/8/layout/hierarchy2"/>
    <dgm:cxn modelId="{2B2EE722-ED56-49E9-813E-E2DE26212627}" type="presParOf" srcId="{DDD7EDC0-024D-4D61-8A50-26382589CAB7}" destId="{F67367F4-62F8-4B66-962B-96206C0C5ED8}" srcOrd="1" destOrd="0" presId="urn:microsoft.com/office/officeart/2005/8/layout/hierarchy2"/>
    <dgm:cxn modelId="{FC73EE64-E16B-4D3E-B9AD-9D8F8D301E8C}" type="presParOf" srcId="{F67367F4-62F8-4B66-962B-96206C0C5ED8}" destId="{42B22EF3-CBF6-4AA8-8729-0A2B17728C62}" srcOrd="0" destOrd="0" presId="urn:microsoft.com/office/officeart/2005/8/layout/hierarchy2"/>
    <dgm:cxn modelId="{A4EB5289-C149-406A-8099-594A368197C2}" type="presParOf" srcId="{F67367F4-62F8-4B66-962B-96206C0C5ED8}" destId="{6F1E2D1A-C2C6-4C27-8906-01B7D779B2BB}" srcOrd="1" destOrd="0" presId="urn:microsoft.com/office/officeart/2005/8/layout/hierarchy2"/>
    <dgm:cxn modelId="{E1E4773D-0919-4E06-89B4-63C6D7905E6F}" type="presParOf" srcId="{DDD7EDC0-024D-4D61-8A50-26382589CAB7}" destId="{11618078-3ABB-47AE-9DE5-165E32C7FC5C}" srcOrd="2" destOrd="0" presId="urn:microsoft.com/office/officeart/2005/8/layout/hierarchy2"/>
    <dgm:cxn modelId="{4FC62F30-1C20-4E65-AAC1-0FB5CB488C47}" type="presParOf" srcId="{11618078-3ABB-47AE-9DE5-165E32C7FC5C}" destId="{06306244-B1A0-4E0E-9F7A-07442D52F45D}" srcOrd="0" destOrd="0" presId="urn:microsoft.com/office/officeart/2005/8/layout/hierarchy2"/>
    <dgm:cxn modelId="{D9CA8ADF-24F8-40E8-AA90-DC8A2CDC450A}" type="presParOf" srcId="{DDD7EDC0-024D-4D61-8A50-26382589CAB7}" destId="{BECBE1B0-7502-441E-9F3D-0879736A5458}" srcOrd="3" destOrd="0" presId="urn:microsoft.com/office/officeart/2005/8/layout/hierarchy2"/>
    <dgm:cxn modelId="{86358D36-4EA3-42FC-AFE6-4110D3E5905A}" type="presParOf" srcId="{BECBE1B0-7502-441E-9F3D-0879736A5458}" destId="{097F059D-C90B-4E9D-8C1B-EF74628322EF}" srcOrd="0" destOrd="0" presId="urn:microsoft.com/office/officeart/2005/8/layout/hierarchy2"/>
    <dgm:cxn modelId="{8F3A6342-E242-41FA-B537-5C1B0C4DD9C5}" type="presParOf" srcId="{BECBE1B0-7502-441E-9F3D-0879736A5458}" destId="{4C600F8A-E9A6-42B1-AD17-578EF4791DBB}"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3A1DA3-E731-42CA-B499-345DE790F871}" type="doc">
      <dgm:prSet loTypeId="urn:microsoft.com/office/officeart/2005/8/layout/hierarchy2" loCatId="hierarchy" qsTypeId="urn:microsoft.com/office/officeart/2005/8/quickstyle/simple3" qsCatId="simple" csTypeId="urn:microsoft.com/office/officeart/2005/8/colors/accent0_1" csCatId="mainScheme" phldr="1"/>
      <dgm:spPr/>
      <dgm:t>
        <a:bodyPr/>
        <a:lstStyle/>
        <a:p>
          <a:endParaRPr lang="en-US"/>
        </a:p>
      </dgm:t>
    </dgm:pt>
    <dgm:pt modelId="{3D54FC3B-AF3D-4159-B419-757B012C1D48}">
      <dgm:prSet phldrT="[Text]" custT="1"/>
      <dgm:spPr/>
      <dgm:t>
        <a:bodyPr/>
        <a:lstStyle/>
        <a:p>
          <a:r>
            <a:rPr lang="en-US" sz="800">
              <a:latin typeface="Times New Roman" panose="02020603050405020304" pitchFamily="18" charset="0"/>
              <a:cs typeface="Times New Roman" panose="02020603050405020304" pitchFamily="18" charset="0"/>
            </a:rPr>
            <a:t>Suit</a:t>
          </a:r>
        </a:p>
      </dgm:t>
    </dgm:pt>
    <dgm:pt modelId="{681EE166-C538-4C8A-BD4E-97EBA8FA75F7}" type="parTrans" cxnId="{B7C78F05-AA78-4C08-90E1-05778679EA83}">
      <dgm:prSet/>
      <dgm:spPr/>
      <dgm:t>
        <a:bodyPr/>
        <a:lstStyle/>
        <a:p>
          <a:endParaRPr lang="en-US" sz="800">
            <a:latin typeface="Times New Roman" panose="02020603050405020304" pitchFamily="18" charset="0"/>
            <a:cs typeface="Times New Roman" panose="02020603050405020304" pitchFamily="18" charset="0"/>
          </a:endParaRPr>
        </a:p>
      </dgm:t>
    </dgm:pt>
    <dgm:pt modelId="{161D55A6-5FF7-4690-B31A-D841D9897CFF}" type="sibTrans" cxnId="{B7C78F05-AA78-4C08-90E1-05778679EA83}">
      <dgm:prSet/>
      <dgm:spPr/>
      <dgm:t>
        <a:bodyPr/>
        <a:lstStyle/>
        <a:p>
          <a:endParaRPr lang="en-US" sz="800">
            <a:latin typeface="Times New Roman" panose="02020603050405020304" pitchFamily="18" charset="0"/>
            <a:cs typeface="Times New Roman" panose="02020603050405020304" pitchFamily="18" charset="0"/>
          </a:endParaRPr>
        </a:p>
      </dgm:t>
    </dgm:pt>
    <dgm:pt modelId="{32F1FB1C-1849-4DCD-886D-5D5AE5E466E6}">
      <dgm:prSet phldrT="[Text]" custT="1"/>
      <dgm:spPr/>
      <dgm:t>
        <a:bodyPr/>
        <a:lstStyle/>
        <a:p>
          <a:r>
            <a:rPr lang="en-US" sz="800">
              <a:latin typeface="Times New Roman" panose="02020603050405020304" pitchFamily="18" charset="0"/>
              <a:cs typeface="Times New Roman" panose="02020603050405020304" pitchFamily="18" charset="0"/>
            </a:rPr>
            <a:t>Demand</a:t>
          </a:r>
        </a:p>
      </dgm:t>
    </dgm:pt>
    <dgm:pt modelId="{106D9991-9692-493E-965F-4D0F6D9BD6EE}" type="parTrans" cxnId="{D1F16B2F-760C-427F-AA85-8D1EC7003DD8}">
      <dgm:prSet custT="1"/>
      <dgm:spPr/>
      <dgm:t>
        <a:bodyPr/>
        <a:lstStyle/>
        <a:p>
          <a:endParaRPr lang="en-US" sz="800">
            <a:latin typeface="Times New Roman" panose="02020603050405020304" pitchFamily="18" charset="0"/>
            <a:cs typeface="Times New Roman" panose="02020603050405020304" pitchFamily="18" charset="0"/>
          </a:endParaRPr>
        </a:p>
      </dgm:t>
    </dgm:pt>
    <dgm:pt modelId="{C27BEEE6-C25F-4F94-B7C0-368BB156BCBB}" type="sibTrans" cxnId="{D1F16B2F-760C-427F-AA85-8D1EC7003DD8}">
      <dgm:prSet/>
      <dgm:spPr/>
      <dgm:t>
        <a:bodyPr/>
        <a:lstStyle/>
        <a:p>
          <a:endParaRPr lang="en-US" sz="800">
            <a:latin typeface="Times New Roman" panose="02020603050405020304" pitchFamily="18" charset="0"/>
            <a:cs typeface="Times New Roman" panose="02020603050405020304" pitchFamily="18" charset="0"/>
          </a:endParaRPr>
        </a:p>
      </dgm:t>
    </dgm:pt>
    <dgm:pt modelId="{7D42AA29-8464-475B-A996-A175F32DF752}">
      <dgm:prSet phldrT="[Text]" custT="1"/>
      <dgm:spPr/>
      <dgm:t>
        <a:bodyPr/>
        <a:lstStyle/>
        <a:p>
          <a:r>
            <a:rPr lang="en-US" sz="800">
              <a:latin typeface="Times New Roman" panose="02020603050405020304" pitchFamily="18" charset="0"/>
              <a:cs typeface="Times New Roman" panose="02020603050405020304" pitchFamily="18" charset="0"/>
            </a:rPr>
            <a:t>Modified BJR</a:t>
          </a:r>
        </a:p>
      </dgm:t>
    </dgm:pt>
    <dgm:pt modelId="{79A96B3A-5496-43DA-8717-3DAD389245AA}" type="parTrans" cxnId="{EBCC6FE1-68F6-4812-8035-C0D87F840993}">
      <dgm:prSet custT="1"/>
      <dgm:spPr/>
      <dgm:t>
        <a:bodyPr/>
        <a:lstStyle/>
        <a:p>
          <a:r>
            <a:rPr lang="en-US" sz="800">
              <a:latin typeface="Times New Roman" panose="02020603050405020304" pitchFamily="18" charset="0"/>
              <a:cs typeface="Times New Roman" panose="02020603050405020304" pitchFamily="18" charset="0"/>
            </a:rPr>
            <a:t>Board Refuses</a:t>
          </a:r>
        </a:p>
      </dgm:t>
    </dgm:pt>
    <dgm:pt modelId="{DDF3D37B-2641-4144-94A3-FA780F9112AE}" type="sibTrans" cxnId="{EBCC6FE1-68F6-4812-8035-C0D87F840993}">
      <dgm:prSet/>
      <dgm:spPr/>
      <dgm:t>
        <a:bodyPr/>
        <a:lstStyle/>
        <a:p>
          <a:endParaRPr lang="en-US" sz="800">
            <a:latin typeface="Times New Roman" panose="02020603050405020304" pitchFamily="18" charset="0"/>
            <a:cs typeface="Times New Roman" panose="02020603050405020304" pitchFamily="18" charset="0"/>
          </a:endParaRPr>
        </a:p>
      </dgm:t>
    </dgm:pt>
    <dgm:pt modelId="{3E05E433-F8C2-4897-BE4B-F2F9E2160BA1}">
      <dgm:prSet phldrT="[Text]" custT="1"/>
      <dgm:spPr/>
      <dgm:t>
        <a:bodyPr/>
        <a:lstStyle/>
        <a:p>
          <a:r>
            <a:rPr lang="en-US" sz="800">
              <a:latin typeface="Times New Roman" panose="02020603050405020304" pitchFamily="18" charset="0"/>
              <a:cs typeface="Times New Roman" panose="02020603050405020304" pitchFamily="18" charset="0"/>
            </a:rPr>
            <a:t>No Demand</a:t>
          </a:r>
        </a:p>
      </dgm:t>
    </dgm:pt>
    <dgm:pt modelId="{07625E04-B659-4140-93E4-9C4598C49C08}" type="parTrans" cxnId="{83B3ADBB-1E44-4685-9DB3-CA03CBACDC70}">
      <dgm:prSet custT="1"/>
      <dgm:spPr/>
      <dgm:t>
        <a:bodyPr/>
        <a:lstStyle/>
        <a:p>
          <a:endParaRPr lang="en-US" sz="800">
            <a:latin typeface="Times New Roman" panose="02020603050405020304" pitchFamily="18" charset="0"/>
            <a:cs typeface="Times New Roman" panose="02020603050405020304" pitchFamily="18" charset="0"/>
          </a:endParaRPr>
        </a:p>
      </dgm:t>
    </dgm:pt>
    <dgm:pt modelId="{DB22EF39-49CE-4A7C-9397-9B91DB28B485}" type="sibTrans" cxnId="{83B3ADBB-1E44-4685-9DB3-CA03CBACDC70}">
      <dgm:prSet/>
      <dgm:spPr/>
      <dgm:t>
        <a:bodyPr/>
        <a:lstStyle/>
        <a:p>
          <a:endParaRPr lang="en-US" sz="800">
            <a:latin typeface="Times New Roman" panose="02020603050405020304" pitchFamily="18" charset="0"/>
            <a:cs typeface="Times New Roman" panose="02020603050405020304" pitchFamily="18" charset="0"/>
          </a:endParaRPr>
        </a:p>
      </dgm:t>
    </dgm:pt>
    <dgm:pt modelId="{6B0679B7-5754-44B7-ADA4-E2E9E6F9DD4E}">
      <dgm:prSet phldrT="[Text]" custT="1"/>
      <dgm:spPr/>
      <dgm:t>
        <a:bodyPr/>
        <a:lstStyle/>
        <a:p>
          <a:r>
            <a:rPr lang="en-US" sz="800">
              <a:latin typeface="Times New Roman" panose="02020603050405020304" pitchFamily="18" charset="0"/>
              <a:cs typeface="Times New Roman" panose="02020603050405020304" pitchFamily="18" charset="0"/>
            </a:rPr>
            <a:t>Suit Proceeds</a:t>
          </a:r>
        </a:p>
      </dgm:t>
    </dgm:pt>
    <dgm:pt modelId="{18532AE4-23B2-4D09-9016-A746280C63C8}" type="parTrans" cxnId="{82027B06-43F7-4FD5-91E0-3CC3A59EAFB3}">
      <dgm:prSet custT="1"/>
      <dgm:spPr/>
      <dgm:t>
        <a:bodyPr/>
        <a:lstStyle/>
        <a:p>
          <a:r>
            <a:rPr lang="en-US" sz="800">
              <a:latin typeface="Times New Roman" panose="02020603050405020304" pitchFamily="18" charset="0"/>
              <a:cs typeface="Times New Roman" panose="02020603050405020304" pitchFamily="18" charset="0"/>
            </a:rPr>
            <a:t>Demand Excused</a:t>
          </a:r>
        </a:p>
      </dgm:t>
    </dgm:pt>
    <dgm:pt modelId="{A7A65736-0238-468C-995B-F4F4F75CDBC6}" type="sibTrans" cxnId="{82027B06-43F7-4FD5-91E0-3CC3A59EAFB3}">
      <dgm:prSet/>
      <dgm:spPr/>
      <dgm:t>
        <a:bodyPr/>
        <a:lstStyle/>
        <a:p>
          <a:endParaRPr lang="en-US" sz="800">
            <a:latin typeface="Times New Roman" panose="02020603050405020304" pitchFamily="18" charset="0"/>
            <a:cs typeface="Times New Roman" panose="02020603050405020304" pitchFamily="18" charset="0"/>
          </a:endParaRPr>
        </a:p>
      </dgm:t>
    </dgm:pt>
    <dgm:pt modelId="{B6983B9A-9A84-4630-A8DE-551E87D1AF8E}">
      <dgm:prSet phldrT="[Text]" custT="1"/>
      <dgm:spPr/>
      <dgm:t>
        <a:bodyPr/>
        <a:lstStyle/>
        <a:p>
          <a:r>
            <a:rPr lang="en-US" sz="800">
              <a:latin typeface="Times New Roman" panose="02020603050405020304" pitchFamily="18" charset="0"/>
              <a:cs typeface="Times New Roman" panose="02020603050405020304" pitchFamily="18" charset="0"/>
            </a:rPr>
            <a:t>Corporation Sues</a:t>
          </a:r>
        </a:p>
      </dgm:t>
    </dgm:pt>
    <dgm:pt modelId="{22AAB448-0BEE-485B-BC48-31A73167388E}" type="parTrans" cxnId="{73A5EA84-ED94-4052-925E-97D45456EC9C}">
      <dgm:prSet custT="1"/>
      <dgm:spPr/>
      <dgm:t>
        <a:bodyPr/>
        <a:lstStyle/>
        <a:p>
          <a:r>
            <a:rPr lang="en-US" sz="800">
              <a:latin typeface="Times New Roman" panose="02020603050405020304" pitchFamily="18" charset="0"/>
              <a:cs typeface="Times New Roman" panose="02020603050405020304" pitchFamily="18" charset="0"/>
            </a:rPr>
            <a:t>Board does not refuse</a:t>
          </a:r>
        </a:p>
      </dgm:t>
    </dgm:pt>
    <dgm:pt modelId="{AB5FD617-4372-4B02-9851-F457589CABFB}" type="sibTrans" cxnId="{73A5EA84-ED94-4052-925E-97D45456EC9C}">
      <dgm:prSet/>
      <dgm:spPr/>
      <dgm:t>
        <a:bodyPr/>
        <a:lstStyle/>
        <a:p>
          <a:endParaRPr lang="en-US" sz="800">
            <a:latin typeface="Times New Roman" panose="02020603050405020304" pitchFamily="18" charset="0"/>
            <a:cs typeface="Times New Roman" panose="02020603050405020304" pitchFamily="18" charset="0"/>
          </a:endParaRPr>
        </a:p>
      </dgm:t>
    </dgm:pt>
    <dgm:pt modelId="{D15B2912-E886-416D-905B-6BA63578E351}">
      <dgm:prSet phldrT="[Text]" custT="1"/>
      <dgm:spPr/>
      <dgm:t>
        <a:bodyPr/>
        <a:lstStyle/>
        <a:p>
          <a:r>
            <a:rPr lang="en-US" sz="800">
              <a:latin typeface="Times New Roman" panose="02020603050405020304" pitchFamily="18" charset="0"/>
              <a:cs typeface="Times New Roman" panose="02020603050405020304" pitchFamily="18" charset="0"/>
            </a:rPr>
            <a:t>Suit Dismissed</a:t>
          </a:r>
        </a:p>
      </dgm:t>
    </dgm:pt>
    <dgm:pt modelId="{D448C703-EFCF-4C8A-88B8-B20E16D9BB00}" type="parTrans" cxnId="{C5E59D0A-0CE6-4DFF-A339-15073B516F02}">
      <dgm:prSet custT="1"/>
      <dgm:spPr/>
      <dgm:t>
        <a:bodyPr/>
        <a:lstStyle/>
        <a:p>
          <a:r>
            <a:rPr lang="en-US" sz="800">
              <a:latin typeface="Times New Roman" panose="02020603050405020304" pitchFamily="18" charset="0"/>
              <a:cs typeface="Times New Roman" panose="02020603050405020304" pitchFamily="18" charset="0"/>
            </a:rPr>
            <a:t>Demand Required</a:t>
          </a:r>
        </a:p>
      </dgm:t>
    </dgm:pt>
    <dgm:pt modelId="{FB541DB4-7E21-420B-82DE-BE89CEC0F015}" type="sibTrans" cxnId="{C5E59D0A-0CE6-4DFF-A339-15073B516F02}">
      <dgm:prSet/>
      <dgm:spPr/>
      <dgm:t>
        <a:bodyPr/>
        <a:lstStyle/>
        <a:p>
          <a:endParaRPr lang="en-US" sz="800">
            <a:latin typeface="Times New Roman" panose="02020603050405020304" pitchFamily="18" charset="0"/>
            <a:cs typeface="Times New Roman" panose="02020603050405020304" pitchFamily="18" charset="0"/>
          </a:endParaRPr>
        </a:p>
      </dgm:t>
    </dgm:pt>
    <dgm:pt modelId="{CB7146DE-ED1A-4C8A-BA43-33DE8DDA8FB3}" type="pres">
      <dgm:prSet presAssocID="{DC3A1DA3-E731-42CA-B499-345DE790F871}" presName="diagram" presStyleCnt="0">
        <dgm:presLayoutVars>
          <dgm:chPref val="1"/>
          <dgm:dir/>
          <dgm:animOne val="branch"/>
          <dgm:animLvl val="lvl"/>
          <dgm:resizeHandles val="exact"/>
        </dgm:presLayoutVars>
      </dgm:prSet>
      <dgm:spPr/>
      <dgm:t>
        <a:bodyPr/>
        <a:lstStyle/>
        <a:p>
          <a:endParaRPr lang="en-US"/>
        </a:p>
      </dgm:t>
    </dgm:pt>
    <dgm:pt modelId="{A9E5E810-42FE-4580-810A-6BBC06BBB795}" type="pres">
      <dgm:prSet presAssocID="{3D54FC3B-AF3D-4159-B419-757B012C1D48}" presName="root1" presStyleCnt="0"/>
      <dgm:spPr/>
    </dgm:pt>
    <dgm:pt modelId="{C5B4D90D-BF43-42B5-A84F-0DAD0340A6E4}" type="pres">
      <dgm:prSet presAssocID="{3D54FC3B-AF3D-4159-B419-757B012C1D48}" presName="LevelOneTextNode" presStyleLbl="node0" presStyleIdx="0" presStyleCnt="1" custScaleX="40934" custScaleY="32914" custLinFactNeighborX="-87484" custLinFactNeighborY="-6929">
        <dgm:presLayoutVars>
          <dgm:chPref val="3"/>
        </dgm:presLayoutVars>
      </dgm:prSet>
      <dgm:spPr/>
      <dgm:t>
        <a:bodyPr/>
        <a:lstStyle/>
        <a:p>
          <a:endParaRPr lang="en-US"/>
        </a:p>
      </dgm:t>
    </dgm:pt>
    <dgm:pt modelId="{95205CCE-CDC9-49F7-8C6B-EA82A79356B6}" type="pres">
      <dgm:prSet presAssocID="{3D54FC3B-AF3D-4159-B419-757B012C1D48}" presName="level2hierChild" presStyleCnt="0"/>
      <dgm:spPr/>
    </dgm:pt>
    <dgm:pt modelId="{E18C24E5-5506-4C8A-AE5F-F720CBE9B65D}" type="pres">
      <dgm:prSet presAssocID="{106D9991-9692-493E-965F-4D0F6D9BD6EE}" presName="conn2-1" presStyleLbl="parChTrans1D2" presStyleIdx="0" presStyleCnt="2"/>
      <dgm:spPr/>
      <dgm:t>
        <a:bodyPr/>
        <a:lstStyle/>
        <a:p>
          <a:endParaRPr lang="en-US"/>
        </a:p>
      </dgm:t>
    </dgm:pt>
    <dgm:pt modelId="{4ABB466A-F395-455A-968E-5ED244D53690}" type="pres">
      <dgm:prSet presAssocID="{106D9991-9692-493E-965F-4D0F6D9BD6EE}" presName="connTx" presStyleLbl="parChTrans1D2" presStyleIdx="0" presStyleCnt="2"/>
      <dgm:spPr/>
      <dgm:t>
        <a:bodyPr/>
        <a:lstStyle/>
        <a:p>
          <a:endParaRPr lang="en-US"/>
        </a:p>
      </dgm:t>
    </dgm:pt>
    <dgm:pt modelId="{068E9E2C-6B63-4D20-8E85-2004B734A548}" type="pres">
      <dgm:prSet presAssocID="{32F1FB1C-1849-4DCD-886D-5D5AE5E466E6}" presName="root2" presStyleCnt="0"/>
      <dgm:spPr/>
    </dgm:pt>
    <dgm:pt modelId="{C3449AAE-D1F0-4796-9D8D-8192489087A6}" type="pres">
      <dgm:prSet presAssocID="{32F1FB1C-1849-4DCD-886D-5D5AE5E466E6}" presName="LevelTwoTextNode" presStyleLbl="node2" presStyleIdx="0" presStyleCnt="2" custLinFactNeighborX="-90084" custLinFactNeighborY="8662">
        <dgm:presLayoutVars>
          <dgm:chPref val="3"/>
        </dgm:presLayoutVars>
      </dgm:prSet>
      <dgm:spPr/>
      <dgm:t>
        <a:bodyPr/>
        <a:lstStyle/>
        <a:p>
          <a:endParaRPr lang="en-US"/>
        </a:p>
      </dgm:t>
    </dgm:pt>
    <dgm:pt modelId="{5C6F30E5-4B82-46B1-9E54-580AD6AE1CD0}" type="pres">
      <dgm:prSet presAssocID="{32F1FB1C-1849-4DCD-886D-5D5AE5E466E6}" presName="level3hierChild" presStyleCnt="0"/>
      <dgm:spPr/>
    </dgm:pt>
    <dgm:pt modelId="{43E9E87C-3E9A-4D2C-A89E-157D04936E48}" type="pres">
      <dgm:prSet presAssocID="{79A96B3A-5496-43DA-8717-3DAD389245AA}" presName="conn2-1" presStyleLbl="parChTrans1D3" presStyleIdx="0" presStyleCnt="4"/>
      <dgm:spPr/>
      <dgm:t>
        <a:bodyPr/>
        <a:lstStyle/>
        <a:p>
          <a:endParaRPr lang="en-US"/>
        </a:p>
      </dgm:t>
    </dgm:pt>
    <dgm:pt modelId="{10293D82-4225-48EC-89BA-A531EE31F8CA}" type="pres">
      <dgm:prSet presAssocID="{79A96B3A-5496-43DA-8717-3DAD389245AA}" presName="connTx" presStyleLbl="parChTrans1D3" presStyleIdx="0" presStyleCnt="4"/>
      <dgm:spPr/>
      <dgm:t>
        <a:bodyPr/>
        <a:lstStyle/>
        <a:p>
          <a:endParaRPr lang="en-US"/>
        </a:p>
      </dgm:t>
    </dgm:pt>
    <dgm:pt modelId="{01242D4A-74ED-44DA-BC6C-23D681FA96D1}" type="pres">
      <dgm:prSet presAssocID="{7D42AA29-8464-475B-A996-A175F32DF752}" presName="root2" presStyleCnt="0"/>
      <dgm:spPr/>
    </dgm:pt>
    <dgm:pt modelId="{E47AE6C8-24B1-440E-BCBF-EE7E5D7EEBD7}" type="pres">
      <dgm:prSet presAssocID="{7D42AA29-8464-475B-A996-A175F32DF752}" presName="LevelTwoTextNode" presStyleLbl="node3" presStyleIdx="0" presStyleCnt="4">
        <dgm:presLayoutVars>
          <dgm:chPref val="3"/>
        </dgm:presLayoutVars>
      </dgm:prSet>
      <dgm:spPr/>
      <dgm:t>
        <a:bodyPr/>
        <a:lstStyle/>
        <a:p>
          <a:endParaRPr lang="en-US"/>
        </a:p>
      </dgm:t>
    </dgm:pt>
    <dgm:pt modelId="{F5284F9A-6AAC-4EFD-9DB3-817504B5184E}" type="pres">
      <dgm:prSet presAssocID="{7D42AA29-8464-475B-A996-A175F32DF752}" presName="level3hierChild" presStyleCnt="0"/>
      <dgm:spPr/>
    </dgm:pt>
    <dgm:pt modelId="{C20240D1-0B81-41B3-B525-3945819ACF4E}" type="pres">
      <dgm:prSet presAssocID="{22AAB448-0BEE-485B-BC48-31A73167388E}" presName="conn2-1" presStyleLbl="parChTrans1D3" presStyleIdx="1" presStyleCnt="4"/>
      <dgm:spPr/>
      <dgm:t>
        <a:bodyPr/>
        <a:lstStyle/>
        <a:p>
          <a:endParaRPr lang="en-US"/>
        </a:p>
      </dgm:t>
    </dgm:pt>
    <dgm:pt modelId="{BC91080A-A77C-4650-BB02-B961CDAD3AE5}" type="pres">
      <dgm:prSet presAssocID="{22AAB448-0BEE-485B-BC48-31A73167388E}" presName="connTx" presStyleLbl="parChTrans1D3" presStyleIdx="1" presStyleCnt="4"/>
      <dgm:spPr/>
      <dgm:t>
        <a:bodyPr/>
        <a:lstStyle/>
        <a:p>
          <a:endParaRPr lang="en-US"/>
        </a:p>
      </dgm:t>
    </dgm:pt>
    <dgm:pt modelId="{4383E1D7-6F90-464F-8F19-AB2A38F36D63}" type="pres">
      <dgm:prSet presAssocID="{B6983B9A-9A84-4630-A8DE-551E87D1AF8E}" presName="root2" presStyleCnt="0"/>
      <dgm:spPr/>
    </dgm:pt>
    <dgm:pt modelId="{3C87442D-93F1-4B70-91F9-5FF5872F96BD}" type="pres">
      <dgm:prSet presAssocID="{B6983B9A-9A84-4630-A8DE-551E87D1AF8E}" presName="LevelTwoTextNode" presStyleLbl="node3" presStyleIdx="1" presStyleCnt="4">
        <dgm:presLayoutVars>
          <dgm:chPref val="3"/>
        </dgm:presLayoutVars>
      </dgm:prSet>
      <dgm:spPr/>
      <dgm:t>
        <a:bodyPr/>
        <a:lstStyle/>
        <a:p>
          <a:endParaRPr lang="en-US"/>
        </a:p>
      </dgm:t>
    </dgm:pt>
    <dgm:pt modelId="{E226198F-1233-406C-8B65-892471E8F789}" type="pres">
      <dgm:prSet presAssocID="{B6983B9A-9A84-4630-A8DE-551E87D1AF8E}" presName="level3hierChild" presStyleCnt="0"/>
      <dgm:spPr/>
    </dgm:pt>
    <dgm:pt modelId="{6374CB21-7234-4991-94A4-421D22E65AAD}" type="pres">
      <dgm:prSet presAssocID="{07625E04-B659-4140-93E4-9C4598C49C08}" presName="conn2-1" presStyleLbl="parChTrans1D2" presStyleIdx="1" presStyleCnt="2"/>
      <dgm:spPr/>
      <dgm:t>
        <a:bodyPr/>
        <a:lstStyle/>
        <a:p>
          <a:endParaRPr lang="en-US"/>
        </a:p>
      </dgm:t>
    </dgm:pt>
    <dgm:pt modelId="{0C26AB9C-769C-455F-A526-ED0569E22297}" type="pres">
      <dgm:prSet presAssocID="{07625E04-B659-4140-93E4-9C4598C49C08}" presName="connTx" presStyleLbl="parChTrans1D2" presStyleIdx="1" presStyleCnt="2"/>
      <dgm:spPr/>
      <dgm:t>
        <a:bodyPr/>
        <a:lstStyle/>
        <a:p>
          <a:endParaRPr lang="en-US"/>
        </a:p>
      </dgm:t>
    </dgm:pt>
    <dgm:pt modelId="{2B6CEA73-367F-4E71-A553-66907F80AC71}" type="pres">
      <dgm:prSet presAssocID="{3E05E433-F8C2-4897-BE4B-F2F9E2160BA1}" presName="root2" presStyleCnt="0"/>
      <dgm:spPr/>
    </dgm:pt>
    <dgm:pt modelId="{3B17B014-F9CA-4774-9B66-362E0B1BE8D6}" type="pres">
      <dgm:prSet presAssocID="{3E05E433-F8C2-4897-BE4B-F2F9E2160BA1}" presName="LevelTwoTextNode" presStyleLbl="node2" presStyleIdx="1" presStyleCnt="2" custLinFactNeighborX="-88351" custLinFactNeighborY="-8663">
        <dgm:presLayoutVars>
          <dgm:chPref val="3"/>
        </dgm:presLayoutVars>
      </dgm:prSet>
      <dgm:spPr/>
      <dgm:t>
        <a:bodyPr/>
        <a:lstStyle/>
        <a:p>
          <a:endParaRPr lang="en-US"/>
        </a:p>
      </dgm:t>
    </dgm:pt>
    <dgm:pt modelId="{DDD7EDC0-024D-4D61-8A50-26382589CAB7}" type="pres">
      <dgm:prSet presAssocID="{3E05E433-F8C2-4897-BE4B-F2F9E2160BA1}" presName="level3hierChild" presStyleCnt="0"/>
      <dgm:spPr/>
    </dgm:pt>
    <dgm:pt modelId="{93E1F177-34B2-4704-8AC1-B5104C4A2BFB}" type="pres">
      <dgm:prSet presAssocID="{18532AE4-23B2-4D09-9016-A746280C63C8}" presName="conn2-1" presStyleLbl="parChTrans1D3" presStyleIdx="2" presStyleCnt="4"/>
      <dgm:spPr/>
      <dgm:t>
        <a:bodyPr/>
        <a:lstStyle/>
        <a:p>
          <a:endParaRPr lang="en-US"/>
        </a:p>
      </dgm:t>
    </dgm:pt>
    <dgm:pt modelId="{903EF700-2AE1-46F7-975E-B224B373B347}" type="pres">
      <dgm:prSet presAssocID="{18532AE4-23B2-4D09-9016-A746280C63C8}" presName="connTx" presStyleLbl="parChTrans1D3" presStyleIdx="2" presStyleCnt="4"/>
      <dgm:spPr/>
      <dgm:t>
        <a:bodyPr/>
        <a:lstStyle/>
        <a:p>
          <a:endParaRPr lang="en-US"/>
        </a:p>
      </dgm:t>
    </dgm:pt>
    <dgm:pt modelId="{F67367F4-62F8-4B66-962B-96206C0C5ED8}" type="pres">
      <dgm:prSet presAssocID="{6B0679B7-5754-44B7-ADA4-E2E9E6F9DD4E}" presName="root2" presStyleCnt="0"/>
      <dgm:spPr/>
    </dgm:pt>
    <dgm:pt modelId="{42B22EF3-CBF6-4AA8-8729-0A2B17728C62}" type="pres">
      <dgm:prSet presAssocID="{6B0679B7-5754-44B7-ADA4-E2E9E6F9DD4E}" presName="LevelTwoTextNode" presStyleLbl="node3" presStyleIdx="2" presStyleCnt="4" custLinFactNeighborX="0" custLinFactNeighborY="3465">
        <dgm:presLayoutVars>
          <dgm:chPref val="3"/>
        </dgm:presLayoutVars>
      </dgm:prSet>
      <dgm:spPr/>
      <dgm:t>
        <a:bodyPr/>
        <a:lstStyle/>
        <a:p>
          <a:endParaRPr lang="en-US"/>
        </a:p>
      </dgm:t>
    </dgm:pt>
    <dgm:pt modelId="{6F1E2D1A-C2C6-4C27-8906-01B7D779B2BB}" type="pres">
      <dgm:prSet presAssocID="{6B0679B7-5754-44B7-ADA4-E2E9E6F9DD4E}" presName="level3hierChild" presStyleCnt="0"/>
      <dgm:spPr/>
    </dgm:pt>
    <dgm:pt modelId="{11618078-3ABB-47AE-9DE5-165E32C7FC5C}" type="pres">
      <dgm:prSet presAssocID="{D448C703-EFCF-4C8A-88B8-B20E16D9BB00}" presName="conn2-1" presStyleLbl="parChTrans1D3" presStyleIdx="3" presStyleCnt="4"/>
      <dgm:spPr/>
      <dgm:t>
        <a:bodyPr/>
        <a:lstStyle/>
        <a:p>
          <a:endParaRPr lang="en-US"/>
        </a:p>
      </dgm:t>
    </dgm:pt>
    <dgm:pt modelId="{06306244-B1A0-4E0E-9F7A-07442D52F45D}" type="pres">
      <dgm:prSet presAssocID="{D448C703-EFCF-4C8A-88B8-B20E16D9BB00}" presName="connTx" presStyleLbl="parChTrans1D3" presStyleIdx="3" presStyleCnt="4"/>
      <dgm:spPr/>
      <dgm:t>
        <a:bodyPr/>
        <a:lstStyle/>
        <a:p>
          <a:endParaRPr lang="en-US"/>
        </a:p>
      </dgm:t>
    </dgm:pt>
    <dgm:pt modelId="{BECBE1B0-7502-441E-9F3D-0879736A5458}" type="pres">
      <dgm:prSet presAssocID="{D15B2912-E886-416D-905B-6BA63578E351}" presName="root2" presStyleCnt="0"/>
      <dgm:spPr/>
    </dgm:pt>
    <dgm:pt modelId="{097F059D-C90B-4E9D-8C1B-EF74628322EF}" type="pres">
      <dgm:prSet presAssocID="{D15B2912-E886-416D-905B-6BA63578E351}" presName="LevelTwoTextNode" presStyleLbl="node3" presStyleIdx="3" presStyleCnt="4" custLinFactNeighborX="1" custLinFactNeighborY="109">
        <dgm:presLayoutVars>
          <dgm:chPref val="3"/>
        </dgm:presLayoutVars>
      </dgm:prSet>
      <dgm:spPr/>
      <dgm:t>
        <a:bodyPr/>
        <a:lstStyle/>
        <a:p>
          <a:endParaRPr lang="en-US"/>
        </a:p>
      </dgm:t>
    </dgm:pt>
    <dgm:pt modelId="{4C600F8A-E9A6-42B1-AD17-578EF4791DBB}" type="pres">
      <dgm:prSet presAssocID="{D15B2912-E886-416D-905B-6BA63578E351}" presName="level3hierChild" presStyleCnt="0"/>
      <dgm:spPr/>
    </dgm:pt>
  </dgm:ptLst>
  <dgm:cxnLst>
    <dgm:cxn modelId="{7A98CBDF-EB38-476B-A1C2-CA468F9797DF}" type="presOf" srcId="{B6983B9A-9A84-4630-A8DE-551E87D1AF8E}" destId="{3C87442D-93F1-4B70-91F9-5FF5872F96BD}" srcOrd="0" destOrd="0" presId="urn:microsoft.com/office/officeart/2005/8/layout/hierarchy2"/>
    <dgm:cxn modelId="{D1C876B6-98A5-4514-AAEE-9D0400C2498B}" type="presOf" srcId="{DC3A1DA3-E731-42CA-B499-345DE790F871}" destId="{CB7146DE-ED1A-4C8A-BA43-33DE8DDA8FB3}" srcOrd="0" destOrd="0" presId="urn:microsoft.com/office/officeart/2005/8/layout/hierarchy2"/>
    <dgm:cxn modelId="{76E5B49B-B5A1-49A9-A0BC-8574A13D6F51}" type="presOf" srcId="{79A96B3A-5496-43DA-8717-3DAD389245AA}" destId="{43E9E87C-3E9A-4D2C-A89E-157D04936E48}" srcOrd="0" destOrd="0" presId="urn:microsoft.com/office/officeart/2005/8/layout/hierarchy2"/>
    <dgm:cxn modelId="{29059F15-3422-4368-8B5B-899060DDE6AF}" type="presOf" srcId="{106D9991-9692-493E-965F-4D0F6D9BD6EE}" destId="{E18C24E5-5506-4C8A-AE5F-F720CBE9B65D}" srcOrd="0" destOrd="0" presId="urn:microsoft.com/office/officeart/2005/8/layout/hierarchy2"/>
    <dgm:cxn modelId="{4AB717E3-4B71-4722-92DA-BA1823D45CEF}" type="presOf" srcId="{D15B2912-E886-416D-905B-6BA63578E351}" destId="{097F059D-C90B-4E9D-8C1B-EF74628322EF}" srcOrd="0" destOrd="0" presId="urn:microsoft.com/office/officeart/2005/8/layout/hierarchy2"/>
    <dgm:cxn modelId="{E30A9749-8503-4EE0-A655-8B5EDDDAF080}" type="presOf" srcId="{D448C703-EFCF-4C8A-88B8-B20E16D9BB00}" destId="{11618078-3ABB-47AE-9DE5-165E32C7FC5C}" srcOrd="0" destOrd="0" presId="urn:microsoft.com/office/officeart/2005/8/layout/hierarchy2"/>
    <dgm:cxn modelId="{FF0E4385-9E15-4EEE-99C0-61DD4D3FB3D4}" type="presOf" srcId="{6B0679B7-5754-44B7-ADA4-E2E9E6F9DD4E}" destId="{42B22EF3-CBF6-4AA8-8729-0A2B17728C62}" srcOrd="0" destOrd="0" presId="urn:microsoft.com/office/officeart/2005/8/layout/hierarchy2"/>
    <dgm:cxn modelId="{F1C70C81-8C9C-48BB-96D4-457F9F25514E}" type="presOf" srcId="{7D42AA29-8464-475B-A996-A175F32DF752}" destId="{E47AE6C8-24B1-440E-BCBF-EE7E5D7EEBD7}" srcOrd="0" destOrd="0" presId="urn:microsoft.com/office/officeart/2005/8/layout/hierarchy2"/>
    <dgm:cxn modelId="{D1F16B2F-760C-427F-AA85-8D1EC7003DD8}" srcId="{3D54FC3B-AF3D-4159-B419-757B012C1D48}" destId="{32F1FB1C-1849-4DCD-886D-5D5AE5E466E6}" srcOrd="0" destOrd="0" parTransId="{106D9991-9692-493E-965F-4D0F6D9BD6EE}" sibTransId="{C27BEEE6-C25F-4F94-B7C0-368BB156BCBB}"/>
    <dgm:cxn modelId="{8C3EE036-3614-412A-88DB-A8BEFD7F2047}" type="presOf" srcId="{106D9991-9692-493E-965F-4D0F6D9BD6EE}" destId="{4ABB466A-F395-455A-968E-5ED244D53690}" srcOrd="1" destOrd="0" presId="urn:microsoft.com/office/officeart/2005/8/layout/hierarchy2"/>
    <dgm:cxn modelId="{73A5EA84-ED94-4052-925E-97D45456EC9C}" srcId="{32F1FB1C-1849-4DCD-886D-5D5AE5E466E6}" destId="{B6983B9A-9A84-4630-A8DE-551E87D1AF8E}" srcOrd="1" destOrd="0" parTransId="{22AAB448-0BEE-485B-BC48-31A73167388E}" sibTransId="{AB5FD617-4372-4B02-9851-F457589CABFB}"/>
    <dgm:cxn modelId="{C036C1FC-4D52-46D9-B559-48464C3982E4}" type="presOf" srcId="{22AAB448-0BEE-485B-BC48-31A73167388E}" destId="{C20240D1-0B81-41B3-B525-3945819ACF4E}" srcOrd="0" destOrd="0" presId="urn:microsoft.com/office/officeart/2005/8/layout/hierarchy2"/>
    <dgm:cxn modelId="{F24E73D1-0A43-49DC-A706-20B007206891}" type="presOf" srcId="{D448C703-EFCF-4C8A-88B8-B20E16D9BB00}" destId="{06306244-B1A0-4E0E-9F7A-07442D52F45D}" srcOrd="1" destOrd="0" presId="urn:microsoft.com/office/officeart/2005/8/layout/hierarchy2"/>
    <dgm:cxn modelId="{B7C78F05-AA78-4C08-90E1-05778679EA83}" srcId="{DC3A1DA3-E731-42CA-B499-345DE790F871}" destId="{3D54FC3B-AF3D-4159-B419-757B012C1D48}" srcOrd="0" destOrd="0" parTransId="{681EE166-C538-4C8A-BD4E-97EBA8FA75F7}" sibTransId="{161D55A6-5FF7-4690-B31A-D841D9897CFF}"/>
    <dgm:cxn modelId="{DB20F42A-2D79-4DF6-B3EE-72AA6BF79C9B}" type="presOf" srcId="{79A96B3A-5496-43DA-8717-3DAD389245AA}" destId="{10293D82-4225-48EC-89BA-A531EE31F8CA}" srcOrd="1" destOrd="0" presId="urn:microsoft.com/office/officeart/2005/8/layout/hierarchy2"/>
    <dgm:cxn modelId="{64D5A005-FF3C-4B7E-9A5A-DE4B956AC2E9}" type="presOf" srcId="{07625E04-B659-4140-93E4-9C4598C49C08}" destId="{6374CB21-7234-4991-94A4-421D22E65AAD}" srcOrd="0" destOrd="0" presId="urn:microsoft.com/office/officeart/2005/8/layout/hierarchy2"/>
    <dgm:cxn modelId="{1A1AC592-389E-49D9-8362-DAF041E84910}" type="presOf" srcId="{07625E04-B659-4140-93E4-9C4598C49C08}" destId="{0C26AB9C-769C-455F-A526-ED0569E22297}" srcOrd="1" destOrd="0" presId="urn:microsoft.com/office/officeart/2005/8/layout/hierarchy2"/>
    <dgm:cxn modelId="{06F6A994-1F5E-4445-90BE-57306994A02E}" type="presOf" srcId="{32F1FB1C-1849-4DCD-886D-5D5AE5E466E6}" destId="{C3449AAE-D1F0-4796-9D8D-8192489087A6}" srcOrd="0" destOrd="0" presId="urn:microsoft.com/office/officeart/2005/8/layout/hierarchy2"/>
    <dgm:cxn modelId="{EF679C33-593E-445A-8FF0-B6B51F5D28B5}" type="presOf" srcId="{3D54FC3B-AF3D-4159-B419-757B012C1D48}" destId="{C5B4D90D-BF43-42B5-A84F-0DAD0340A6E4}" srcOrd="0" destOrd="0" presId="urn:microsoft.com/office/officeart/2005/8/layout/hierarchy2"/>
    <dgm:cxn modelId="{B5AAFE41-7566-4677-B2C2-D07DD6D12C67}" type="presOf" srcId="{22AAB448-0BEE-485B-BC48-31A73167388E}" destId="{BC91080A-A77C-4650-BB02-B961CDAD3AE5}" srcOrd="1" destOrd="0" presId="urn:microsoft.com/office/officeart/2005/8/layout/hierarchy2"/>
    <dgm:cxn modelId="{BF48EB63-9107-42A2-8690-4B38D682B4D1}" type="presOf" srcId="{18532AE4-23B2-4D09-9016-A746280C63C8}" destId="{903EF700-2AE1-46F7-975E-B224B373B347}" srcOrd="1" destOrd="0" presId="urn:microsoft.com/office/officeart/2005/8/layout/hierarchy2"/>
    <dgm:cxn modelId="{18666199-9865-4871-8299-626CCD19793B}" type="presOf" srcId="{3E05E433-F8C2-4897-BE4B-F2F9E2160BA1}" destId="{3B17B014-F9CA-4774-9B66-362E0B1BE8D6}" srcOrd="0" destOrd="0" presId="urn:microsoft.com/office/officeart/2005/8/layout/hierarchy2"/>
    <dgm:cxn modelId="{C5E59D0A-0CE6-4DFF-A339-15073B516F02}" srcId="{3E05E433-F8C2-4897-BE4B-F2F9E2160BA1}" destId="{D15B2912-E886-416D-905B-6BA63578E351}" srcOrd="1" destOrd="0" parTransId="{D448C703-EFCF-4C8A-88B8-B20E16D9BB00}" sibTransId="{FB541DB4-7E21-420B-82DE-BE89CEC0F015}"/>
    <dgm:cxn modelId="{82027B06-43F7-4FD5-91E0-3CC3A59EAFB3}" srcId="{3E05E433-F8C2-4897-BE4B-F2F9E2160BA1}" destId="{6B0679B7-5754-44B7-ADA4-E2E9E6F9DD4E}" srcOrd="0" destOrd="0" parTransId="{18532AE4-23B2-4D09-9016-A746280C63C8}" sibTransId="{A7A65736-0238-468C-995B-F4F4F75CDBC6}"/>
    <dgm:cxn modelId="{5BF50671-469E-473A-8990-C47D7262E8F5}" type="presOf" srcId="{18532AE4-23B2-4D09-9016-A746280C63C8}" destId="{93E1F177-34B2-4704-8AC1-B5104C4A2BFB}" srcOrd="0" destOrd="0" presId="urn:microsoft.com/office/officeart/2005/8/layout/hierarchy2"/>
    <dgm:cxn modelId="{EBCC6FE1-68F6-4812-8035-C0D87F840993}" srcId="{32F1FB1C-1849-4DCD-886D-5D5AE5E466E6}" destId="{7D42AA29-8464-475B-A996-A175F32DF752}" srcOrd="0" destOrd="0" parTransId="{79A96B3A-5496-43DA-8717-3DAD389245AA}" sibTransId="{DDF3D37B-2641-4144-94A3-FA780F9112AE}"/>
    <dgm:cxn modelId="{83B3ADBB-1E44-4685-9DB3-CA03CBACDC70}" srcId="{3D54FC3B-AF3D-4159-B419-757B012C1D48}" destId="{3E05E433-F8C2-4897-BE4B-F2F9E2160BA1}" srcOrd="1" destOrd="0" parTransId="{07625E04-B659-4140-93E4-9C4598C49C08}" sibTransId="{DB22EF39-49CE-4A7C-9397-9B91DB28B485}"/>
    <dgm:cxn modelId="{4A32F99F-1235-4448-8E0E-46496F0D588B}" type="presParOf" srcId="{CB7146DE-ED1A-4C8A-BA43-33DE8DDA8FB3}" destId="{A9E5E810-42FE-4580-810A-6BBC06BBB795}" srcOrd="0" destOrd="0" presId="urn:microsoft.com/office/officeart/2005/8/layout/hierarchy2"/>
    <dgm:cxn modelId="{219986FB-0FF2-4882-AE3A-B7AEFD848E12}" type="presParOf" srcId="{A9E5E810-42FE-4580-810A-6BBC06BBB795}" destId="{C5B4D90D-BF43-42B5-A84F-0DAD0340A6E4}" srcOrd="0" destOrd="0" presId="urn:microsoft.com/office/officeart/2005/8/layout/hierarchy2"/>
    <dgm:cxn modelId="{18F94B90-D5E7-42DC-BAB5-CD0E0E334865}" type="presParOf" srcId="{A9E5E810-42FE-4580-810A-6BBC06BBB795}" destId="{95205CCE-CDC9-49F7-8C6B-EA82A79356B6}" srcOrd="1" destOrd="0" presId="urn:microsoft.com/office/officeart/2005/8/layout/hierarchy2"/>
    <dgm:cxn modelId="{855FAD34-3DA4-487B-BCF5-550FF533CD2D}" type="presParOf" srcId="{95205CCE-CDC9-49F7-8C6B-EA82A79356B6}" destId="{E18C24E5-5506-4C8A-AE5F-F720CBE9B65D}" srcOrd="0" destOrd="0" presId="urn:microsoft.com/office/officeart/2005/8/layout/hierarchy2"/>
    <dgm:cxn modelId="{CB4E43E0-4B0D-4FB2-B7A9-3AD072532C7A}" type="presParOf" srcId="{E18C24E5-5506-4C8A-AE5F-F720CBE9B65D}" destId="{4ABB466A-F395-455A-968E-5ED244D53690}" srcOrd="0" destOrd="0" presId="urn:microsoft.com/office/officeart/2005/8/layout/hierarchy2"/>
    <dgm:cxn modelId="{25A198F7-6AE8-4106-AB61-28DE0E371A67}" type="presParOf" srcId="{95205CCE-CDC9-49F7-8C6B-EA82A79356B6}" destId="{068E9E2C-6B63-4D20-8E85-2004B734A548}" srcOrd="1" destOrd="0" presId="urn:microsoft.com/office/officeart/2005/8/layout/hierarchy2"/>
    <dgm:cxn modelId="{EBAC8604-A67F-47C8-A169-6DA81C2BE2DB}" type="presParOf" srcId="{068E9E2C-6B63-4D20-8E85-2004B734A548}" destId="{C3449AAE-D1F0-4796-9D8D-8192489087A6}" srcOrd="0" destOrd="0" presId="urn:microsoft.com/office/officeart/2005/8/layout/hierarchy2"/>
    <dgm:cxn modelId="{1C7D863D-80E3-46FE-9427-5354E076E065}" type="presParOf" srcId="{068E9E2C-6B63-4D20-8E85-2004B734A548}" destId="{5C6F30E5-4B82-46B1-9E54-580AD6AE1CD0}" srcOrd="1" destOrd="0" presId="urn:microsoft.com/office/officeart/2005/8/layout/hierarchy2"/>
    <dgm:cxn modelId="{6C766FDB-9231-4688-BFEF-22DB1A746AE9}" type="presParOf" srcId="{5C6F30E5-4B82-46B1-9E54-580AD6AE1CD0}" destId="{43E9E87C-3E9A-4D2C-A89E-157D04936E48}" srcOrd="0" destOrd="0" presId="urn:microsoft.com/office/officeart/2005/8/layout/hierarchy2"/>
    <dgm:cxn modelId="{C425E4FE-299F-459C-92C7-30B1376A2CA3}" type="presParOf" srcId="{43E9E87C-3E9A-4D2C-A89E-157D04936E48}" destId="{10293D82-4225-48EC-89BA-A531EE31F8CA}" srcOrd="0" destOrd="0" presId="urn:microsoft.com/office/officeart/2005/8/layout/hierarchy2"/>
    <dgm:cxn modelId="{934848D6-B35E-42E2-83DB-CC86161E9913}" type="presParOf" srcId="{5C6F30E5-4B82-46B1-9E54-580AD6AE1CD0}" destId="{01242D4A-74ED-44DA-BC6C-23D681FA96D1}" srcOrd="1" destOrd="0" presId="urn:microsoft.com/office/officeart/2005/8/layout/hierarchy2"/>
    <dgm:cxn modelId="{3F3093A9-F5DD-4FF6-AEF0-F2150E76CEDB}" type="presParOf" srcId="{01242D4A-74ED-44DA-BC6C-23D681FA96D1}" destId="{E47AE6C8-24B1-440E-BCBF-EE7E5D7EEBD7}" srcOrd="0" destOrd="0" presId="urn:microsoft.com/office/officeart/2005/8/layout/hierarchy2"/>
    <dgm:cxn modelId="{7CDBAA16-801B-4C74-9524-AAEFD3498119}" type="presParOf" srcId="{01242D4A-74ED-44DA-BC6C-23D681FA96D1}" destId="{F5284F9A-6AAC-4EFD-9DB3-817504B5184E}" srcOrd="1" destOrd="0" presId="urn:microsoft.com/office/officeart/2005/8/layout/hierarchy2"/>
    <dgm:cxn modelId="{59648A1E-971F-4088-8B06-7A54010A90E6}" type="presParOf" srcId="{5C6F30E5-4B82-46B1-9E54-580AD6AE1CD0}" destId="{C20240D1-0B81-41B3-B525-3945819ACF4E}" srcOrd="2" destOrd="0" presId="urn:microsoft.com/office/officeart/2005/8/layout/hierarchy2"/>
    <dgm:cxn modelId="{2F3F4509-88F9-462C-81E3-8096DDC4D104}" type="presParOf" srcId="{C20240D1-0B81-41B3-B525-3945819ACF4E}" destId="{BC91080A-A77C-4650-BB02-B961CDAD3AE5}" srcOrd="0" destOrd="0" presId="urn:microsoft.com/office/officeart/2005/8/layout/hierarchy2"/>
    <dgm:cxn modelId="{CB167821-BBE3-405A-9A85-6E815077563F}" type="presParOf" srcId="{5C6F30E5-4B82-46B1-9E54-580AD6AE1CD0}" destId="{4383E1D7-6F90-464F-8F19-AB2A38F36D63}" srcOrd="3" destOrd="0" presId="urn:microsoft.com/office/officeart/2005/8/layout/hierarchy2"/>
    <dgm:cxn modelId="{1F4A8BF5-08F5-4C09-8DF7-0E5DA58622C5}" type="presParOf" srcId="{4383E1D7-6F90-464F-8F19-AB2A38F36D63}" destId="{3C87442D-93F1-4B70-91F9-5FF5872F96BD}" srcOrd="0" destOrd="0" presId="urn:microsoft.com/office/officeart/2005/8/layout/hierarchy2"/>
    <dgm:cxn modelId="{AE51C4A7-2FEC-4857-8910-6EE0C214728C}" type="presParOf" srcId="{4383E1D7-6F90-464F-8F19-AB2A38F36D63}" destId="{E226198F-1233-406C-8B65-892471E8F789}" srcOrd="1" destOrd="0" presId="urn:microsoft.com/office/officeart/2005/8/layout/hierarchy2"/>
    <dgm:cxn modelId="{278F14C9-783E-4F08-B7B2-C26BBA540FAF}" type="presParOf" srcId="{95205CCE-CDC9-49F7-8C6B-EA82A79356B6}" destId="{6374CB21-7234-4991-94A4-421D22E65AAD}" srcOrd="2" destOrd="0" presId="urn:microsoft.com/office/officeart/2005/8/layout/hierarchy2"/>
    <dgm:cxn modelId="{B2D1FD7E-0697-4059-BF77-F74DF872DDA0}" type="presParOf" srcId="{6374CB21-7234-4991-94A4-421D22E65AAD}" destId="{0C26AB9C-769C-455F-A526-ED0569E22297}" srcOrd="0" destOrd="0" presId="urn:microsoft.com/office/officeart/2005/8/layout/hierarchy2"/>
    <dgm:cxn modelId="{285DB04A-61BA-4B5D-B206-B0CAE25A7362}" type="presParOf" srcId="{95205CCE-CDC9-49F7-8C6B-EA82A79356B6}" destId="{2B6CEA73-367F-4E71-A553-66907F80AC71}" srcOrd="3" destOrd="0" presId="urn:microsoft.com/office/officeart/2005/8/layout/hierarchy2"/>
    <dgm:cxn modelId="{ABCE4783-4072-4BFF-A5DF-BE72FE74C34B}" type="presParOf" srcId="{2B6CEA73-367F-4E71-A553-66907F80AC71}" destId="{3B17B014-F9CA-4774-9B66-362E0B1BE8D6}" srcOrd="0" destOrd="0" presId="urn:microsoft.com/office/officeart/2005/8/layout/hierarchy2"/>
    <dgm:cxn modelId="{45A56CE7-76CC-4562-8E74-A88C5CC29F25}" type="presParOf" srcId="{2B6CEA73-367F-4E71-A553-66907F80AC71}" destId="{DDD7EDC0-024D-4D61-8A50-26382589CAB7}" srcOrd="1" destOrd="0" presId="urn:microsoft.com/office/officeart/2005/8/layout/hierarchy2"/>
    <dgm:cxn modelId="{69244A16-CC60-4B7C-92C8-4896C0F62956}" type="presParOf" srcId="{DDD7EDC0-024D-4D61-8A50-26382589CAB7}" destId="{93E1F177-34B2-4704-8AC1-B5104C4A2BFB}" srcOrd="0" destOrd="0" presId="urn:microsoft.com/office/officeart/2005/8/layout/hierarchy2"/>
    <dgm:cxn modelId="{44E697C3-2082-4C56-AB32-75057E268DCC}" type="presParOf" srcId="{93E1F177-34B2-4704-8AC1-B5104C4A2BFB}" destId="{903EF700-2AE1-46F7-975E-B224B373B347}" srcOrd="0" destOrd="0" presId="urn:microsoft.com/office/officeart/2005/8/layout/hierarchy2"/>
    <dgm:cxn modelId="{7AC61D58-3006-419E-82AA-056C97BF157D}" type="presParOf" srcId="{DDD7EDC0-024D-4D61-8A50-26382589CAB7}" destId="{F67367F4-62F8-4B66-962B-96206C0C5ED8}" srcOrd="1" destOrd="0" presId="urn:microsoft.com/office/officeart/2005/8/layout/hierarchy2"/>
    <dgm:cxn modelId="{33FEC8BC-662E-4DAF-B31D-930BFC739C85}" type="presParOf" srcId="{F67367F4-62F8-4B66-962B-96206C0C5ED8}" destId="{42B22EF3-CBF6-4AA8-8729-0A2B17728C62}" srcOrd="0" destOrd="0" presId="urn:microsoft.com/office/officeart/2005/8/layout/hierarchy2"/>
    <dgm:cxn modelId="{888BCBB6-6E14-4933-BE40-A41ADF4E9216}" type="presParOf" srcId="{F67367F4-62F8-4B66-962B-96206C0C5ED8}" destId="{6F1E2D1A-C2C6-4C27-8906-01B7D779B2BB}" srcOrd="1" destOrd="0" presId="urn:microsoft.com/office/officeart/2005/8/layout/hierarchy2"/>
    <dgm:cxn modelId="{ED8F4114-F007-45A2-B06D-08676E1A77B4}" type="presParOf" srcId="{DDD7EDC0-024D-4D61-8A50-26382589CAB7}" destId="{11618078-3ABB-47AE-9DE5-165E32C7FC5C}" srcOrd="2" destOrd="0" presId="urn:microsoft.com/office/officeart/2005/8/layout/hierarchy2"/>
    <dgm:cxn modelId="{9F7C6408-29A1-46D1-93AE-E8EA00507A43}" type="presParOf" srcId="{11618078-3ABB-47AE-9DE5-165E32C7FC5C}" destId="{06306244-B1A0-4E0E-9F7A-07442D52F45D}" srcOrd="0" destOrd="0" presId="urn:microsoft.com/office/officeart/2005/8/layout/hierarchy2"/>
    <dgm:cxn modelId="{753F6996-E789-49B5-A27D-513839B26766}" type="presParOf" srcId="{DDD7EDC0-024D-4D61-8A50-26382589CAB7}" destId="{BECBE1B0-7502-441E-9F3D-0879736A5458}" srcOrd="3" destOrd="0" presId="urn:microsoft.com/office/officeart/2005/8/layout/hierarchy2"/>
    <dgm:cxn modelId="{33A5423A-FD06-40EC-886E-82B632B5EE95}" type="presParOf" srcId="{BECBE1B0-7502-441E-9F3D-0879736A5458}" destId="{097F059D-C90B-4E9D-8C1B-EF74628322EF}" srcOrd="0" destOrd="0" presId="urn:microsoft.com/office/officeart/2005/8/layout/hierarchy2"/>
    <dgm:cxn modelId="{7ED08716-D047-4F4A-B66E-1378B5B79F83}" type="presParOf" srcId="{BECBE1B0-7502-441E-9F3D-0879736A5458}" destId="{4C600F8A-E9A6-42B1-AD17-578EF4791DBB}"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B4D90D-BF43-42B5-A84F-0DAD0340A6E4}">
      <dsp:nvSpPr>
        <dsp:cNvPr id="0" name=""/>
        <dsp:cNvSpPr/>
      </dsp:nvSpPr>
      <dsp:spPr>
        <a:xfrm>
          <a:off x="739821" y="508786"/>
          <a:ext cx="588783" cy="294391"/>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Hirer</a:t>
          </a:r>
        </a:p>
      </dsp:txBody>
      <dsp:txXfrm>
        <a:off x="748443" y="517408"/>
        <a:ext cx="571539" cy="277147"/>
      </dsp:txXfrm>
    </dsp:sp>
    <dsp:sp modelId="{E18C24E5-5506-4C8A-AE5F-F720CBE9B65D}">
      <dsp:nvSpPr>
        <dsp:cNvPr id="0" name=""/>
        <dsp:cNvSpPr/>
      </dsp:nvSpPr>
      <dsp:spPr>
        <a:xfrm rot="18289469">
          <a:off x="1240156" y="466512"/>
          <a:ext cx="412411" cy="40390"/>
        </a:xfrm>
        <a:custGeom>
          <a:avLst/>
          <a:gdLst/>
          <a:ahLst/>
          <a:cxnLst/>
          <a:rect l="0" t="0" r="0" b="0"/>
          <a:pathLst>
            <a:path>
              <a:moveTo>
                <a:pt x="0" y="20195"/>
              </a:moveTo>
              <a:lnTo>
                <a:pt x="412411" y="2019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dsp:txBody>
      <dsp:txXfrm>
        <a:off x="1436051" y="476396"/>
        <a:ext cx="20620" cy="20620"/>
      </dsp:txXfrm>
    </dsp:sp>
    <dsp:sp modelId="{C3449AAE-D1F0-4796-9D8D-8192489087A6}">
      <dsp:nvSpPr>
        <dsp:cNvPr id="0" name=""/>
        <dsp:cNvSpPr/>
      </dsp:nvSpPr>
      <dsp:spPr>
        <a:xfrm>
          <a:off x="1564118" y="170235"/>
          <a:ext cx="588783" cy="294391"/>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Agent</a:t>
          </a:r>
        </a:p>
      </dsp:txBody>
      <dsp:txXfrm>
        <a:off x="1572740" y="178857"/>
        <a:ext cx="571539" cy="277147"/>
      </dsp:txXfrm>
    </dsp:sp>
    <dsp:sp modelId="{43E9E87C-3E9A-4D2C-A89E-157D04936E48}">
      <dsp:nvSpPr>
        <dsp:cNvPr id="0" name=""/>
        <dsp:cNvSpPr/>
      </dsp:nvSpPr>
      <dsp:spPr>
        <a:xfrm rot="19457599">
          <a:off x="2125641" y="212599"/>
          <a:ext cx="290035" cy="40390"/>
        </a:xfrm>
        <a:custGeom>
          <a:avLst/>
          <a:gdLst/>
          <a:ahLst/>
          <a:cxnLst/>
          <a:rect l="0" t="0" r="0" b="0"/>
          <a:pathLst>
            <a:path>
              <a:moveTo>
                <a:pt x="0" y="20195"/>
              </a:moveTo>
              <a:lnTo>
                <a:pt x="290035" y="2019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dsp:txBody>
      <dsp:txXfrm>
        <a:off x="2263408" y="225543"/>
        <a:ext cx="14501" cy="14501"/>
      </dsp:txXfrm>
    </dsp:sp>
    <dsp:sp modelId="{E47AE6C8-24B1-440E-BCBF-EE7E5D7EEBD7}">
      <dsp:nvSpPr>
        <dsp:cNvPr id="0" name=""/>
        <dsp:cNvSpPr/>
      </dsp:nvSpPr>
      <dsp:spPr>
        <a:xfrm>
          <a:off x="2388415" y="960"/>
          <a:ext cx="953223" cy="294391"/>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Servant (contractual and tort liability)</a:t>
          </a:r>
        </a:p>
      </dsp:txBody>
      <dsp:txXfrm>
        <a:off x="2397037" y="9582"/>
        <a:ext cx="935979" cy="277147"/>
      </dsp:txXfrm>
    </dsp:sp>
    <dsp:sp modelId="{C20240D1-0B81-41B3-B525-3945819ACF4E}">
      <dsp:nvSpPr>
        <dsp:cNvPr id="0" name=""/>
        <dsp:cNvSpPr/>
      </dsp:nvSpPr>
      <dsp:spPr>
        <a:xfrm rot="2142401">
          <a:off x="2125641" y="381874"/>
          <a:ext cx="290035" cy="40390"/>
        </a:xfrm>
        <a:custGeom>
          <a:avLst/>
          <a:gdLst/>
          <a:ahLst/>
          <a:cxnLst/>
          <a:rect l="0" t="0" r="0" b="0"/>
          <a:pathLst>
            <a:path>
              <a:moveTo>
                <a:pt x="0" y="20195"/>
              </a:moveTo>
              <a:lnTo>
                <a:pt x="290035" y="2019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dsp:txBody>
      <dsp:txXfrm>
        <a:off x="2263408" y="394818"/>
        <a:ext cx="14501" cy="14501"/>
      </dsp:txXfrm>
    </dsp:sp>
    <dsp:sp modelId="{3C87442D-93F1-4B70-91F9-5FF5872F96BD}">
      <dsp:nvSpPr>
        <dsp:cNvPr id="0" name=""/>
        <dsp:cNvSpPr/>
      </dsp:nvSpPr>
      <dsp:spPr>
        <a:xfrm>
          <a:off x="2388415" y="339511"/>
          <a:ext cx="1262788" cy="294391"/>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Independent Contractor (contractual liability)</a:t>
          </a:r>
        </a:p>
      </dsp:txBody>
      <dsp:txXfrm>
        <a:off x="2397037" y="348133"/>
        <a:ext cx="1245544" cy="277147"/>
      </dsp:txXfrm>
    </dsp:sp>
    <dsp:sp modelId="{6374CB21-7234-4991-94A4-421D22E65AAD}">
      <dsp:nvSpPr>
        <dsp:cNvPr id="0" name=""/>
        <dsp:cNvSpPr/>
      </dsp:nvSpPr>
      <dsp:spPr>
        <a:xfrm rot="3310531">
          <a:off x="1240156" y="805062"/>
          <a:ext cx="412411" cy="40390"/>
        </a:xfrm>
        <a:custGeom>
          <a:avLst/>
          <a:gdLst/>
          <a:ahLst/>
          <a:cxnLst/>
          <a:rect l="0" t="0" r="0" b="0"/>
          <a:pathLst>
            <a:path>
              <a:moveTo>
                <a:pt x="0" y="20195"/>
              </a:moveTo>
              <a:lnTo>
                <a:pt x="412411" y="2019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dsp:txBody>
      <dsp:txXfrm>
        <a:off x="1436051" y="814947"/>
        <a:ext cx="20620" cy="20620"/>
      </dsp:txXfrm>
    </dsp:sp>
    <dsp:sp modelId="{3B17B014-F9CA-4774-9B66-362E0B1BE8D6}">
      <dsp:nvSpPr>
        <dsp:cNvPr id="0" name=""/>
        <dsp:cNvSpPr/>
      </dsp:nvSpPr>
      <dsp:spPr>
        <a:xfrm>
          <a:off x="1564118" y="847337"/>
          <a:ext cx="588783" cy="294391"/>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Non-agent</a:t>
          </a:r>
        </a:p>
      </dsp:txBody>
      <dsp:txXfrm>
        <a:off x="1572740" y="855959"/>
        <a:ext cx="571539" cy="277147"/>
      </dsp:txXfrm>
    </dsp:sp>
    <dsp:sp modelId="{93E1F177-34B2-4704-8AC1-B5104C4A2BFB}">
      <dsp:nvSpPr>
        <dsp:cNvPr id="0" name=""/>
        <dsp:cNvSpPr/>
      </dsp:nvSpPr>
      <dsp:spPr>
        <a:xfrm rot="19457599">
          <a:off x="2125641" y="889700"/>
          <a:ext cx="290035" cy="40390"/>
        </a:xfrm>
        <a:custGeom>
          <a:avLst/>
          <a:gdLst/>
          <a:ahLst/>
          <a:cxnLst/>
          <a:rect l="0" t="0" r="0" b="0"/>
          <a:pathLst>
            <a:path>
              <a:moveTo>
                <a:pt x="0" y="20195"/>
              </a:moveTo>
              <a:lnTo>
                <a:pt x="290035" y="2019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dsp:txBody>
      <dsp:txXfrm>
        <a:off x="2263408" y="902644"/>
        <a:ext cx="14501" cy="14501"/>
      </dsp:txXfrm>
    </dsp:sp>
    <dsp:sp modelId="{42B22EF3-CBF6-4AA8-8729-0A2B17728C62}">
      <dsp:nvSpPr>
        <dsp:cNvPr id="0" name=""/>
        <dsp:cNvSpPr/>
      </dsp:nvSpPr>
      <dsp:spPr>
        <a:xfrm>
          <a:off x="2388415" y="678061"/>
          <a:ext cx="801723" cy="294391"/>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Independent Contractor</a:t>
          </a:r>
        </a:p>
      </dsp:txBody>
      <dsp:txXfrm>
        <a:off x="2397037" y="686683"/>
        <a:ext cx="784479" cy="277147"/>
      </dsp:txXfrm>
    </dsp:sp>
    <dsp:sp modelId="{11618078-3ABB-47AE-9DE5-165E32C7FC5C}">
      <dsp:nvSpPr>
        <dsp:cNvPr id="0" name=""/>
        <dsp:cNvSpPr/>
      </dsp:nvSpPr>
      <dsp:spPr>
        <a:xfrm rot="2142401">
          <a:off x="2125641" y="1058975"/>
          <a:ext cx="290035" cy="40390"/>
        </a:xfrm>
        <a:custGeom>
          <a:avLst/>
          <a:gdLst/>
          <a:ahLst/>
          <a:cxnLst/>
          <a:rect l="0" t="0" r="0" b="0"/>
          <a:pathLst>
            <a:path>
              <a:moveTo>
                <a:pt x="0" y="20195"/>
              </a:moveTo>
              <a:lnTo>
                <a:pt x="290035" y="2019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dsp:txBody>
      <dsp:txXfrm>
        <a:off x="2263408" y="1071919"/>
        <a:ext cx="14501" cy="14501"/>
      </dsp:txXfrm>
    </dsp:sp>
    <dsp:sp modelId="{097F059D-C90B-4E9D-8C1B-EF74628322EF}">
      <dsp:nvSpPr>
        <dsp:cNvPr id="0" name=""/>
        <dsp:cNvSpPr/>
      </dsp:nvSpPr>
      <dsp:spPr>
        <a:xfrm>
          <a:off x="2388415" y="1016612"/>
          <a:ext cx="588783" cy="294391"/>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Other</a:t>
          </a:r>
        </a:p>
      </dsp:txBody>
      <dsp:txXfrm>
        <a:off x="2397037" y="1025234"/>
        <a:ext cx="571539" cy="2771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B4D90D-BF43-42B5-A84F-0DAD0340A6E4}">
      <dsp:nvSpPr>
        <dsp:cNvPr id="0" name=""/>
        <dsp:cNvSpPr/>
      </dsp:nvSpPr>
      <dsp:spPr>
        <a:xfrm>
          <a:off x="961043" y="907287"/>
          <a:ext cx="372838" cy="149894"/>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Suit</a:t>
          </a:r>
        </a:p>
      </dsp:txBody>
      <dsp:txXfrm>
        <a:off x="965433" y="911677"/>
        <a:ext cx="364058" cy="141114"/>
      </dsp:txXfrm>
    </dsp:sp>
    <dsp:sp modelId="{E18C24E5-5506-4C8A-AE5F-F720CBE9B65D}">
      <dsp:nvSpPr>
        <dsp:cNvPr id="0" name=""/>
        <dsp:cNvSpPr/>
      </dsp:nvSpPr>
      <dsp:spPr>
        <a:xfrm rot="18417571">
          <a:off x="1220922" y="735659"/>
          <a:ext cx="566568" cy="40429"/>
        </a:xfrm>
        <a:custGeom>
          <a:avLst/>
          <a:gdLst/>
          <a:ahLst/>
          <a:cxnLst/>
          <a:rect l="0" t="0" r="0" b="0"/>
          <a:pathLst>
            <a:path>
              <a:moveTo>
                <a:pt x="0" y="20214"/>
              </a:moveTo>
              <a:lnTo>
                <a:pt x="566568" y="2021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dsp:txBody>
      <dsp:txXfrm>
        <a:off x="1490042" y="741709"/>
        <a:ext cx="28328" cy="28328"/>
      </dsp:txXfrm>
    </dsp:sp>
    <dsp:sp modelId="{C3449AAE-D1F0-4796-9D8D-8192489087A6}">
      <dsp:nvSpPr>
        <dsp:cNvPr id="0" name=""/>
        <dsp:cNvSpPr/>
      </dsp:nvSpPr>
      <dsp:spPr>
        <a:xfrm>
          <a:off x="1674531" y="301805"/>
          <a:ext cx="910827" cy="455413"/>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Demand</a:t>
          </a:r>
        </a:p>
      </dsp:txBody>
      <dsp:txXfrm>
        <a:off x="1687870" y="315144"/>
        <a:ext cx="884149" cy="428735"/>
      </dsp:txXfrm>
    </dsp:sp>
    <dsp:sp modelId="{43E9E87C-3E9A-4D2C-A89E-157D04936E48}">
      <dsp:nvSpPr>
        <dsp:cNvPr id="0" name=""/>
        <dsp:cNvSpPr/>
      </dsp:nvSpPr>
      <dsp:spPr>
        <a:xfrm rot="20743911">
          <a:off x="2566502" y="358642"/>
          <a:ext cx="1222553" cy="40429"/>
        </a:xfrm>
        <a:custGeom>
          <a:avLst/>
          <a:gdLst/>
          <a:ahLst/>
          <a:cxnLst/>
          <a:rect l="0" t="0" r="0" b="0"/>
          <a:pathLst>
            <a:path>
              <a:moveTo>
                <a:pt x="0" y="20214"/>
              </a:moveTo>
              <a:lnTo>
                <a:pt x="437444" y="20214"/>
              </a:lnTo>
            </a:path>
            <a:path>
              <a:moveTo>
                <a:pt x="785108" y="20214"/>
              </a:moveTo>
              <a:lnTo>
                <a:pt x="1222553" y="202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Board Refuses</a:t>
          </a:r>
        </a:p>
      </dsp:txBody>
      <dsp:txXfrm>
        <a:off x="3003947" y="226038"/>
        <a:ext cx="347663" cy="305638"/>
      </dsp:txXfrm>
    </dsp:sp>
    <dsp:sp modelId="{E47AE6C8-24B1-440E-BCBF-EE7E5D7EEBD7}">
      <dsp:nvSpPr>
        <dsp:cNvPr id="0" name=""/>
        <dsp:cNvSpPr/>
      </dsp:nvSpPr>
      <dsp:spPr>
        <a:xfrm>
          <a:off x="3770200" y="495"/>
          <a:ext cx="910827" cy="455413"/>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Modified BJR</a:t>
          </a:r>
        </a:p>
      </dsp:txBody>
      <dsp:txXfrm>
        <a:off x="3783539" y="13834"/>
        <a:ext cx="884149" cy="428735"/>
      </dsp:txXfrm>
    </dsp:sp>
    <dsp:sp modelId="{C20240D1-0B81-41B3-B525-3945819ACF4E}">
      <dsp:nvSpPr>
        <dsp:cNvPr id="0" name=""/>
        <dsp:cNvSpPr/>
      </dsp:nvSpPr>
      <dsp:spPr>
        <a:xfrm rot="637900">
          <a:off x="2575011" y="620505"/>
          <a:ext cx="1205536" cy="40429"/>
        </a:xfrm>
        <a:custGeom>
          <a:avLst/>
          <a:gdLst/>
          <a:ahLst/>
          <a:cxnLst/>
          <a:rect l="0" t="0" r="0" b="0"/>
          <a:pathLst>
            <a:path>
              <a:moveTo>
                <a:pt x="0" y="20214"/>
              </a:moveTo>
              <a:lnTo>
                <a:pt x="346591" y="20214"/>
              </a:lnTo>
            </a:path>
            <a:path>
              <a:moveTo>
                <a:pt x="858944" y="20214"/>
              </a:moveTo>
              <a:lnTo>
                <a:pt x="1205536" y="202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Board does not refuse</a:t>
          </a:r>
        </a:p>
      </dsp:txBody>
      <dsp:txXfrm>
        <a:off x="2921603" y="490028"/>
        <a:ext cx="512352" cy="301384"/>
      </dsp:txXfrm>
    </dsp:sp>
    <dsp:sp modelId="{3C87442D-93F1-4B70-91F9-5FF5872F96BD}">
      <dsp:nvSpPr>
        <dsp:cNvPr id="0" name=""/>
        <dsp:cNvSpPr/>
      </dsp:nvSpPr>
      <dsp:spPr>
        <a:xfrm>
          <a:off x="3770200" y="524221"/>
          <a:ext cx="910827" cy="455413"/>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Corporation Sues</a:t>
          </a:r>
        </a:p>
      </dsp:txBody>
      <dsp:txXfrm>
        <a:off x="3783539" y="537560"/>
        <a:ext cx="884149" cy="428735"/>
      </dsp:txXfrm>
    </dsp:sp>
    <dsp:sp modelId="{6374CB21-7234-4991-94A4-421D22E65AAD}">
      <dsp:nvSpPr>
        <dsp:cNvPr id="0" name=""/>
        <dsp:cNvSpPr/>
      </dsp:nvSpPr>
      <dsp:spPr>
        <a:xfrm rot="3321348">
          <a:off x="1198600" y="1219935"/>
          <a:ext cx="626996" cy="40429"/>
        </a:xfrm>
        <a:custGeom>
          <a:avLst/>
          <a:gdLst/>
          <a:ahLst/>
          <a:cxnLst/>
          <a:rect l="0" t="0" r="0" b="0"/>
          <a:pathLst>
            <a:path>
              <a:moveTo>
                <a:pt x="0" y="20214"/>
              </a:moveTo>
              <a:lnTo>
                <a:pt x="626996" y="2021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n-US" sz="800" kern="1200">
            <a:latin typeface="Times New Roman" panose="02020603050405020304" pitchFamily="18" charset="0"/>
            <a:cs typeface="Times New Roman" panose="02020603050405020304" pitchFamily="18" charset="0"/>
          </a:endParaRPr>
        </a:p>
      </dsp:txBody>
      <dsp:txXfrm>
        <a:off x="1496423" y="1224475"/>
        <a:ext cx="31349" cy="31349"/>
      </dsp:txXfrm>
    </dsp:sp>
    <dsp:sp modelId="{3B17B014-F9CA-4774-9B66-362E0B1BE8D6}">
      <dsp:nvSpPr>
        <dsp:cNvPr id="0" name=""/>
        <dsp:cNvSpPr/>
      </dsp:nvSpPr>
      <dsp:spPr>
        <a:xfrm>
          <a:off x="1690315" y="1270357"/>
          <a:ext cx="910827" cy="455413"/>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No Demand</a:t>
          </a:r>
        </a:p>
      </dsp:txBody>
      <dsp:txXfrm>
        <a:off x="1703654" y="1283696"/>
        <a:ext cx="884149" cy="428735"/>
      </dsp:txXfrm>
    </dsp:sp>
    <dsp:sp modelId="{93E1F177-34B2-4704-8AC1-B5104C4A2BFB}">
      <dsp:nvSpPr>
        <dsp:cNvPr id="0" name=""/>
        <dsp:cNvSpPr/>
      </dsp:nvSpPr>
      <dsp:spPr>
        <a:xfrm rot="20998591">
          <a:off x="2592083" y="1374534"/>
          <a:ext cx="1187177" cy="40429"/>
        </a:xfrm>
        <a:custGeom>
          <a:avLst/>
          <a:gdLst/>
          <a:ahLst/>
          <a:cxnLst/>
          <a:rect l="0" t="0" r="0" b="0"/>
          <a:pathLst>
            <a:path>
              <a:moveTo>
                <a:pt x="0" y="20214"/>
              </a:moveTo>
              <a:lnTo>
                <a:pt x="396962" y="20214"/>
              </a:lnTo>
            </a:path>
            <a:path>
              <a:moveTo>
                <a:pt x="790214" y="20214"/>
              </a:moveTo>
              <a:lnTo>
                <a:pt x="1187177" y="202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Demand Excused</a:t>
          </a:r>
        </a:p>
      </dsp:txBody>
      <dsp:txXfrm>
        <a:off x="2989045" y="1246352"/>
        <a:ext cx="393252" cy="296794"/>
      </dsp:txXfrm>
    </dsp:sp>
    <dsp:sp modelId="{42B22EF3-CBF6-4AA8-8729-0A2B17728C62}">
      <dsp:nvSpPr>
        <dsp:cNvPr id="0" name=""/>
        <dsp:cNvSpPr/>
      </dsp:nvSpPr>
      <dsp:spPr>
        <a:xfrm>
          <a:off x="3770200" y="1063727"/>
          <a:ext cx="910827" cy="455413"/>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Suit Proceeds</a:t>
          </a:r>
        </a:p>
      </dsp:txBody>
      <dsp:txXfrm>
        <a:off x="3783539" y="1077066"/>
        <a:ext cx="884149" cy="428735"/>
      </dsp:txXfrm>
    </dsp:sp>
    <dsp:sp modelId="{11618078-3ABB-47AE-9DE5-165E32C7FC5C}">
      <dsp:nvSpPr>
        <dsp:cNvPr id="0" name=""/>
        <dsp:cNvSpPr/>
      </dsp:nvSpPr>
      <dsp:spPr>
        <a:xfrm rot="868538">
          <a:off x="2581978" y="1628754"/>
          <a:ext cx="1207395" cy="40429"/>
        </a:xfrm>
        <a:custGeom>
          <a:avLst/>
          <a:gdLst/>
          <a:ahLst/>
          <a:cxnLst/>
          <a:rect l="0" t="0" r="0" b="0"/>
          <a:pathLst>
            <a:path>
              <a:moveTo>
                <a:pt x="0" y="20214"/>
              </a:moveTo>
              <a:lnTo>
                <a:pt x="403722" y="20214"/>
              </a:lnTo>
            </a:path>
            <a:path>
              <a:moveTo>
                <a:pt x="803672" y="20214"/>
              </a:moveTo>
              <a:lnTo>
                <a:pt x="1207395" y="202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Demand Required</a:t>
          </a:r>
        </a:p>
      </dsp:txBody>
      <dsp:txXfrm>
        <a:off x="2985701" y="1498045"/>
        <a:ext cx="399949" cy="301848"/>
      </dsp:txXfrm>
    </dsp:sp>
    <dsp:sp modelId="{097F059D-C90B-4E9D-8C1B-EF74628322EF}">
      <dsp:nvSpPr>
        <dsp:cNvPr id="0" name=""/>
        <dsp:cNvSpPr/>
      </dsp:nvSpPr>
      <dsp:spPr>
        <a:xfrm>
          <a:off x="3770209" y="1572168"/>
          <a:ext cx="910827" cy="455413"/>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Times New Roman" panose="02020603050405020304" pitchFamily="18" charset="0"/>
              <a:cs typeface="Times New Roman" panose="02020603050405020304" pitchFamily="18" charset="0"/>
            </a:rPr>
            <a:t>Suit Dismissed</a:t>
          </a:r>
        </a:p>
      </dsp:txBody>
      <dsp:txXfrm>
        <a:off x="3783548" y="1585507"/>
        <a:ext cx="884149" cy="42873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6C289-CFCD-4F27-8CDE-D33AAD18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7514</TotalTime>
  <Pages>1</Pages>
  <Words>33368</Words>
  <Characters>190200</Characters>
  <Application>Microsoft Office Word</Application>
  <DocSecurity>0</DocSecurity>
  <Lines>1585</Lines>
  <Paragraphs>446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Carapezza</dc:creator>
  <cp:keywords/>
  <dc:description/>
  <cp:lastModifiedBy>Cristina Carapezza</cp:lastModifiedBy>
  <cp:revision>208</cp:revision>
  <dcterms:created xsi:type="dcterms:W3CDTF">2015-09-26T23:07:00Z</dcterms:created>
  <dcterms:modified xsi:type="dcterms:W3CDTF">2016-05-13T15:29:00Z</dcterms:modified>
</cp:coreProperties>
</file>